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71"/>
        <w:gridCol w:w="6971"/>
      </w:tblGrid>
      <w:tr w:rsidR="00B4377F">
        <w:trPr>
          <w:trHeight w:hRule="exact" w:val="5441"/>
        </w:trPr>
        <w:tc>
          <w:tcPr>
            <w:tcW w:w="13942" w:type="dxa"/>
            <w:gridSpan w:val="2"/>
            <w:tcBorders>
              <w:top w:val="nil"/>
              <w:left w:val="nil"/>
              <w:right w:val="nil"/>
            </w:tcBorders>
          </w:tcPr>
          <w:p w:rsidR="00B4377F" w:rsidRDefault="00B4377F">
            <w:pPr>
              <w:pStyle w:val="TableParagraph"/>
              <w:spacing w:before="0"/>
              <w:jc w:val="left"/>
              <w:rPr>
                <w:rFonts w:ascii="Times New Roman"/>
                <w:sz w:val="28"/>
              </w:rPr>
            </w:pPr>
          </w:p>
          <w:p w:rsidR="00B4377F" w:rsidRDefault="00B4377F">
            <w:pPr>
              <w:pStyle w:val="TableParagraph"/>
              <w:spacing w:before="0"/>
              <w:jc w:val="left"/>
              <w:rPr>
                <w:rFonts w:ascii="Times New Roman"/>
                <w:sz w:val="28"/>
              </w:rPr>
            </w:pPr>
          </w:p>
          <w:p w:rsidR="00B4377F" w:rsidRDefault="00B4377F">
            <w:pPr>
              <w:pStyle w:val="TableParagraph"/>
              <w:spacing w:before="0"/>
              <w:jc w:val="left"/>
              <w:rPr>
                <w:rFonts w:ascii="Times New Roman"/>
                <w:sz w:val="28"/>
              </w:rPr>
            </w:pPr>
          </w:p>
          <w:p w:rsidR="00B4377F" w:rsidRDefault="00D7291E">
            <w:pPr>
              <w:pStyle w:val="TableParagraph"/>
              <w:spacing w:before="234"/>
              <w:ind w:left="5412" w:right="5409"/>
              <w:rPr>
                <w:b/>
                <w:sz w:val="24"/>
              </w:rPr>
            </w:pPr>
            <w:r>
              <w:rPr>
                <w:b/>
                <w:sz w:val="24"/>
              </w:rPr>
              <w:t>Description of Admissions Fact Sheet - Young Adults FY 2017</w:t>
            </w:r>
          </w:p>
          <w:p w:rsidR="00B4377F" w:rsidRDefault="00B4377F">
            <w:pPr>
              <w:pStyle w:val="TableParagraph"/>
              <w:spacing w:before="0"/>
              <w:jc w:val="left"/>
              <w:rPr>
                <w:rFonts w:ascii="Times New Roman"/>
                <w:sz w:val="28"/>
              </w:rPr>
            </w:pPr>
          </w:p>
          <w:p w:rsidR="00B4377F" w:rsidRDefault="00B4377F">
            <w:pPr>
              <w:pStyle w:val="TableParagraph"/>
              <w:spacing w:before="0"/>
              <w:jc w:val="left"/>
              <w:rPr>
                <w:rFonts w:ascii="Times New Roman"/>
                <w:sz w:val="28"/>
              </w:rPr>
            </w:pPr>
          </w:p>
          <w:p w:rsidR="00B4377F" w:rsidRDefault="00D7291E">
            <w:pPr>
              <w:pStyle w:val="TableParagraph"/>
              <w:spacing w:before="181"/>
              <w:ind w:left="-10" w:right="462"/>
              <w:jc w:val="left"/>
              <w:rPr>
                <w:sz w:val="20"/>
              </w:rPr>
            </w:pPr>
            <w:r>
              <w:rPr>
                <w:sz w:val="20"/>
              </w:rPr>
              <w:t>This annual report provides information on young adults (18 - 25 years of age) admitted to BSAS funded and/or licensed services. In FY 2017, there were 16,566 young adult admissions. To ensure proper interpretation of this data, please read the footnotes and refer to the appendix at the end of this report.</w:t>
            </w:r>
          </w:p>
          <w:p w:rsidR="00B4377F" w:rsidRDefault="00D7291E">
            <w:pPr>
              <w:pStyle w:val="TableParagraph"/>
              <w:spacing w:before="150"/>
              <w:ind w:left="5409" w:right="5409"/>
              <w:rPr>
                <w:b/>
                <w:sz w:val="20"/>
              </w:rPr>
            </w:pPr>
            <w:r>
              <w:rPr>
                <w:b/>
                <w:sz w:val="20"/>
              </w:rPr>
              <w:t>Characteristics of Admissions</w:t>
            </w:r>
          </w:p>
          <w:p w:rsidR="00B4377F" w:rsidRDefault="00D7291E">
            <w:pPr>
              <w:pStyle w:val="TableParagraph"/>
              <w:numPr>
                <w:ilvl w:val="0"/>
                <w:numId w:val="3"/>
              </w:numPr>
              <w:tabs>
                <w:tab w:val="left" w:pos="126"/>
              </w:tabs>
              <w:spacing w:before="150"/>
              <w:ind w:hanging="135"/>
              <w:jc w:val="left"/>
              <w:rPr>
                <w:sz w:val="20"/>
              </w:rPr>
            </w:pPr>
            <w:r>
              <w:rPr>
                <w:sz w:val="20"/>
              </w:rPr>
              <w:t>The average age at admission for young adults was 22.4</w:t>
            </w:r>
            <w:r>
              <w:rPr>
                <w:spacing w:val="-5"/>
                <w:sz w:val="20"/>
              </w:rPr>
              <w:t xml:space="preserve"> </w:t>
            </w:r>
            <w:r>
              <w:rPr>
                <w:sz w:val="20"/>
              </w:rPr>
              <w:t>years.</w:t>
            </w:r>
          </w:p>
          <w:p w:rsidR="00B4377F" w:rsidRDefault="00D7291E">
            <w:pPr>
              <w:pStyle w:val="TableParagraph"/>
              <w:numPr>
                <w:ilvl w:val="0"/>
                <w:numId w:val="3"/>
              </w:numPr>
              <w:tabs>
                <w:tab w:val="left" w:pos="126"/>
              </w:tabs>
              <w:spacing w:before="0"/>
              <w:ind w:left="126"/>
              <w:jc w:val="left"/>
              <w:rPr>
                <w:sz w:val="20"/>
              </w:rPr>
            </w:pPr>
            <w:r>
              <w:rPr>
                <w:sz w:val="20"/>
              </w:rPr>
              <w:t>The mean age of first alcohol use was 14.6</w:t>
            </w:r>
            <w:r>
              <w:rPr>
                <w:spacing w:val="-8"/>
                <w:sz w:val="20"/>
              </w:rPr>
              <w:t xml:space="preserve"> </w:t>
            </w:r>
            <w:r>
              <w:rPr>
                <w:sz w:val="20"/>
              </w:rPr>
              <w:t>years</w:t>
            </w:r>
          </w:p>
          <w:p w:rsidR="00B4377F" w:rsidRDefault="00D7291E">
            <w:pPr>
              <w:pStyle w:val="TableParagraph"/>
              <w:numPr>
                <w:ilvl w:val="0"/>
                <w:numId w:val="3"/>
              </w:numPr>
              <w:tabs>
                <w:tab w:val="left" w:pos="126"/>
              </w:tabs>
              <w:spacing w:before="0"/>
              <w:ind w:left="126"/>
              <w:jc w:val="left"/>
              <w:rPr>
                <w:sz w:val="20"/>
              </w:rPr>
            </w:pPr>
            <w:r>
              <w:rPr>
                <w:sz w:val="20"/>
              </w:rPr>
              <w:t>The mean age of first marijuana use was 14.1</w:t>
            </w:r>
            <w:r>
              <w:rPr>
                <w:spacing w:val="-10"/>
                <w:sz w:val="20"/>
              </w:rPr>
              <w:t xml:space="preserve"> </w:t>
            </w:r>
            <w:r>
              <w:rPr>
                <w:sz w:val="20"/>
              </w:rPr>
              <w:t>years</w:t>
            </w:r>
          </w:p>
          <w:p w:rsidR="00B4377F" w:rsidRDefault="00D7291E">
            <w:pPr>
              <w:pStyle w:val="TableParagraph"/>
              <w:numPr>
                <w:ilvl w:val="0"/>
                <w:numId w:val="3"/>
              </w:numPr>
              <w:tabs>
                <w:tab w:val="left" w:pos="126"/>
              </w:tabs>
              <w:spacing w:before="0"/>
              <w:ind w:left="126"/>
              <w:jc w:val="left"/>
              <w:rPr>
                <w:sz w:val="20"/>
              </w:rPr>
            </w:pPr>
            <w:r>
              <w:rPr>
                <w:sz w:val="20"/>
              </w:rPr>
              <w:t>3.3% of these adolescents received services from the Department of Children and Families</w:t>
            </w:r>
            <w:r>
              <w:rPr>
                <w:spacing w:val="-40"/>
                <w:sz w:val="20"/>
              </w:rPr>
              <w:t xml:space="preserve"> </w:t>
            </w:r>
            <w:r>
              <w:rPr>
                <w:sz w:val="20"/>
              </w:rPr>
              <w:t>(DCF).</w:t>
            </w:r>
          </w:p>
        </w:tc>
      </w:tr>
      <w:tr w:rsidR="00B4377F">
        <w:trPr>
          <w:trHeight w:hRule="exact" w:val="224"/>
        </w:trPr>
        <w:tc>
          <w:tcPr>
            <w:tcW w:w="6971" w:type="dxa"/>
            <w:tcBorders>
              <w:bottom w:val="single" w:sz="16" w:space="0" w:color="000000"/>
            </w:tcBorders>
          </w:tcPr>
          <w:p w:rsidR="00B4377F" w:rsidRDefault="00B4377F"/>
        </w:tc>
        <w:tc>
          <w:tcPr>
            <w:tcW w:w="6971" w:type="dxa"/>
            <w:tcBorders>
              <w:bottom w:val="single" w:sz="16" w:space="0" w:color="000000"/>
            </w:tcBorders>
          </w:tcPr>
          <w:p w:rsidR="00B4377F" w:rsidRDefault="00D7291E">
            <w:pPr>
              <w:pStyle w:val="TableParagraph"/>
              <w:spacing w:before="0"/>
              <w:ind w:left="-1"/>
              <w:jc w:val="left"/>
              <w:rPr>
                <w:b/>
                <w:sz w:val="16"/>
              </w:rPr>
            </w:pPr>
            <w:r>
              <w:rPr>
                <w:b/>
                <w:sz w:val="16"/>
              </w:rPr>
              <w:t>% of Enrollments</w:t>
            </w:r>
          </w:p>
        </w:tc>
      </w:tr>
      <w:tr w:rsidR="00B4377F">
        <w:trPr>
          <w:trHeight w:hRule="exact" w:val="314"/>
        </w:trPr>
        <w:tc>
          <w:tcPr>
            <w:tcW w:w="13942" w:type="dxa"/>
            <w:gridSpan w:val="2"/>
            <w:tcBorders>
              <w:top w:val="single" w:sz="16" w:space="0" w:color="000000"/>
            </w:tcBorders>
            <w:shd w:val="clear" w:color="auto" w:fill="C0C0C0"/>
          </w:tcPr>
          <w:p w:rsidR="00B4377F" w:rsidRDefault="00D7291E">
            <w:pPr>
              <w:pStyle w:val="TableParagraph"/>
              <w:ind w:left="75"/>
              <w:jc w:val="left"/>
              <w:rPr>
                <w:b/>
                <w:sz w:val="16"/>
              </w:rPr>
            </w:pPr>
            <w:r>
              <w:rPr>
                <w:b/>
                <w:sz w:val="16"/>
              </w:rPr>
              <w:t>Gender</w:t>
            </w:r>
          </w:p>
        </w:tc>
      </w:tr>
      <w:tr w:rsidR="00B4377F">
        <w:trPr>
          <w:trHeight w:hRule="exact" w:val="304"/>
        </w:trPr>
        <w:tc>
          <w:tcPr>
            <w:tcW w:w="6971" w:type="dxa"/>
          </w:tcPr>
          <w:p w:rsidR="00B4377F" w:rsidRDefault="00D7291E">
            <w:pPr>
              <w:pStyle w:val="TableParagraph"/>
              <w:ind w:right="73"/>
              <w:jc w:val="right"/>
              <w:rPr>
                <w:sz w:val="16"/>
              </w:rPr>
            </w:pPr>
            <w:r>
              <w:rPr>
                <w:sz w:val="16"/>
              </w:rPr>
              <w:t>Female</w:t>
            </w:r>
          </w:p>
        </w:tc>
        <w:tc>
          <w:tcPr>
            <w:tcW w:w="6971" w:type="dxa"/>
          </w:tcPr>
          <w:p w:rsidR="00B4377F" w:rsidRDefault="00D7291E">
            <w:pPr>
              <w:pStyle w:val="TableParagraph"/>
              <w:ind w:left="133"/>
              <w:jc w:val="left"/>
              <w:rPr>
                <w:sz w:val="16"/>
              </w:rPr>
            </w:pPr>
            <w:r>
              <w:rPr>
                <w:sz w:val="16"/>
              </w:rPr>
              <w:t>38.0%</w:t>
            </w:r>
          </w:p>
        </w:tc>
      </w:tr>
      <w:tr w:rsidR="00B4377F">
        <w:trPr>
          <w:trHeight w:hRule="exact" w:val="304"/>
        </w:trPr>
        <w:tc>
          <w:tcPr>
            <w:tcW w:w="6971" w:type="dxa"/>
          </w:tcPr>
          <w:p w:rsidR="00B4377F" w:rsidRDefault="00D7291E">
            <w:pPr>
              <w:pStyle w:val="TableParagraph"/>
              <w:ind w:right="73"/>
              <w:jc w:val="right"/>
              <w:rPr>
                <w:sz w:val="16"/>
              </w:rPr>
            </w:pPr>
            <w:r>
              <w:rPr>
                <w:sz w:val="16"/>
              </w:rPr>
              <w:t>Male</w:t>
            </w:r>
          </w:p>
        </w:tc>
        <w:tc>
          <w:tcPr>
            <w:tcW w:w="6971" w:type="dxa"/>
          </w:tcPr>
          <w:p w:rsidR="00B4377F" w:rsidRDefault="00D7291E">
            <w:pPr>
              <w:pStyle w:val="TableParagraph"/>
              <w:ind w:left="133"/>
              <w:jc w:val="left"/>
              <w:rPr>
                <w:sz w:val="16"/>
              </w:rPr>
            </w:pPr>
            <w:r>
              <w:rPr>
                <w:sz w:val="16"/>
              </w:rPr>
              <w:t>62.0%</w:t>
            </w:r>
          </w:p>
        </w:tc>
      </w:tr>
      <w:tr w:rsidR="00B4377F">
        <w:trPr>
          <w:trHeight w:hRule="exact" w:val="324"/>
        </w:trPr>
        <w:tc>
          <w:tcPr>
            <w:tcW w:w="6971" w:type="dxa"/>
            <w:tcBorders>
              <w:bottom w:val="single" w:sz="16" w:space="0" w:color="000000"/>
            </w:tcBorders>
          </w:tcPr>
          <w:p w:rsidR="00B4377F" w:rsidRDefault="00D7291E">
            <w:pPr>
              <w:pStyle w:val="TableParagraph"/>
              <w:ind w:right="73"/>
              <w:jc w:val="right"/>
              <w:rPr>
                <w:sz w:val="16"/>
              </w:rPr>
            </w:pPr>
            <w:r>
              <w:rPr>
                <w:sz w:val="16"/>
              </w:rPr>
              <w:t>Transgender</w:t>
            </w:r>
          </w:p>
        </w:tc>
        <w:tc>
          <w:tcPr>
            <w:tcW w:w="6971" w:type="dxa"/>
            <w:tcBorders>
              <w:bottom w:val="single" w:sz="16" w:space="0" w:color="000000"/>
            </w:tcBorders>
          </w:tcPr>
          <w:p w:rsidR="00B4377F" w:rsidRDefault="00D7291E">
            <w:pPr>
              <w:pStyle w:val="TableParagraph"/>
              <w:ind w:left="133"/>
              <w:jc w:val="left"/>
              <w:rPr>
                <w:sz w:val="16"/>
              </w:rPr>
            </w:pPr>
            <w:r>
              <w:rPr>
                <w:sz w:val="16"/>
              </w:rPr>
              <w:t>0.1%</w:t>
            </w:r>
          </w:p>
        </w:tc>
      </w:tr>
      <w:tr w:rsidR="00B4377F">
        <w:trPr>
          <w:trHeight w:hRule="exact" w:val="304"/>
        </w:trPr>
        <w:tc>
          <w:tcPr>
            <w:tcW w:w="13942" w:type="dxa"/>
            <w:gridSpan w:val="2"/>
            <w:tcBorders>
              <w:top w:val="single" w:sz="16" w:space="0" w:color="000000"/>
            </w:tcBorders>
            <w:shd w:val="clear" w:color="auto" w:fill="C0C0C0"/>
          </w:tcPr>
          <w:p w:rsidR="00B4377F" w:rsidRDefault="00D7291E">
            <w:pPr>
              <w:pStyle w:val="TableParagraph"/>
              <w:spacing w:before="35"/>
              <w:ind w:left="75"/>
              <w:jc w:val="left"/>
              <w:rPr>
                <w:b/>
                <w:sz w:val="16"/>
              </w:rPr>
            </w:pPr>
            <w:r>
              <w:rPr>
                <w:b/>
                <w:sz w:val="16"/>
              </w:rPr>
              <w:t>Race/Ethnicity</w:t>
            </w:r>
          </w:p>
        </w:tc>
      </w:tr>
      <w:tr w:rsidR="00B4377F">
        <w:trPr>
          <w:trHeight w:hRule="exact" w:val="304"/>
        </w:trPr>
        <w:tc>
          <w:tcPr>
            <w:tcW w:w="6971" w:type="dxa"/>
          </w:tcPr>
          <w:p w:rsidR="00B4377F" w:rsidRDefault="00D7291E">
            <w:pPr>
              <w:pStyle w:val="TableParagraph"/>
              <w:ind w:right="73"/>
              <w:jc w:val="right"/>
              <w:rPr>
                <w:sz w:val="16"/>
              </w:rPr>
            </w:pPr>
            <w:r>
              <w:rPr>
                <w:sz w:val="16"/>
              </w:rPr>
              <w:t>Black, Non-Hispanic</w:t>
            </w:r>
          </w:p>
        </w:tc>
        <w:tc>
          <w:tcPr>
            <w:tcW w:w="6971" w:type="dxa"/>
          </w:tcPr>
          <w:p w:rsidR="00B4377F" w:rsidRDefault="00D7291E">
            <w:pPr>
              <w:pStyle w:val="TableParagraph"/>
              <w:ind w:left="133"/>
              <w:jc w:val="left"/>
              <w:rPr>
                <w:sz w:val="16"/>
              </w:rPr>
            </w:pPr>
            <w:r>
              <w:rPr>
                <w:sz w:val="16"/>
              </w:rPr>
              <w:t>4.8%</w:t>
            </w:r>
          </w:p>
        </w:tc>
      </w:tr>
      <w:tr w:rsidR="00B4377F">
        <w:trPr>
          <w:trHeight w:hRule="exact" w:val="304"/>
        </w:trPr>
        <w:tc>
          <w:tcPr>
            <w:tcW w:w="6971" w:type="dxa"/>
          </w:tcPr>
          <w:p w:rsidR="00B4377F" w:rsidRDefault="00D7291E">
            <w:pPr>
              <w:pStyle w:val="TableParagraph"/>
              <w:ind w:right="74"/>
              <w:jc w:val="right"/>
              <w:rPr>
                <w:sz w:val="16"/>
              </w:rPr>
            </w:pPr>
            <w:r>
              <w:rPr>
                <w:sz w:val="16"/>
              </w:rPr>
              <w:t>Hispanic</w:t>
            </w:r>
          </w:p>
        </w:tc>
        <w:tc>
          <w:tcPr>
            <w:tcW w:w="6971" w:type="dxa"/>
          </w:tcPr>
          <w:p w:rsidR="00B4377F" w:rsidRDefault="00D7291E">
            <w:pPr>
              <w:pStyle w:val="TableParagraph"/>
              <w:ind w:left="133"/>
              <w:jc w:val="left"/>
              <w:rPr>
                <w:sz w:val="16"/>
              </w:rPr>
            </w:pPr>
            <w:r>
              <w:rPr>
                <w:sz w:val="16"/>
              </w:rPr>
              <w:t>12.1%</w:t>
            </w:r>
          </w:p>
        </w:tc>
      </w:tr>
      <w:tr w:rsidR="00B4377F">
        <w:trPr>
          <w:trHeight w:hRule="exact" w:val="304"/>
        </w:trPr>
        <w:tc>
          <w:tcPr>
            <w:tcW w:w="6971" w:type="dxa"/>
          </w:tcPr>
          <w:p w:rsidR="00B4377F" w:rsidRDefault="00D7291E">
            <w:pPr>
              <w:pStyle w:val="TableParagraph"/>
              <w:ind w:right="72"/>
              <w:jc w:val="right"/>
              <w:rPr>
                <w:sz w:val="16"/>
              </w:rPr>
            </w:pPr>
            <w:r>
              <w:rPr>
                <w:sz w:val="16"/>
              </w:rPr>
              <w:t>Multi-Racial</w:t>
            </w:r>
          </w:p>
        </w:tc>
        <w:tc>
          <w:tcPr>
            <w:tcW w:w="6971" w:type="dxa"/>
          </w:tcPr>
          <w:p w:rsidR="00B4377F" w:rsidRDefault="00D7291E">
            <w:pPr>
              <w:pStyle w:val="TableParagraph"/>
              <w:ind w:left="133"/>
              <w:jc w:val="left"/>
              <w:rPr>
                <w:sz w:val="16"/>
              </w:rPr>
            </w:pPr>
            <w:r>
              <w:rPr>
                <w:sz w:val="16"/>
              </w:rPr>
              <w:t>3.0%</w:t>
            </w:r>
          </w:p>
        </w:tc>
      </w:tr>
      <w:tr w:rsidR="00B4377F">
        <w:trPr>
          <w:trHeight w:hRule="exact" w:val="304"/>
        </w:trPr>
        <w:tc>
          <w:tcPr>
            <w:tcW w:w="6971" w:type="dxa"/>
          </w:tcPr>
          <w:p w:rsidR="00B4377F" w:rsidRDefault="00D7291E">
            <w:pPr>
              <w:pStyle w:val="TableParagraph"/>
              <w:ind w:right="72"/>
              <w:jc w:val="right"/>
              <w:rPr>
                <w:sz w:val="16"/>
              </w:rPr>
            </w:pPr>
            <w:r>
              <w:rPr>
                <w:sz w:val="16"/>
              </w:rPr>
              <w:t>Other</w:t>
            </w:r>
          </w:p>
        </w:tc>
        <w:tc>
          <w:tcPr>
            <w:tcW w:w="6971" w:type="dxa"/>
          </w:tcPr>
          <w:p w:rsidR="00B4377F" w:rsidRDefault="00D7291E">
            <w:pPr>
              <w:pStyle w:val="TableParagraph"/>
              <w:ind w:left="133"/>
              <w:jc w:val="left"/>
              <w:rPr>
                <w:sz w:val="16"/>
              </w:rPr>
            </w:pPr>
            <w:r>
              <w:rPr>
                <w:sz w:val="16"/>
              </w:rPr>
              <w:t>2.8%</w:t>
            </w:r>
          </w:p>
        </w:tc>
      </w:tr>
      <w:tr w:rsidR="00B4377F">
        <w:trPr>
          <w:trHeight w:hRule="exact" w:val="324"/>
        </w:trPr>
        <w:tc>
          <w:tcPr>
            <w:tcW w:w="6971" w:type="dxa"/>
            <w:tcBorders>
              <w:bottom w:val="single" w:sz="16" w:space="0" w:color="000000"/>
            </w:tcBorders>
          </w:tcPr>
          <w:p w:rsidR="00B4377F" w:rsidRDefault="00D7291E">
            <w:pPr>
              <w:pStyle w:val="TableParagraph"/>
              <w:ind w:right="74"/>
              <w:jc w:val="right"/>
              <w:rPr>
                <w:sz w:val="16"/>
              </w:rPr>
            </w:pPr>
            <w:r>
              <w:rPr>
                <w:sz w:val="16"/>
              </w:rPr>
              <w:t>White, Non-Hispanic</w:t>
            </w:r>
          </w:p>
        </w:tc>
        <w:tc>
          <w:tcPr>
            <w:tcW w:w="6971" w:type="dxa"/>
            <w:tcBorders>
              <w:bottom w:val="single" w:sz="16" w:space="0" w:color="000000"/>
            </w:tcBorders>
          </w:tcPr>
          <w:p w:rsidR="00B4377F" w:rsidRDefault="00D7291E">
            <w:pPr>
              <w:pStyle w:val="TableParagraph"/>
              <w:ind w:left="133"/>
              <w:jc w:val="left"/>
              <w:rPr>
                <w:sz w:val="16"/>
              </w:rPr>
            </w:pPr>
            <w:r>
              <w:rPr>
                <w:sz w:val="16"/>
              </w:rPr>
              <w:t>77.3%</w:t>
            </w:r>
          </w:p>
        </w:tc>
      </w:tr>
      <w:tr w:rsidR="00B4377F">
        <w:trPr>
          <w:trHeight w:hRule="exact" w:val="304"/>
        </w:trPr>
        <w:tc>
          <w:tcPr>
            <w:tcW w:w="13942" w:type="dxa"/>
            <w:gridSpan w:val="2"/>
            <w:tcBorders>
              <w:top w:val="single" w:sz="16" w:space="0" w:color="000000"/>
            </w:tcBorders>
            <w:shd w:val="clear" w:color="auto" w:fill="C0C0C0"/>
          </w:tcPr>
          <w:p w:rsidR="00B4377F" w:rsidRDefault="00D7291E">
            <w:pPr>
              <w:pStyle w:val="TableParagraph"/>
              <w:spacing w:before="35"/>
              <w:ind w:left="75"/>
              <w:jc w:val="left"/>
              <w:rPr>
                <w:b/>
                <w:sz w:val="16"/>
              </w:rPr>
            </w:pPr>
            <w:r>
              <w:rPr>
                <w:b/>
                <w:sz w:val="16"/>
              </w:rPr>
              <w:t>Age</w:t>
            </w:r>
          </w:p>
        </w:tc>
      </w:tr>
      <w:tr w:rsidR="00B4377F">
        <w:trPr>
          <w:trHeight w:hRule="exact" w:val="304"/>
        </w:trPr>
        <w:tc>
          <w:tcPr>
            <w:tcW w:w="6971" w:type="dxa"/>
          </w:tcPr>
          <w:p w:rsidR="00B4377F" w:rsidRDefault="00D7291E">
            <w:pPr>
              <w:pStyle w:val="TableParagraph"/>
              <w:ind w:right="73"/>
              <w:jc w:val="right"/>
              <w:rPr>
                <w:sz w:val="16"/>
              </w:rPr>
            </w:pPr>
            <w:r>
              <w:rPr>
                <w:sz w:val="16"/>
              </w:rPr>
              <w:t>18 to 20</w:t>
            </w:r>
          </w:p>
        </w:tc>
        <w:tc>
          <w:tcPr>
            <w:tcW w:w="6971" w:type="dxa"/>
          </w:tcPr>
          <w:p w:rsidR="00B4377F" w:rsidRDefault="00D7291E">
            <w:pPr>
              <w:pStyle w:val="TableParagraph"/>
              <w:ind w:left="133"/>
              <w:jc w:val="left"/>
              <w:rPr>
                <w:sz w:val="16"/>
              </w:rPr>
            </w:pPr>
            <w:r>
              <w:rPr>
                <w:sz w:val="16"/>
              </w:rPr>
              <w:t>15.1%</w:t>
            </w:r>
          </w:p>
        </w:tc>
      </w:tr>
      <w:tr w:rsidR="00B4377F">
        <w:trPr>
          <w:trHeight w:hRule="exact" w:val="324"/>
        </w:trPr>
        <w:tc>
          <w:tcPr>
            <w:tcW w:w="6971" w:type="dxa"/>
            <w:tcBorders>
              <w:bottom w:val="single" w:sz="16" w:space="0" w:color="000000"/>
            </w:tcBorders>
          </w:tcPr>
          <w:p w:rsidR="00B4377F" w:rsidRDefault="00D7291E">
            <w:pPr>
              <w:pStyle w:val="TableParagraph"/>
              <w:ind w:right="73"/>
              <w:jc w:val="right"/>
              <w:rPr>
                <w:sz w:val="16"/>
              </w:rPr>
            </w:pPr>
            <w:r>
              <w:rPr>
                <w:sz w:val="16"/>
              </w:rPr>
              <w:t>21 to 25</w:t>
            </w:r>
          </w:p>
        </w:tc>
        <w:tc>
          <w:tcPr>
            <w:tcW w:w="6971" w:type="dxa"/>
            <w:tcBorders>
              <w:bottom w:val="single" w:sz="16" w:space="0" w:color="000000"/>
            </w:tcBorders>
          </w:tcPr>
          <w:p w:rsidR="00B4377F" w:rsidRDefault="00D7291E">
            <w:pPr>
              <w:pStyle w:val="TableParagraph"/>
              <w:ind w:left="133"/>
              <w:jc w:val="left"/>
              <w:rPr>
                <w:sz w:val="16"/>
              </w:rPr>
            </w:pPr>
            <w:r>
              <w:rPr>
                <w:sz w:val="16"/>
              </w:rPr>
              <w:t>84.9%</w:t>
            </w:r>
          </w:p>
        </w:tc>
      </w:tr>
      <w:tr w:rsidR="00B4377F">
        <w:trPr>
          <w:trHeight w:hRule="exact" w:val="304"/>
        </w:trPr>
        <w:tc>
          <w:tcPr>
            <w:tcW w:w="13942" w:type="dxa"/>
            <w:gridSpan w:val="2"/>
            <w:tcBorders>
              <w:top w:val="single" w:sz="16" w:space="0" w:color="000000"/>
            </w:tcBorders>
            <w:shd w:val="clear" w:color="auto" w:fill="C0C0C0"/>
          </w:tcPr>
          <w:p w:rsidR="00B4377F" w:rsidRDefault="00D7291E">
            <w:pPr>
              <w:pStyle w:val="TableParagraph"/>
              <w:spacing w:before="35"/>
              <w:ind w:left="75"/>
              <w:jc w:val="left"/>
              <w:rPr>
                <w:b/>
                <w:sz w:val="16"/>
              </w:rPr>
            </w:pPr>
            <w:r>
              <w:rPr>
                <w:b/>
                <w:sz w:val="16"/>
              </w:rPr>
              <w:t>Education Level</w:t>
            </w:r>
          </w:p>
        </w:tc>
      </w:tr>
      <w:tr w:rsidR="00B4377F">
        <w:trPr>
          <w:trHeight w:hRule="exact" w:val="304"/>
        </w:trPr>
        <w:tc>
          <w:tcPr>
            <w:tcW w:w="6971" w:type="dxa"/>
          </w:tcPr>
          <w:p w:rsidR="00B4377F" w:rsidRDefault="00D7291E">
            <w:pPr>
              <w:pStyle w:val="TableParagraph"/>
              <w:ind w:right="72"/>
              <w:jc w:val="right"/>
              <w:rPr>
                <w:sz w:val="16"/>
              </w:rPr>
            </w:pPr>
            <w:r>
              <w:rPr>
                <w:sz w:val="16"/>
              </w:rPr>
              <w:t>No Education or Less Than High School</w:t>
            </w:r>
          </w:p>
        </w:tc>
        <w:tc>
          <w:tcPr>
            <w:tcW w:w="6971" w:type="dxa"/>
          </w:tcPr>
          <w:p w:rsidR="00B4377F" w:rsidRDefault="00D7291E">
            <w:pPr>
              <w:pStyle w:val="TableParagraph"/>
              <w:ind w:left="133"/>
              <w:jc w:val="left"/>
              <w:rPr>
                <w:sz w:val="16"/>
              </w:rPr>
            </w:pPr>
            <w:r>
              <w:rPr>
                <w:sz w:val="16"/>
              </w:rPr>
              <w:t>30.0%</w:t>
            </w:r>
          </w:p>
        </w:tc>
      </w:tr>
      <w:tr w:rsidR="00B4377F">
        <w:trPr>
          <w:trHeight w:hRule="exact" w:val="304"/>
        </w:trPr>
        <w:tc>
          <w:tcPr>
            <w:tcW w:w="6971" w:type="dxa"/>
          </w:tcPr>
          <w:p w:rsidR="00B4377F" w:rsidRDefault="00D7291E">
            <w:pPr>
              <w:pStyle w:val="TableParagraph"/>
              <w:ind w:right="73"/>
              <w:jc w:val="right"/>
              <w:rPr>
                <w:sz w:val="16"/>
              </w:rPr>
            </w:pPr>
            <w:r>
              <w:rPr>
                <w:sz w:val="16"/>
              </w:rPr>
              <w:t>High School Diploma / GED</w:t>
            </w:r>
          </w:p>
        </w:tc>
        <w:tc>
          <w:tcPr>
            <w:tcW w:w="6971" w:type="dxa"/>
          </w:tcPr>
          <w:p w:rsidR="00B4377F" w:rsidRDefault="00D7291E">
            <w:pPr>
              <w:pStyle w:val="TableParagraph"/>
              <w:ind w:left="133"/>
              <w:jc w:val="left"/>
              <w:rPr>
                <w:sz w:val="16"/>
              </w:rPr>
            </w:pPr>
            <w:r>
              <w:rPr>
                <w:sz w:val="16"/>
              </w:rPr>
              <w:t>45.2%</w:t>
            </w:r>
          </w:p>
        </w:tc>
      </w:tr>
      <w:tr w:rsidR="00B4377F">
        <w:trPr>
          <w:trHeight w:hRule="exact" w:val="304"/>
        </w:trPr>
        <w:tc>
          <w:tcPr>
            <w:tcW w:w="6971" w:type="dxa"/>
          </w:tcPr>
          <w:p w:rsidR="00B4377F" w:rsidRDefault="00D7291E">
            <w:pPr>
              <w:pStyle w:val="TableParagraph"/>
              <w:ind w:right="72"/>
              <w:jc w:val="right"/>
              <w:rPr>
                <w:sz w:val="16"/>
              </w:rPr>
            </w:pPr>
            <w:r>
              <w:rPr>
                <w:sz w:val="16"/>
              </w:rPr>
              <w:t>Beyond High School, No College Degree</w:t>
            </w:r>
          </w:p>
        </w:tc>
        <w:tc>
          <w:tcPr>
            <w:tcW w:w="6971" w:type="dxa"/>
          </w:tcPr>
          <w:p w:rsidR="00B4377F" w:rsidRDefault="00D7291E">
            <w:pPr>
              <w:pStyle w:val="TableParagraph"/>
              <w:ind w:left="133"/>
              <w:jc w:val="left"/>
              <w:rPr>
                <w:sz w:val="16"/>
              </w:rPr>
            </w:pPr>
            <w:r>
              <w:rPr>
                <w:sz w:val="16"/>
              </w:rPr>
              <w:t>20.3%</w:t>
            </w:r>
          </w:p>
        </w:tc>
      </w:tr>
      <w:tr w:rsidR="00B4377F">
        <w:trPr>
          <w:trHeight w:hRule="exact" w:val="304"/>
        </w:trPr>
        <w:tc>
          <w:tcPr>
            <w:tcW w:w="6971" w:type="dxa"/>
          </w:tcPr>
          <w:p w:rsidR="00B4377F" w:rsidRDefault="00D7291E">
            <w:pPr>
              <w:pStyle w:val="TableParagraph"/>
              <w:ind w:right="73"/>
              <w:jc w:val="right"/>
              <w:rPr>
                <w:sz w:val="16"/>
              </w:rPr>
            </w:pPr>
            <w:r>
              <w:rPr>
                <w:sz w:val="16"/>
              </w:rPr>
              <w:t>College Degree or Higher</w:t>
            </w:r>
          </w:p>
        </w:tc>
        <w:tc>
          <w:tcPr>
            <w:tcW w:w="6971" w:type="dxa"/>
          </w:tcPr>
          <w:p w:rsidR="00B4377F" w:rsidRDefault="00D7291E">
            <w:pPr>
              <w:pStyle w:val="TableParagraph"/>
              <w:ind w:left="133"/>
              <w:jc w:val="left"/>
              <w:rPr>
                <w:sz w:val="16"/>
              </w:rPr>
            </w:pPr>
            <w:r>
              <w:rPr>
                <w:sz w:val="16"/>
              </w:rPr>
              <w:t>2.8%</w:t>
            </w:r>
          </w:p>
        </w:tc>
      </w:tr>
      <w:tr w:rsidR="00B4377F">
        <w:trPr>
          <w:trHeight w:hRule="exact" w:val="324"/>
        </w:trPr>
        <w:tc>
          <w:tcPr>
            <w:tcW w:w="6971" w:type="dxa"/>
            <w:tcBorders>
              <w:bottom w:val="single" w:sz="16" w:space="0" w:color="000000"/>
            </w:tcBorders>
          </w:tcPr>
          <w:p w:rsidR="00B4377F" w:rsidRDefault="00D7291E">
            <w:pPr>
              <w:pStyle w:val="TableParagraph"/>
              <w:ind w:right="72"/>
              <w:jc w:val="right"/>
              <w:rPr>
                <w:sz w:val="16"/>
              </w:rPr>
            </w:pPr>
            <w:r>
              <w:rPr>
                <w:sz w:val="16"/>
              </w:rPr>
              <w:t>Other</w:t>
            </w:r>
          </w:p>
        </w:tc>
        <w:tc>
          <w:tcPr>
            <w:tcW w:w="6971" w:type="dxa"/>
            <w:tcBorders>
              <w:bottom w:val="single" w:sz="16" w:space="0" w:color="000000"/>
            </w:tcBorders>
          </w:tcPr>
          <w:p w:rsidR="00B4377F" w:rsidRDefault="00D7291E">
            <w:pPr>
              <w:pStyle w:val="TableParagraph"/>
              <w:ind w:left="133"/>
              <w:jc w:val="left"/>
              <w:rPr>
                <w:sz w:val="16"/>
              </w:rPr>
            </w:pPr>
            <w:r>
              <w:rPr>
                <w:sz w:val="16"/>
              </w:rPr>
              <w:t>1.6%</w:t>
            </w:r>
          </w:p>
        </w:tc>
      </w:tr>
      <w:tr w:rsidR="00B4377F">
        <w:trPr>
          <w:trHeight w:hRule="exact" w:val="304"/>
        </w:trPr>
        <w:tc>
          <w:tcPr>
            <w:tcW w:w="13942" w:type="dxa"/>
            <w:gridSpan w:val="2"/>
            <w:tcBorders>
              <w:top w:val="single" w:sz="16" w:space="0" w:color="000000"/>
            </w:tcBorders>
            <w:shd w:val="clear" w:color="auto" w:fill="C0C0C0"/>
          </w:tcPr>
          <w:p w:rsidR="00B4377F" w:rsidRDefault="00D7291E">
            <w:pPr>
              <w:pStyle w:val="TableParagraph"/>
              <w:spacing w:before="35"/>
              <w:ind w:left="75"/>
              <w:jc w:val="left"/>
              <w:rPr>
                <w:b/>
                <w:sz w:val="16"/>
              </w:rPr>
            </w:pPr>
            <w:r>
              <w:rPr>
                <w:b/>
                <w:sz w:val="16"/>
              </w:rPr>
              <w:t xml:space="preserve">Employment (N= 8,604; excludes </w:t>
            </w:r>
            <w:hyperlink w:anchor="_bookmark0" w:history="1">
              <w:r>
                <w:rPr>
                  <w:b/>
                  <w:color w:val="0000FF"/>
                  <w:sz w:val="16"/>
                  <w:u w:val="single" w:color="0000FF"/>
                </w:rPr>
                <w:t>not in labor force</w:t>
              </w:r>
            </w:hyperlink>
            <w:r>
              <w:rPr>
                <w:b/>
                <w:sz w:val="16"/>
              </w:rPr>
              <w:t>)</w:t>
            </w:r>
          </w:p>
        </w:tc>
      </w:tr>
      <w:tr w:rsidR="00B4377F">
        <w:trPr>
          <w:trHeight w:hRule="exact" w:val="304"/>
        </w:trPr>
        <w:tc>
          <w:tcPr>
            <w:tcW w:w="6971" w:type="dxa"/>
          </w:tcPr>
          <w:p w:rsidR="00B4377F" w:rsidRDefault="00D7291E">
            <w:pPr>
              <w:pStyle w:val="TableParagraph"/>
              <w:ind w:right="73"/>
              <w:jc w:val="right"/>
              <w:rPr>
                <w:sz w:val="16"/>
              </w:rPr>
            </w:pPr>
            <w:r>
              <w:rPr>
                <w:sz w:val="16"/>
              </w:rPr>
              <w:t>Employed</w:t>
            </w:r>
          </w:p>
        </w:tc>
        <w:tc>
          <w:tcPr>
            <w:tcW w:w="6971" w:type="dxa"/>
          </w:tcPr>
          <w:p w:rsidR="00B4377F" w:rsidRDefault="00D7291E">
            <w:pPr>
              <w:pStyle w:val="TableParagraph"/>
              <w:ind w:left="133"/>
              <w:jc w:val="left"/>
              <w:rPr>
                <w:sz w:val="16"/>
              </w:rPr>
            </w:pPr>
            <w:r>
              <w:rPr>
                <w:sz w:val="16"/>
              </w:rPr>
              <w:t>47.5%</w:t>
            </w:r>
          </w:p>
        </w:tc>
      </w:tr>
      <w:tr w:rsidR="00B4377F">
        <w:trPr>
          <w:trHeight w:hRule="exact" w:val="324"/>
        </w:trPr>
        <w:tc>
          <w:tcPr>
            <w:tcW w:w="6971" w:type="dxa"/>
            <w:tcBorders>
              <w:bottom w:val="single" w:sz="16" w:space="0" w:color="000000"/>
            </w:tcBorders>
          </w:tcPr>
          <w:p w:rsidR="00B4377F" w:rsidRDefault="00D7291E">
            <w:pPr>
              <w:pStyle w:val="TableParagraph"/>
              <w:ind w:right="73"/>
              <w:jc w:val="right"/>
              <w:rPr>
                <w:sz w:val="16"/>
              </w:rPr>
            </w:pPr>
            <w:r>
              <w:rPr>
                <w:sz w:val="16"/>
              </w:rPr>
              <w:t>Not Employed</w:t>
            </w:r>
          </w:p>
        </w:tc>
        <w:tc>
          <w:tcPr>
            <w:tcW w:w="6971" w:type="dxa"/>
            <w:tcBorders>
              <w:bottom w:val="single" w:sz="16" w:space="0" w:color="000000"/>
            </w:tcBorders>
          </w:tcPr>
          <w:p w:rsidR="00B4377F" w:rsidRDefault="00D7291E">
            <w:pPr>
              <w:pStyle w:val="TableParagraph"/>
              <w:ind w:left="133"/>
              <w:jc w:val="left"/>
              <w:rPr>
                <w:sz w:val="16"/>
              </w:rPr>
            </w:pPr>
            <w:r>
              <w:rPr>
                <w:sz w:val="16"/>
              </w:rPr>
              <w:t>52.5%</w:t>
            </w:r>
          </w:p>
        </w:tc>
      </w:tr>
      <w:tr w:rsidR="00B4377F">
        <w:trPr>
          <w:trHeight w:hRule="exact" w:val="304"/>
        </w:trPr>
        <w:tc>
          <w:tcPr>
            <w:tcW w:w="13942" w:type="dxa"/>
            <w:gridSpan w:val="2"/>
            <w:tcBorders>
              <w:top w:val="single" w:sz="16" w:space="0" w:color="000000"/>
            </w:tcBorders>
            <w:shd w:val="clear" w:color="auto" w:fill="C0C0C0"/>
          </w:tcPr>
          <w:p w:rsidR="00B4377F" w:rsidRDefault="00D7291E">
            <w:pPr>
              <w:pStyle w:val="TableParagraph"/>
              <w:spacing w:before="35"/>
              <w:ind w:left="75"/>
              <w:jc w:val="left"/>
              <w:rPr>
                <w:b/>
                <w:sz w:val="16"/>
              </w:rPr>
            </w:pPr>
            <w:r>
              <w:rPr>
                <w:b/>
                <w:sz w:val="16"/>
              </w:rPr>
              <w:t>Homeless at Enrollment (N= 11,111 ; excludes cases where housing disposition at enrollment could not be determined)</w:t>
            </w:r>
          </w:p>
        </w:tc>
      </w:tr>
      <w:tr w:rsidR="00B4377F">
        <w:trPr>
          <w:trHeight w:hRule="exact" w:val="304"/>
        </w:trPr>
        <w:tc>
          <w:tcPr>
            <w:tcW w:w="6971" w:type="dxa"/>
          </w:tcPr>
          <w:p w:rsidR="00B4377F" w:rsidRDefault="00D7291E">
            <w:pPr>
              <w:pStyle w:val="TableParagraph"/>
              <w:ind w:right="73"/>
              <w:jc w:val="right"/>
              <w:rPr>
                <w:sz w:val="16"/>
              </w:rPr>
            </w:pPr>
            <w:r>
              <w:rPr>
                <w:sz w:val="16"/>
              </w:rPr>
              <w:t>No</w:t>
            </w:r>
          </w:p>
        </w:tc>
        <w:tc>
          <w:tcPr>
            <w:tcW w:w="6971" w:type="dxa"/>
          </w:tcPr>
          <w:p w:rsidR="00B4377F" w:rsidRDefault="00D7291E">
            <w:pPr>
              <w:pStyle w:val="TableParagraph"/>
              <w:ind w:left="133"/>
              <w:jc w:val="left"/>
              <w:rPr>
                <w:sz w:val="16"/>
              </w:rPr>
            </w:pPr>
            <w:r>
              <w:rPr>
                <w:sz w:val="16"/>
              </w:rPr>
              <w:t>74.8%</w:t>
            </w:r>
          </w:p>
        </w:tc>
      </w:tr>
      <w:tr w:rsidR="00B4377F">
        <w:trPr>
          <w:trHeight w:hRule="exact" w:val="324"/>
        </w:trPr>
        <w:tc>
          <w:tcPr>
            <w:tcW w:w="6971" w:type="dxa"/>
            <w:tcBorders>
              <w:bottom w:val="single" w:sz="16" w:space="0" w:color="000000"/>
            </w:tcBorders>
          </w:tcPr>
          <w:p w:rsidR="00B4377F" w:rsidRDefault="00D7291E">
            <w:pPr>
              <w:pStyle w:val="TableParagraph"/>
              <w:ind w:right="73"/>
              <w:jc w:val="right"/>
              <w:rPr>
                <w:sz w:val="16"/>
              </w:rPr>
            </w:pPr>
            <w:r>
              <w:rPr>
                <w:sz w:val="16"/>
              </w:rPr>
              <w:t>Yes</w:t>
            </w:r>
          </w:p>
        </w:tc>
        <w:tc>
          <w:tcPr>
            <w:tcW w:w="6971" w:type="dxa"/>
            <w:tcBorders>
              <w:bottom w:val="single" w:sz="16" w:space="0" w:color="000000"/>
            </w:tcBorders>
          </w:tcPr>
          <w:p w:rsidR="00B4377F" w:rsidRDefault="00D7291E">
            <w:pPr>
              <w:pStyle w:val="TableParagraph"/>
              <w:ind w:left="133"/>
              <w:jc w:val="left"/>
              <w:rPr>
                <w:sz w:val="16"/>
              </w:rPr>
            </w:pPr>
            <w:r>
              <w:rPr>
                <w:sz w:val="16"/>
              </w:rPr>
              <w:t>25.2%</w:t>
            </w:r>
          </w:p>
        </w:tc>
      </w:tr>
      <w:tr w:rsidR="00B4377F">
        <w:trPr>
          <w:trHeight w:hRule="exact" w:val="304"/>
        </w:trPr>
        <w:tc>
          <w:tcPr>
            <w:tcW w:w="13942" w:type="dxa"/>
            <w:gridSpan w:val="2"/>
            <w:tcBorders>
              <w:top w:val="single" w:sz="16" w:space="0" w:color="000000"/>
            </w:tcBorders>
            <w:shd w:val="clear" w:color="auto" w:fill="C0C0C0"/>
          </w:tcPr>
          <w:p w:rsidR="00B4377F" w:rsidRDefault="00D7291E">
            <w:pPr>
              <w:pStyle w:val="TableParagraph"/>
              <w:spacing w:before="35"/>
              <w:ind w:left="75"/>
              <w:jc w:val="left"/>
              <w:rPr>
                <w:b/>
                <w:sz w:val="16"/>
              </w:rPr>
            </w:pPr>
            <w:r>
              <w:rPr>
                <w:b/>
                <w:sz w:val="16"/>
              </w:rPr>
              <w:t>At Risk of Homelessness</w:t>
            </w:r>
          </w:p>
        </w:tc>
      </w:tr>
      <w:tr w:rsidR="00B4377F">
        <w:trPr>
          <w:trHeight w:hRule="exact" w:val="304"/>
        </w:trPr>
        <w:tc>
          <w:tcPr>
            <w:tcW w:w="6971" w:type="dxa"/>
          </w:tcPr>
          <w:p w:rsidR="00B4377F" w:rsidRDefault="00D7291E">
            <w:pPr>
              <w:pStyle w:val="TableParagraph"/>
              <w:ind w:right="74"/>
              <w:jc w:val="right"/>
              <w:rPr>
                <w:sz w:val="16"/>
              </w:rPr>
            </w:pPr>
            <w:r>
              <w:rPr>
                <w:sz w:val="16"/>
              </w:rPr>
              <w:t>Homeless</w:t>
            </w:r>
          </w:p>
        </w:tc>
        <w:tc>
          <w:tcPr>
            <w:tcW w:w="6971" w:type="dxa"/>
          </w:tcPr>
          <w:p w:rsidR="00B4377F" w:rsidRDefault="00D7291E">
            <w:pPr>
              <w:pStyle w:val="TableParagraph"/>
              <w:ind w:left="133"/>
              <w:jc w:val="left"/>
              <w:rPr>
                <w:sz w:val="16"/>
              </w:rPr>
            </w:pPr>
            <w:r>
              <w:rPr>
                <w:sz w:val="16"/>
              </w:rPr>
              <w:t>30.9%</w:t>
            </w:r>
          </w:p>
        </w:tc>
      </w:tr>
      <w:tr w:rsidR="00B4377F" w:rsidTr="00650F6A">
        <w:trPr>
          <w:trHeight w:hRule="exact" w:val="324"/>
        </w:trPr>
        <w:tc>
          <w:tcPr>
            <w:tcW w:w="6971" w:type="dxa"/>
            <w:tcBorders>
              <w:bottom w:val="single" w:sz="18" w:space="0" w:color="000000"/>
            </w:tcBorders>
          </w:tcPr>
          <w:p w:rsidR="00B4377F" w:rsidRDefault="00D7291E">
            <w:pPr>
              <w:pStyle w:val="TableParagraph"/>
              <w:ind w:right="74"/>
              <w:jc w:val="right"/>
              <w:rPr>
                <w:sz w:val="16"/>
              </w:rPr>
            </w:pPr>
            <w:r>
              <w:rPr>
                <w:sz w:val="16"/>
              </w:rPr>
              <w:t>Not Homeless</w:t>
            </w:r>
          </w:p>
        </w:tc>
        <w:tc>
          <w:tcPr>
            <w:tcW w:w="6971" w:type="dxa"/>
            <w:tcBorders>
              <w:bottom w:val="single" w:sz="18" w:space="0" w:color="000000"/>
            </w:tcBorders>
          </w:tcPr>
          <w:p w:rsidR="00B4377F" w:rsidRDefault="00D7291E">
            <w:pPr>
              <w:pStyle w:val="TableParagraph"/>
              <w:ind w:left="133"/>
              <w:jc w:val="left"/>
              <w:rPr>
                <w:sz w:val="16"/>
              </w:rPr>
            </w:pPr>
            <w:r>
              <w:rPr>
                <w:sz w:val="16"/>
              </w:rPr>
              <w:t>69.1%</w:t>
            </w:r>
          </w:p>
        </w:tc>
      </w:tr>
      <w:tr w:rsidR="00B4377F" w:rsidTr="00650F6A">
        <w:trPr>
          <w:trHeight w:hRule="exact" w:val="304"/>
        </w:trPr>
        <w:tc>
          <w:tcPr>
            <w:tcW w:w="13942" w:type="dxa"/>
            <w:gridSpan w:val="2"/>
            <w:tcBorders>
              <w:top w:val="single" w:sz="18" w:space="0" w:color="000000"/>
            </w:tcBorders>
            <w:shd w:val="clear" w:color="auto" w:fill="C0C0C0"/>
          </w:tcPr>
          <w:p w:rsidR="00B4377F" w:rsidRDefault="00D7291E">
            <w:pPr>
              <w:pStyle w:val="TableParagraph"/>
              <w:ind w:left="75"/>
              <w:jc w:val="left"/>
              <w:rPr>
                <w:b/>
                <w:sz w:val="16"/>
              </w:rPr>
            </w:pPr>
            <w:r>
              <w:rPr>
                <w:b/>
                <w:sz w:val="16"/>
              </w:rPr>
              <w:t>Marital Status</w:t>
            </w:r>
            <w:bookmarkStart w:id="0" w:name="_GoBack"/>
            <w:bookmarkEnd w:id="0"/>
          </w:p>
        </w:tc>
      </w:tr>
      <w:tr w:rsidR="00B4377F">
        <w:trPr>
          <w:trHeight w:hRule="exact" w:val="304"/>
        </w:trPr>
        <w:tc>
          <w:tcPr>
            <w:tcW w:w="6971" w:type="dxa"/>
          </w:tcPr>
          <w:p w:rsidR="00B4377F" w:rsidRDefault="00D7291E">
            <w:pPr>
              <w:pStyle w:val="TableParagraph"/>
              <w:ind w:right="72"/>
              <w:jc w:val="right"/>
              <w:rPr>
                <w:sz w:val="16"/>
              </w:rPr>
            </w:pPr>
            <w:r>
              <w:rPr>
                <w:sz w:val="16"/>
              </w:rPr>
              <w:t>Married</w:t>
            </w:r>
          </w:p>
        </w:tc>
        <w:tc>
          <w:tcPr>
            <w:tcW w:w="6971" w:type="dxa"/>
          </w:tcPr>
          <w:p w:rsidR="00B4377F" w:rsidRDefault="00D7291E">
            <w:pPr>
              <w:pStyle w:val="TableParagraph"/>
              <w:ind w:left="133"/>
              <w:jc w:val="left"/>
              <w:rPr>
                <w:sz w:val="16"/>
              </w:rPr>
            </w:pPr>
            <w:r>
              <w:rPr>
                <w:sz w:val="16"/>
              </w:rPr>
              <w:t>1.5%</w:t>
            </w:r>
          </w:p>
        </w:tc>
      </w:tr>
      <w:tr w:rsidR="00B4377F">
        <w:trPr>
          <w:trHeight w:hRule="exact" w:val="304"/>
        </w:trPr>
        <w:tc>
          <w:tcPr>
            <w:tcW w:w="6971" w:type="dxa"/>
          </w:tcPr>
          <w:p w:rsidR="00B4377F" w:rsidRDefault="00D7291E">
            <w:pPr>
              <w:pStyle w:val="TableParagraph"/>
              <w:ind w:right="73"/>
              <w:jc w:val="right"/>
              <w:rPr>
                <w:sz w:val="16"/>
              </w:rPr>
            </w:pPr>
            <w:r>
              <w:rPr>
                <w:sz w:val="16"/>
              </w:rPr>
              <w:t>Divorced</w:t>
            </w:r>
          </w:p>
        </w:tc>
        <w:tc>
          <w:tcPr>
            <w:tcW w:w="6971" w:type="dxa"/>
          </w:tcPr>
          <w:p w:rsidR="00B4377F" w:rsidRDefault="00D7291E">
            <w:pPr>
              <w:pStyle w:val="TableParagraph"/>
              <w:ind w:left="133"/>
              <w:jc w:val="left"/>
              <w:rPr>
                <w:sz w:val="16"/>
              </w:rPr>
            </w:pPr>
            <w:r>
              <w:rPr>
                <w:sz w:val="16"/>
              </w:rPr>
              <w:t>0.5%</w:t>
            </w:r>
          </w:p>
        </w:tc>
      </w:tr>
      <w:tr w:rsidR="00B4377F">
        <w:trPr>
          <w:trHeight w:hRule="exact" w:val="304"/>
        </w:trPr>
        <w:tc>
          <w:tcPr>
            <w:tcW w:w="6971" w:type="dxa"/>
          </w:tcPr>
          <w:p w:rsidR="00B4377F" w:rsidRDefault="00D7291E">
            <w:pPr>
              <w:pStyle w:val="TableParagraph"/>
              <w:ind w:right="73"/>
              <w:jc w:val="right"/>
              <w:rPr>
                <w:sz w:val="16"/>
              </w:rPr>
            </w:pPr>
            <w:r>
              <w:rPr>
                <w:sz w:val="16"/>
              </w:rPr>
              <w:t>Separated</w:t>
            </w:r>
          </w:p>
        </w:tc>
        <w:tc>
          <w:tcPr>
            <w:tcW w:w="6971" w:type="dxa"/>
          </w:tcPr>
          <w:p w:rsidR="00B4377F" w:rsidRDefault="00D7291E">
            <w:pPr>
              <w:pStyle w:val="TableParagraph"/>
              <w:ind w:left="133"/>
              <w:jc w:val="left"/>
              <w:rPr>
                <w:sz w:val="16"/>
              </w:rPr>
            </w:pPr>
            <w:r>
              <w:rPr>
                <w:sz w:val="16"/>
              </w:rPr>
              <w:t>0.7%</w:t>
            </w:r>
          </w:p>
        </w:tc>
      </w:tr>
      <w:tr w:rsidR="00B4377F">
        <w:trPr>
          <w:trHeight w:hRule="exact" w:val="304"/>
        </w:trPr>
        <w:tc>
          <w:tcPr>
            <w:tcW w:w="6971" w:type="dxa"/>
          </w:tcPr>
          <w:p w:rsidR="00B4377F" w:rsidRDefault="00D7291E">
            <w:pPr>
              <w:pStyle w:val="TableParagraph"/>
              <w:ind w:right="73"/>
              <w:jc w:val="right"/>
              <w:rPr>
                <w:sz w:val="16"/>
              </w:rPr>
            </w:pPr>
            <w:r>
              <w:rPr>
                <w:sz w:val="16"/>
              </w:rPr>
              <w:t>Never Married</w:t>
            </w:r>
          </w:p>
        </w:tc>
        <w:tc>
          <w:tcPr>
            <w:tcW w:w="6971" w:type="dxa"/>
          </w:tcPr>
          <w:p w:rsidR="00B4377F" w:rsidRDefault="00D7291E">
            <w:pPr>
              <w:pStyle w:val="TableParagraph"/>
              <w:ind w:left="133"/>
              <w:jc w:val="left"/>
              <w:rPr>
                <w:sz w:val="16"/>
              </w:rPr>
            </w:pPr>
            <w:r>
              <w:rPr>
                <w:sz w:val="16"/>
              </w:rPr>
              <w:t>95.6%</w:t>
            </w:r>
          </w:p>
        </w:tc>
      </w:tr>
      <w:tr w:rsidR="00B4377F">
        <w:trPr>
          <w:trHeight w:hRule="exact" w:val="304"/>
        </w:trPr>
        <w:tc>
          <w:tcPr>
            <w:tcW w:w="6971" w:type="dxa"/>
          </w:tcPr>
          <w:p w:rsidR="00B4377F" w:rsidRDefault="00D7291E">
            <w:pPr>
              <w:pStyle w:val="TableParagraph"/>
              <w:ind w:right="74"/>
              <w:jc w:val="right"/>
              <w:rPr>
                <w:sz w:val="16"/>
              </w:rPr>
            </w:pPr>
            <w:r>
              <w:rPr>
                <w:sz w:val="16"/>
              </w:rPr>
              <w:t>Partnership</w:t>
            </w:r>
          </w:p>
        </w:tc>
        <w:tc>
          <w:tcPr>
            <w:tcW w:w="6971" w:type="dxa"/>
          </w:tcPr>
          <w:p w:rsidR="00B4377F" w:rsidRDefault="00D7291E">
            <w:pPr>
              <w:pStyle w:val="TableParagraph"/>
              <w:ind w:left="133"/>
              <w:jc w:val="left"/>
              <w:rPr>
                <w:sz w:val="16"/>
              </w:rPr>
            </w:pPr>
            <w:r>
              <w:rPr>
                <w:sz w:val="16"/>
              </w:rPr>
              <w:t>1.7%</w:t>
            </w:r>
          </w:p>
        </w:tc>
      </w:tr>
      <w:tr w:rsidR="00B4377F">
        <w:trPr>
          <w:trHeight w:hRule="exact" w:val="324"/>
        </w:trPr>
        <w:tc>
          <w:tcPr>
            <w:tcW w:w="6971" w:type="dxa"/>
            <w:tcBorders>
              <w:bottom w:val="single" w:sz="16" w:space="0" w:color="000000"/>
            </w:tcBorders>
          </w:tcPr>
          <w:p w:rsidR="00B4377F" w:rsidRDefault="00D7291E">
            <w:pPr>
              <w:pStyle w:val="TableParagraph"/>
              <w:ind w:right="73"/>
              <w:jc w:val="right"/>
              <w:rPr>
                <w:sz w:val="16"/>
              </w:rPr>
            </w:pPr>
            <w:r>
              <w:rPr>
                <w:sz w:val="16"/>
              </w:rPr>
              <w:t>Widowed</w:t>
            </w:r>
          </w:p>
        </w:tc>
        <w:tc>
          <w:tcPr>
            <w:tcW w:w="6971" w:type="dxa"/>
            <w:tcBorders>
              <w:bottom w:val="single" w:sz="16" w:space="0" w:color="000000"/>
            </w:tcBorders>
          </w:tcPr>
          <w:p w:rsidR="00B4377F" w:rsidRDefault="00D7291E">
            <w:pPr>
              <w:pStyle w:val="TableParagraph"/>
              <w:ind w:left="133"/>
              <w:jc w:val="left"/>
              <w:rPr>
                <w:sz w:val="16"/>
              </w:rPr>
            </w:pPr>
            <w:r>
              <w:rPr>
                <w:sz w:val="16"/>
              </w:rPr>
              <w:t>0.1%</w:t>
            </w:r>
          </w:p>
        </w:tc>
      </w:tr>
      <w:tr w:rsidR="00B4377F">
        <w:trPr>
          <w:trHeight w:hRule="exact" w:val="304"/>
        </w:trPr>
        <w:tc>
          <w:tcPr>
            <w:tcW w:w="13942" w:type="dxa"/>
            <w:gridSpan w:val="2"/>
            <w:tcBorders>
              <w:top w:val="single" w:sz="16" w:space="0" w:color="000000"/>
            </w:tcBorders>
            <w:shd w:val="clear" w:color="auto" w:fill="C0C0C0"/>
          </w:tcPr>
          <w:p w:rsidR="00B4377F" w:rsidRDefault="00D7291E">
            <w:pPr>
              <w:pStyle w:val="TableParagraph"/>
              <w:spacing w:before="35"/>
              <w:ind w:left="75"/>
              <w:jc w:val="left"/>
              <w:rPr>
                <w:b/>
                <w:sz w:val="16"/>
              </w:rPr>
            </w:pPr>
            <w:r>
              <w:rPr>
                <w:b/>
                <w:sz w:val="16"/>
              </w:rPr>
              <w:t>Client's Region of Residence</w:t>
            </w:r>
          </w:p>
        </w:tc>
      </w:tr>
      <w:tr w:rsidR="00B4377F">
        <w:trPr>
          <w:trHeight w:hRule="exact" w:val="304"/>
        </w:trPr>
        <w:tc>
          <w:tcPr>
            <w:tcW w:w="6971" w:type="dxa"/>
          </w:tcPr>
          <w:p w:rsidR="00B4377F" w:rsidRDefault="00D7291E">
            <w:pPr>
              <w:pStyle w:val="TableParagraph"/>
              <w:ind w:right="73"/>
              <w:jc w:val="right"/>
              <w:rPr>
                <w:sz w:val="16"/>
              </w:rPr>
            </w:pPr>
            <w:r>
              <w:rPr>
                <w:sz w:val="16"/>
              </w:rPr>
              <w:t>Central</w:t>
            </w:r>
          </w:p>
        </w:tc>
        <w:tc>
          <w:tcPr>
            <w:tcW w:w="6971" w:type="dxa"/>
          </w:tcPr>
          <w:p w:rsidR="00B4377F" w:rsidRDefault="00D7291E">
            <w:pPr>
              <w:pStyle w:val="TableParagraph"/>
              <w:ind w:left="133"/>
              <w:jc w:val="left"/>
              <w:rPr>
                <w:sz w:val="16"/>
              </w:rPr>
            </w:pPr>
            <w:r>
              <w:rPr>
                <w:sz w:val="16"/>
              </w:rPr>
              <w:t>14.9%</w:t>
            </w:r>
          </w:p>
        </w:tc>
      </w:tr>
      <w:tr w:rsidR="00B4377F">
        <w:trPr>
          <w:trHeight w:hRule="exact" w:val="304"/>
        </w:trPr>
        <w:tc>
          <w:tcPr>
            <w:tcW w:w="6971" w:type="dxa"/>
          </w:tcPr>
          <w:p w:rsidR="00B4377F" w:rsidRDefault="00D7291E">
            <w:pPr>
              <w:pStyle w:val="TableParagraph"/>
              <w:ind w:right="74"/>
              <w:jc w:val="right"/>
              <w:rPr>
                <w:sz w:val="16"/>
              </w:rPr>
            </w:pPr>
            <w:r>
              <w:rPr>
                <w:sz w:val="16"/>
              </w:rPr>
              <w:t>Greater Boston</w:t>
            </w:r>
          </w:p>
        </w:tc>
        <w:tc>
          <w:tcPr>
            <w:tcW w:w="6971" w:type="dxa"/>
          </w:tcPr>
          <w:p w:rsidR="00B4377F" w:rsidRDefault="00D7291E">
            <w:pPr>
              <w:pStyle w:val="TableParagraph"/>
              <w:ind w:left="133"/>
              <w:jc w:val="left"/>
              <w:rPr>
                <w:sz w:val="16"/>
              </w:rPr>
            </w:pPr>
            <w:r>
              <w:rPr>
                <w:sz w:val="16"/>
              </w:rPr>
              <w:t>9.6%</w:t>
            </w:r>
          </w:p>
        </w:tc>
      </w:tr>
      <w:tr w:rsidR="00B4377F">
        <w:trPr>
          <w:trHeight w:hRule="exact" w:val="304"/>
        </w:trPr>
        <w:tc>
          <w:tcPr>
            <w:tcW w:w="6971" w:type="dxa"/>
          </w:tcPr>
          <w:p w:rsidR="00B4377F" w:rsidRDefault="00D7291E">
            <w:pPr>
              <w:pStyle w:val="TableParagraph"/>
              <w:ind w:right="72"/>
              <w:jc w:val="right"/>
              <w:rPr>
                <w:sz w:val="16"/>
              </w:rPr>
            </w:pPr>
            <w:r>
              <w:rPr>
                <w:sz w:val="16"/>
              </w:rPr>
              <w:t>Metro West</w:t>
            </w:r>
          </w:p>
        </w:tc>
        <w:tc>
          <w:tcPr>
            <w:tcW w:w="6971" w:type="dxa"/>
          </w:tcPr>
          <w:p w:rsidR="00B4377F" w:rsidRDefault="00D7291E">
            <w:pPr>
              <w:pStyle w:val="TableParagraph"/>
              <w:ind w:left="133"/>
              <w:jc w:val="left"/>
              <w:rPr>
                <w:sz w:val="16"/>
              </w:rPr>
            </w:pPr>
            <w:r>
              <w:rPr>
                <w:sz w:val="16"/>
              </w:rPr>
              <w:t>11.3%</w:t>
            </w:r>
          </w:p>
        </w:tc>
      </w:tr>
      <w:tr w:rsidR="00B4377F">
        <w:trPr>
          <w:trHeight w:hRule="exact" w:val="304"/>
        </w:trPr>
        <w:tc>
          <w:tcPr>
            <w:tcW w:w="6971" w:type="dxa"/>
          </w:tcPr>
          <w:p w:rsidR="00B4377F" w:rsidRDefault="00D7291E">
            <w:pPr>
              <w:pStyle w:val="TableParagraph"/>
              <w:ind w:right="74"/>
              <w:jc w:val="right"/>
              <w:rPr>
                <w:sz w:val="16"/>
              </w:rPr>
            </w:pPr>
            <w:r>
              <w:rPr>
                <w:sz w:val="16"/>
              </w:rPr>
              <w:t>Northeast</w:t>
            </w:r>
          </w:p>
        </w:tc>
        <w:tc>
          <w:tcPr>
            <w:tcW w:w="6971" w:type="dxa"/>
          </w:tcPr>
          <w:p w:rsidR="00B4377F" w:rsidRDefault="00D7291E">
            <w:pPr>
              <w:pStyle w:val="TableParagraph"/>
              <w:ind w:left="133"/>
              <w:jc w:val="left"/>
              <w:rPr>
                <w:sz w:val="16"/>
              </w:rPr>
            </w:pPr>
            <w:r>
              <w:rPr>
                <w:sz w:val="16"/>
              </w:rPr>
              <w:t>18.5%</w:t>
            </w:r>
          </w:p>
        </w:tc>
      </w:tr>
      <w:tr w:rsidR="00B4377F">
        <w:trPr>
          <w:trHeight w:hRule="exact" w:val="304"/>
        </w:trPr>
        <w:tc>
          <w:tcPr>
            <w:tcW w:w="6971" w:type="dxa"/>
          </w:tcPr>
          <w:p w:rsidR="00B4377F" w:rsidRDefault="00D7291E">
            <w:pPr>
              <w:pStyle w:val="TableParagraph"/>
              <w:ind w:right="74"/>
              <w:jc w:val="right"/>
              <w:rPr>
                <w:sz w:val="16"/>
              </w:rPr>
            </w:pPr>
            <w:r>
              <w:rPr>
                <w:sz w:val="16"/>
              </w:rPr>
              <w:t>Southeast</w:t>
            </w:r>
          </w:p>
        </w:tc>
        <w:tc>
          <w:tcPr>
            <w:tcW w:w="6971" w:type="dxa"/>
          </w:tcPr>
          <w:p w:rsidR="00B4377F" w:rsidRDefault="00D7291E">
            <w:pPr>
              <w:pStyle w:val="TableParagraph"/>
              <w:ind w:left="133"/>
              <w:jc w:val="left"/>
              <w:rPr>
                <w:sz w:val="16"/>
              </w:rPr>
            </w:pPr>
            <w:r>
              <w:rPr>
                <w:sz w:val="16"/>
              </w:rPr>
              <w:t>26.7%</w:t>
            </w:r>
          </w:p>
        </w:tc>
      </w:tr>
      <w:tr w:rsidR="00B4377F">
        <w:trPr>
          <w:trHeight w:hRule="exact" w:val="304"/>
        </w:trPr>
        <w:tc>
          <w:tcPr>
            <w:tcW w:w="6971" w:type="dxa"/>
          </w:tcPr>
          <w:p w:rsidR="00B4377F" w:rsidRDefault="00D7291E">
            <w:pPr>
              <w:pStyle w:val="TableParagraph"/>
              <w:ind w:right="73"/>
              <w:jc w:val="right"/>
              <w:rPr>
                <w:sz w:val="16"/>
              </w:rPr>
            </w:pPr>
            <w:r>
              <w:rPr>
                <w:sz w:val="16"/>
              </w:rPr>
              <w:t>Western</w:t>
            </w:r>
          </w:p>
        </w:tc>
        <w:tc>
          <w:tcPr>
            <w:tcW w:w="6971" w:type="dxa"/>
          </w:tcPr>
          <w:p w:rsidR="00B4377F" w:rsidRDefault="00D7291E">
            <w:pPr>
              <w:pStyle w:val="TableParagraph"/>
              <w:ind w:left="133"/>
              <w:jc w:val="left"/>
              <w:rPr>
                <w:sz w:val="16"/>
              </w:rPr>
            </w:pPr>
            <w:r>
              <w:rPr>
                <w:sz w:val="16"/>
              </w:rPr>
              <w:t>17.4%</w:t>
            </w:r>
          </w:p>
        </w:tc>
      </w:tr>
      <w:tr w:rsidR="00B4377F">
        <w:trPr>
          <w:trHeight w:hRule="exact" w:val="304"/>
        </w:trPr>
        <w:tc>
          <w:tcPr>
            <w:tcW w:w="6971" w:type="dxa"/>
          </w:tcPr>
          <w:p w:rsidR="00B4377F" w:rsidRDefault="00D7291E">
            <w:pPr>
              <w:pStyle w:val="TableParagraph"/>
              <w:ind w:right="73"/>
              <w:jc w:val="right"/>
              <w:rPr>
                <w:sz w:val="16"/>
              </w:rPr>
            </w:pPr>
            <w:r>
              <w:rPr>
                <w:sz w:val="16"/>
              </w:rPr>
              <w:t>Out of State</w:t>
            </w:r>
          </w:p>
        </w:tc>
        <w:tc>
          <w:tcPr>
            <w:tcW w:w="6971" w:type="dxa"/>
          </w:tcPr>
          <w:p w:rsidR="00B4377F" w:rsidRDefault="00D7291E">
            <w:pPr>
              <w:pStyle w:val="TableParagraph"/>
              <w:ind w:left="133"/>
              <w:jc w:val="left"/>
              <w:rPr>
                <w:sz w:val="16"/>
              </w:rPr>
            </w:pPr>
            <w:r>
              <w:rPr>
                <w:sz w:val="16"/>
              </w:rPr>
              <w:t>1.5%</w:t>
            </w:r>
          </w:p>
        </w:tc>
      </w:tr>
    </w:tbl>
    <w:p w:rsidR="00B4377F" w:rsidRDefault="00650F6A">
      <w:pPr>
        <w:rPr>
          <w:sz w:val="2"/>
          <w:szCs w:val="2"/>
        </w:rPr>
      </w:pPr>
      <w:r>
        <w:pict>
          <v:group id="_x0000_s1043" style="position:absolute;margin-left:36pt;margin-top:36pt;width:705.6pt;height:91.5pt;z-index:-44728;mso-position-horizontal-relative:page;mso-position-vertical-relative:page" coordorigin="720,720" coordsize="14112,1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960;top:810;width:1619;height:1650">
              <v:imagedata r:id="rId8" o:title=""/>
            </v:shape>
            <v:shape id="_x0000_s1046" type="#_x0000_t75" style="position:absolute;left:11892;top:810;width:2850;height:1650">
              <v:imagedata r:id="rId9" o:title=""/>
            </v:shape>
            <v:rect id="_x0000_s1045" style="position:absolute;left:788;top:787;width:13977;height:1695" filled="f" strokecolor="navy" strokeweight="2.25pt"/>
            <v:rect id="_x0000_s1044" style="position:absolute;left:743;top:742;width:14067;height:1785" filled="f" strokecolor="green" strokeweight="2.25pt"/>
            <w10:wrap anchorx="page" anchory="page"/>
          </v:group>
        </w:pict>
      </w:r>
    </w:p>
    <w:p w:rsidR="00B4377F" w:rsidRDefault="00B4377F">
      <w:pPr>
        <w:rPr>
          <w:sz w:val="2"/>
          <w:szCs w:val="2"/>
        </w:rPr>
        <w:sectPr w:rsidR="00B4377F">
          <w:footerReference w:type="default" r:id="rId10"/>
          <w:type w:val="continuous"/>
          <w:pgSz w:w="15560" w:h="20020"/>
          <w:pgMar w:top="0" w:right="600" w:bottom="860" w:left="620" w:header="720" w:footer="661" w:gutter="0"/>
          <w:pgNumType w:start="1"/>
          <w:cols w:space="720"/>
        </w:sectPr>
      </w:pPr>
    </w:p>
    <w:tbl>
      <w:tblPr>
        <w:tblW w:w="0" w:type="auto"/>
        <w:tblInd w:w="100" w:type="dxa"/>
        <w:tblBorders>
          <w:top w:val="single" w:sz="18" w:space="0" w:color="008000"/>
          <w:left w:val="single" w:sz="18" w:space="0" w:color="008000"/>
          <w:bottom w:val="single" w:sz="18" w:space="0" w:color="008000"/>
          <w:right w:val="single" w:sz="18" w:space="0" w:color="008000"/>
          <w:insideH w:val="single" w:sz="18" w:space="0" w:color="008000"/>
          <w:insideV w:val="single" w:sz="18" w:space="0" w:color="008000"/>
        </w:tblBorders>
        <w:tblLayout w:type="fixed"/>
        <w:tblCellMar>
          <w:left w:w="0" w:type="dxa"/>
          <w:right w:w="0" w:type="dxa"/>
        </w:tblCellMar>
        <w:tblLook w:val="01E0" w:firstRow="1" w:lastRow="1" w:firstColumn="1" w:lastColumn="1" w:noHBand="0" w:noVBand="0"/>
      </w:tblPr>
      <w:tblGrid>
        <w:gridCol w:w="7008"/>
        <w:gridCol w:w="7009"/>
      </w:tblGrid>
      <w:tr w:rsidR="00B4377F">
        <w:trPr>
          <w:trHeight w:hRule="exact" w:val="765"/>
        </w:trPr>
        <w:tc>
          <w:tcPr>
            <w:tcW w:w="14017" w:type="dxa"/>
            <w:gridSpan w:val="2"/>
            <w:tcBorders>
              <w:top w:val="nil"/>
              <w:left w:val="nil"/>
              <w:right w:val="nil"/>
            </w:tcBorders>
          </w:tcPr>
          <w:p w:rsidR="00B4377F" w:rsidRDefault="00B4377F"/>
        </w:tc>
      </w:tr>
      <w:tr w:rsidR="00B4377F" w:rsidTr="00D7291E">
        <w:trPr>
          <w:trHeight w:hRule="exact" w:val="2144"/>
        </w:trPr>
        <w:tc>
          <w:tcPr>
            <w:tcW w:w="14017" w:type="dxa"/>
            <w:gridSpan w:val="2"/>
            <w:tcBorders>
              <w:left w:val="single" w:sz="38" w:space="0" w:color="008000"/>
              <w:bottom w:val="single" w:sz="18" w:space="0" w:color="000000"/>
              <w:right w:val="single" w:sz="38" w:space="0" w:color="008000"/>
            </w:tcBorders>
          </w:tcPr>
          <w:p w:rsidR="00B4377F" w:rsidRDefault="00B4377F">
            <w:pPr>
              <w:pStyle w:val="TableParagraph"/>
              <w:spacing w:before="10"/>
              <w:jc w:val="left"/>
              <w:rPr>
                <w:rFonts w:ascii="Times New Roman"/>
                <w:sz w:val="35"/>
              </w:rPr>
            </w:pPr>
          </w:p>
          <w:p w:rsidR="00B4377F" w:rsidRDefault="00D7291E">
            <w:pPr>
              <w:pStyle w:val="TableParagraph"/>
              <w:spacing w:before="0"/>
              <w:ind w:left="5402" w:right="5399"/>
              <w:rPr>
                <w:b/>
                <w:sz w:val="24"/>
              </w:rPr>
            </w:pPr>
            <w:r>
              <w:rPr>
                <w:b/>
                <w:sz w:val="24"/>
              </w:rPr>
              <w:t>Description of Admissions Fact Sheet - Young Adults FY 2017</w:t>
            </w:r>
          </w:p>
          <w:p w:rsidR="00B4377F" w:rsidRDefault="00B4377F">
            <w:pPr>
              <w:pStyle w:val="TableParagraph"/>
              <w:spacing w:before="0"/>
              <w:jc w:val="left"/>
              <w:rPr>
                <w:rFonts w:ascii="Times New Roman"/>
                <w:sz w:val="28"/>
              </w:rPr>
            </w:pPr>
          </w:p>
          <w:p w:rsidR="00B4377F" w:rsidRDefault="00B4377F">
            <w:pPr>
              <w:pStyle w:val="TableParagraph"/>
              <w:spacing w:before="3"/>
              <w:jc w:val="left"/>
              <w:rPr>
                <w:rFonts w:ascii="Times New Roman"/>
                <w:sz w:val="23"/>
              </w:rPr>
            </w:pPr>
          </w:p>
          <w:p w:rsidR="00B4377F" w:rsidRDefault="00B4377F">
            <w:pPr>
              <w:pStyle w:val="TableParagraph"/>
              <w:spacing w:before="0"/>
              <w:ind w:left="75"/>
              <w:jc w:val="left"/>
              <w:rPr>
                <w:b/>
                <w:sz w:val="16"/>
              </w:rPr>
            </w:pPr>
          </w:p>
        </w:tc>
      </w:tr>
      <w:tr w:rsidR="00D7291E" w:rsidTr="00D7291E">
        <w:trPr>
          <w:trHeight w:hRule="exact" w:val="304"/>
        </w:trPr>
        <w:tc>
          <w:tcPr>
            <w:tcW w:w="14017" w:type="dxa"/>
            <w:gridSpan w:val="2"/>
            <w:tcBorders>
              <w:top w:val="single" w:sz="18" w:space="0" w:color="000000"/>
              <w:left w:val="single" w:sz="8" w:space="0" w:color="000000"/>
              <w:bottom w:val="single" w:sz="8" w:space="0" w:color="000000"/>
              <w:right w:val="single" w:sz="8" w:space="0" w:color="000000"/>
            </w:tcBorders>
            <w:shd w:val="clear" w:color="auto" w:fill="BFBFBF" w:themeFill="background1" w:themeFillShade="BF"/>
          </w:tcPr>
          <w:p w:rsidR="00D7291E" w:rsidRDefault="00D7291E">
            <w:pPr>
              <w:pStyle w:val="TableParagraph"/>
              <w:ind w:left="133"/>
              <w:jc w:val="left"/>
              <w:rPr>
                <w:sz w:val="16"/>
              </w:rPr>
            </w:pPr>
            <w:r>
              <w:rPr>
                <w:b/>
                <w:sz w:val="16"/>
              </w:rPr>
              <w:t>Past Year Needle Use</w:t>
            </w:r>
          </w:p>
        </w:tc>
      </w:tr>
      <w:tr w:rsidR="00B4377F" w:rsidTr="00D7291E">
        <w:trPr>
          <w:trHeight w:hRule="exact" w:val="304"/>
        </w:trPr>
        <w:tc>
          <w:tcPr>
            <w:tcW w:w="7008" w:type="dxa"/>
            <w:tcBorders>
              <w:top w:val="single" w:sz="8" w:space="0" w:color="000000"/>
              <w:left w:val="single" w:sz="8" w:space="0" w:color="000000"/>
              <w:bottom w:val="single" w:sz="8" w:space="0" w:color="000000"/>
              <w:right w:val="single" w:sz="8" w:space="0" w:color="000000"/>
            </w:tcBorders>
          </w:tcPr>
          <w:p w:rsidR="00B4377F" w:rsidRDefault="00D7291E">
            <w:pPr>
              <w:pStyle w:val="TableParagraph"/>
              <w:ind w:right="73"/>
              <w:jc w:val="right"/>
              <w:rPr>
                <w:sz w:val="16"/>
              </w:rPr>
            </w:pPr>
            <w:r>
              <w:rPr>
                <w:sz w:val="16"/>
              </w:rPr>
              <w:t>No</w:t>
            </w:r>
          </w:p>
        </w:tc>
        <w:tc>
          <w:tcPr>
            <w:tcW w:w="7009" w:type="dxa"/>
            <w:tcBorders>
              <w:top w:val="single" w:sz="8" w:space="0" w:color="000000"/>
              <w:left w:val="single" w:sz="8" w:space="0" w:color="000000"/>
              <w:bottom w:val="single" w:sz="8" w:space="0" w:color="000000"/>
              <w:right w:val="single" w:sz="8" w:space="0" w:color="000000"/>
            </w:tcBorders>
          </w:tcPr>
          <w:p w:rsidR="00B4377F" w:rsidRDefault="00D7291E">
            <w:pPr>
              <w:pStyle w:val="TableParagraph"/>
              <w:ind w:left="133"/>
              <w:jc w:val="left"/>
              <w:rPr>
                <w:sz w:val="16"/>
              </w:rPr>
            </w:pPr>
            <w:r>
              <w:rPr>
                <w:sz w:val="16"/>
              </w:rPr>
              <w:t>46.7%</w:t>
            </w:r>
          </w:p>
        </w:tc>
      </w:tr>
      <w:tr w:rsidR="00B4377F">
        <w:trPr>
          <w:trHeight w:hRule="exact" w:val="324"/>
        </w:trPr>
        <w:tc>
          <w:tcPr>
            <w:tcW w:w="7008" w:type="dxa"/>
            <w:tcBorders>
              <w:top w:val="single" w:sz="8" w:space="0" w:color="000000"/>
              <w:left w:val="single" w:sz="8" w:space="0" w:color="000000"/>
              <w:bottom w:val="single" w:sz="16" w:space="0" w:color="000000"/>
              <w:right w:val="single" w:sz="8" w:space="0" w:color="000000"/>
            </w:tcBorders>
          </w:tcPr>
          <w:p w:rsidR="00B4377F" w:rsidRDefault="00D7291E">
            <w:pPr>
              <w:pStyle w:val="TableParagraph"/>
              <w:ind w:right="73"/>
              <w:jc w:val="right"/>
              <w:rPr>
                <w:sz w:val="16"/>
              </w:rPr>
            </w:pPr>
            <w:r>
              <w:rPr>
                <w:sz w:val="16"/>
              </w:rPr>
              <w:t>Yes</w:t>
            </w:r>
          </w:p>
        </w:tc>
        <w:tc>
          <w:tcPr>
            <w:tcW w:w="7009" w:type="dxa"/>
            <w:tcBorders>
              <w:top w:val="single" w:sz="8" w:space="0" w:color="000000"/>
              <w:left w:val="single" w:sz="8" w:space="0" w:color="000000"/>
              <w:bottom w:val="single" w:sz="16" w:space="0" w:color="000000"/>
              <w:right w:val="single" w:sz="8" w:space="0" w:color="000000"/>
            </w:tcBorders>
          </w:tcPr>
          <w:p w:rsidR="00B4377F" w:rsidRDefault="00D7291E">
            <w:pPr>
              <w:pStyle w:val="TableParagraph"/>
              <w:ind w:left="133"/>
              <w:jc w:val="left"/>
              <w:rPr>
                <w:sz w:val="16"/>
              </w:rPr>
            </w:pPr>
            <w:r>
              <w:rPr>
                <w:sz w:val="16"/>
              </w:rPr>
              <w:t>53.3%</w:t>
            </w:r>
          </w:p>
        </w:tc>
      </w:tr>
      <w:tr w:rsidR="00B4377F">
        <w:trPr>
          <w:trHeight w:hRule="exact" w:val="304"/>
        </w:trPr>
        <w:tc>
          <w:tcPr>
            <w:tcW w:w="14017" w:type="dxa"/>
            <w:gridSpan w:val="2"/>
            <w:tcBorders>
              <w:top w:val="single" w:sz="16" w:space="0" w:color="000000"/>
              <w:left w:val="single" w:sz="8" w:space="0" w:color="000000"/>
              <w:bottom w:val="single" w:sz="8" w:space="0" w:color="000000"/>
              <w:right w:val="single" w:sz="8" w:space="0" w:color="000000"/>
            </w:tcBorders>
            <w:shd w:val="clear" w:color="auto" w:fill="C0C0C0"/>
          </w:tcPr>
          <w:p w:rsidR="00B4377F" w:rsidRDefault="00D7291E">
            <w:pPr>
              <w:pStyle w:val="TableParagraph"/>
              <w:spacing w:before="35"/>
              <w:ind w:left="112"/>
              <w:jc w:val="left"/>
              <w:rPr>
                <w:b/>
                <w:sz w:val="16"/>
              </w:rPr>
            </w:pPr>
            <w:r>
              <w:rPr>
                <w:b/>
                <w:sz w:val="16"/>
              </w:rPr>
              <w:t>Prior Mental Health Treatment</w:t>
            </w:r>
          </w:p>
        </w:tc>
      </w:tr>
      <w:tr w:rsidR="00B4377F">
        <w:trPr>
          <w:trHeight w:hRule="exact" w:val="304"/>
        </w:trPr>
        <w:tc>
          <w:tcPr>
            <w:tcW w:w="7008" w:type="dxa"/>
            <w:tcBorders>
              <w:top w:val="single" w:sz="8" w:space="0" w:color="000000"/>
              <w:left w:val="single" w:sz="8" w:space="0" w:color="000000"/>
              <w:bottom w:val="single" w:sz="8" w:space="0" w:color="000000"/>
              <w:right w:val="single" w:sz="8" w:space="0" w:color="000000"/>
            </w:tcBorders>
          </w:tcPr>
          <w:p w:rsidR="00B4377F" w:rsidRDefault="00D7291E">
            <w:pPr>
              <w:pStyle w:val="TableParagraph"/>
              <w:ind w:right="73"/>
              <w:jc w:val="right"/>
              <w:rPr>
                <w:sz w:val="16"/>
              </w:rPr>
            </w:pPr>
            <w:r>
              <w:rPr>
                <w:sz w:val="16"/>
              </w:rPr>
              <w:t>No</w:t>
            </w:r>
          </w:p>
        </w:tc>
        <w:tc>
          <w:tcPr>
            <w:tcW w:w="7009" w:type="dxa"/>
            <w:tcBorders>
              <w:top w:val="single" w:sz="8" w:space="0" w:color="000000"/>
              <w:left w:val="single" w:sz="8" w:space="0" w:color="000000"/>
              <w:bottom w:val="single" w:sz="8" w:space="0" w:color="000000"/>
              <w:right w:val="single" w:sz="8" w:space="0" w:color="000000"/>
            </w:tcBorders>
          </w:tcPr>
          <w:p w:rsidR="00B4377F" w:rsidRDefault="00D7291E">
            <w:pPr>
              <w:pStyle w:val="TableParagraph"/>
              <w:ind w:left="133"/>
              <w:jc w:val="left"/>
              <w:rPr>
                <w:sz w:val="16"/>
              </w:rPr>
            </w:pPr>
            <w:r>
              <w:rPr>
                <w:sz w:val="16"/>
              </w:rPr>
              <w:t>56.4%</w:t>
            </w:r>
          </w:p>
        </w:tc>
      </w:tr>
      <w:tr w:rsidR="00B4377F">
        <w:trPr>
          <w:trHeight w:hRule="exact" w:val="324"/>
        </w:trPr>
        <w:tc>
          <w:tcPr>
            <w:tcW w:w="7008" w:type="dxa"/>
            <w:tcBorders>
              <w:top w:val="single" w:sz="8" w:space="0" w:color="000000"/>
              <w:left w:val="single" w:sz="8" w:space="0" w:color="000000"/>
              <w:bottom w:val="single" w:sz="16" w:space="0" w:color="000000"/>
              <w:right w:val="single" w:sz="8" w:space="0" w:color="000000"/>
            </w:tcBorders>
          </w:tcPr>
          <w:p w:rsidR="00B4377F" w:rsidRDefault="00D7291E">
            <w:pPr>
              <w:pStyle w:val="TableParagraph"/>
              <w:ind w:right="73"/>
              <w:jc w:val="right"/>
              <w:rPr>
                <w:sz w:val="16"/>
              </w:rPr>
            </w:pPr>
            <w:r>
              <w:rPr>
                <w:sz w:val="16"/>
              </w:rPr>
              <w:t>Yes</w:t>
            </w:r>
          </w:p>
        </w:tc>
        <w:tc>
          <w:tcPr>
            <w:tcW w:w="7009" w:type="dxa"/>
            <w:tcBorders>
              <w:top w:val="single" w:sz="8" w:space="0" w:color="000000"/>
              <w:left w:val="single" w:sz="8" w:space="0" w:color="000000"/>
              <w:bottom w:val="single" w:sz="16" w:space="0" w:color="000000"/>
              <w:right w:val="single" w:sz="8" w:space="0" w:color="000000"/>
            </w:tcBorders>
          </w:tcPr>
          <w:p w:rsidR="00B4377F" w:rsidRDefault="00D7291E">
            <w:pPr>
              <w:pStyle w:val="TableParagraph"/>
              <w:ind w:left="133"/>
              <w:jc w:val="left"/>
              <w:rPr>
                <w:sz w:val="16"/>
              </w:rPr>
            </w:pPr>
            <w:r>
              <w:rPr>
                <w:sz w:val="16"/>
              </w:rPr>
              <w:t>43.6%</w:t>
            </w:r>
          </w:p>
        </w:tc>
      </w:tr>
      <w:tr w:rsidR="00B4377F">
        <w:trPr>
          <w:trHeight w:hRule="exact" w:val="304"/>
        </w:trPr>
        <w:tc>
          <w:tcPr>
            <w:tcW w:w="14017" w:type="dxa"/>
            <w:gridSpan w:val="2"/>
            <w:tcBorders>
              <w:top w:val="single" w:sz="16" w:space="0" w:color="000000"/>
              <w:left w:val="single" w:sz="8" w:space="0" w:color="000000"/>
              <w:bottom w:val="single" w:sz="8" w:space="0" w:color="000000"/>
              <w:right w:val="single" w:sz="8" w:space="0" w:color="000000"/>
            </w:tcBorders>
            <w:shd w:val="clear" w:color="auto" w:fill="C0C0C0"/>
          </w:tcPr>
          <w:p w:rsidR="00B4377F" w:rsidRDefault="00D7291E">
            <w:pPr>
              <w:pStyle w:val="TableParagraph"/>
              <w:spacing w:before="35"/>
              <w:ind w:left="112"/>
              <w:jc w:val="left"/>
              <w:rPr>
                <w:b/>
                <w:sz w:val="16"/>
              </w:rPr>
            </w:pPr>
            <w:r>
              <w:rPr>
                <w:b/>
                <w:sz w:val="16"/>
              </w:rPr>
              <w:t>Prior Mental Health Medication (in the past 12 months)</w:t>
            </w:r>
          </w:p>
        </w:tc>
      </w:tr>
      <w:tr w:rsidR="00B4377F">
        <w:trPr>
          <w:trHeight w:hRule="exact" w:val="304"/>
        </w:trPr>
        <w:tc>
          <w:tcPr>
            <w:tcW w:w="7008" w:type="dxa"/>
            <w:tcBorders>
              <w:top w:val="single" w:sz="8" w:space="0" w:color="000000"/>
              <w:left w:val="single" w:sz="8" w:space="0" w:color="000000"/>
              <w:bottom w:val="single" w:sz="8" w:space="0" w:color="000000"/>
              <w:right w:val="single" w:sz="8" w:space="0" w:color="000000"/>
            </w:tcBorders>
          </w:tcPr>
          <w:p w:rsidR="00B4377F" w:rsidRDefault="00D7291E">
            <w:pPr>
              <w:pStyle w:val="TableParagraph"/>
              <w:ind w:right="73"/>
              <w:jc w:val="right"/>
              <w:rPr>
                <w:sz w:val="16"/>
              </w:rPr>
            </w:pPr>
            <w:r>
              <w:rPr>
                <w:sz w:val="16"/>
              </w:rPr>
              <w:t>No</w:t>
            </w:r>
          </w:p>
        </w:tc>
        <w:tc>
          <w:tcPr>
            <w:tcW w:w="7009" w:type="dxa"/>
            <w:tcBorders>
              <w:top w:val="single" w:sz="8" w:space="0" w:color="000000"/>
              <w:left w:val="single" w:sz="8" w:space="0" w:color="000000"/>
              <w:bottom w:val="single" w:sz="8" w:space="0" w:color="000000"/>
              <w:right w:val="single" w:sz="8" w:space="0" w:color="000000"/>
            </w:tcBorders>
          </w:tcPr>
          <w:p w:rsidR="00B4377F" w:rsidRDefault="00D7291E">
            <w:pPr>
              <w:pStyle w:val="TableParagraph"/>
              <w:ind w:left="133"/>
              <w:jc w:val="left"/>
              <w:rPr>
                <w:sz w:val="16"/>
              </w:rPr>
            </w:pPr>
            <w:r>
              <w:rPr>
                <w:sz w:val="16"/>
              </w:rPr>
              <w:t>69.1%</w:t>
            </w:r>
          </w:p>
        </w:tc>
      </w:tr>
      <w:tr w:rsidR="00B4377F">
        <w:trPr>
          <w:trHeight w:hRule="exact" w:val="304"/>
        </w:trPr>
        <w:tc>
          <w:tcPr>
            <w:tcW w:w="7008" w:type="dxa"/>
            <w:tcBorders>
              <w:top w:val="single" w:sz="8" w:space="0" w:color="000000"/>
              <w:left w:val="single" w:sz="8" w:space="0" w:color="000000"/>
              <w:bottom w:val="single" w:sz="8" w:space="0" w:color="000000"/>
              <w:right w:val="single" w:sz="8" w:space="0" w:color="000000"/>
            </w:tcBorders>
          </w:tcPr>
          <w:p w:rsidR="00B4377F" w:rsidRDefault="00D7291E">
            <w:pPr>
              <w:pStyle w:val="TableParagraph"/>
              <w:ind w:right="73"/>
              <w:jc w:val="right"/>
              <w:rPr>
                <w:sz w:val="16"/>
              </w:rPr>
            </w:pPr>
            <w:r>
              <w:rPr>
                <w:sz w:val="16"/>
              </w:rPr>
              <w:t>Yes</w:t>
            </w:r>
          </w:p>
        </w:tc>
        <w:tc>
          <w:tcPr>
            <w:tcW w:w="7009" w:type="dxa"/>
            <w:tcBorders>
              <w:top w:val="single" w:sz="8" w:space="0" w:color="000000"/>
              <w:left w:val="single" w:sz="8" w:space="0" w:color="000000"/>
              <w:bottom w:val="single" w:sz="8" w:space="0" w:color="000000"/>
              <w:right w:val="single" w:sz="8" w:space="0" w:color="000000"/>
            </w:tcBorders>
          </w:tcPr>
          <w:p w:rsidR="00B4377F" w:rsidRDefault="00D7291E">
            <w:pPr>
              <w:pStyle w:val="TableParagraph"/>
              <w:ind w:left="133"/>
              <w:jc w:val="left"/>
              <w:rPr>
                <w:sz w:val="16"/>
              </w:rPr>
            </w:pPr>
            <w:r>
              <w:rPr>
                <w:sz w:val="16"/>
              </w:rPr>
              <w:t>30.9%</w:t>
            </w:r>
          </w:p>
        </w:tc>
      </w:tr>
    </w:tbl>
    <w:p w:rsidR="00B4377F" w:rsidRDefault="00D7291E">
      <w:pPr>
        <w:rPr>
          <w:sz w:val="2"/>
          <w:szCs w:val="2"/>
        </w:rPr>
      </w:pPr>
      <w:r>
        <w:rPr>
          <w:noProof/>
        </w:rPr>
        <w:drawing>
          <wp:anchor distT="0" distB="0" distL="0" distR="0" simplePos="0" relativeHeight="268390751" behindDoc="1" locked="0" layoutInCell="1" allowOverlap="1">
            <wp:simplePos x="0" y="0"/>
            <wp:positionH relativeFrom="page">
              <wp:posOffset>609600</wp:posOffset>
            </wp:positionH>
            <wp:positionV relativeFrom="page">
              <wp:posOffset>514350</wp:posOffset>
            </wp:positionV>
            <wp:extent cx="1020681" cy="10402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0681" cy="1040225"/>
                    </a:xfrm>
                    <a:prstGeom prst="rect">
                      <a:avLst/>
                    </a:prstGeom>
                  </pic:spPr>
                </pic:pic>
              </a:graphicData>
            </a:graphic>
          </wp:anchor>
        </w:drawing>
      </w:r>
      <w:r>
        <w:rPr>
          <w:noProof/>
        </w:rPr>
        <w:drawing>
          <wp:anchor distT="0" distB="0" distL="0" distR="0" simplePos="0" relativeHeight="268390775" behindDoc="1" locked="0" layoutInCell="1" allowOverlap="1">
            <wp:simplePos x="0" y="0"/>
            <wp:positionH relativeFrom="page">
              <wp:posOffset>7551419</wp:posOffset>
            </wp:positionH>
            <wp:positionV relativeFrom="page">
              <wp:posOffset>514350</wp:posOffset>
            </wp:positionV>
            <wp:extent cx="1816330" cy="105156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816330" cy="1051560"/>
                    </a:xfrm>
                    <a:prstGeom prst="rect">
                      <a:avLst/>
                    </a:prstGeom>
                  </pic:spPr>
                </pic:pic>
              </a:graphicData>
            </a:graphic>
          </wp:anchor>
        </w:drawing>
      </w:r>
    </w:p>
    <w:p w:rsidR="00B4377F" w:rsidRDefault="00B4377F">
      <w:pPr>
        <w:rPr>
          <w:sz w:val="2"/>
          <w:szCs w:val="2"/>
        </w:rPr>
        <w:sectPr w:rsidR="00B4377F">
          <w:pgSz w:w="15560" w:h="20020"/>
          <w:pgMar w:top="0" w:right="56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0"/>
        <w:gridCol w:w="1762"/>
        <w:gridCol w:w="1276"/>
        <w:gridCol w:w="831"/>
        <w:gridCol w:w="1480"/>
        <w:gridCol w:w="817"/>
        <w:gridCol w:w="880"/>
        <w:gridCol w:w="2642"/>
        <w:gridCol w:w="1524"/>
        <w:gridCol w:w="1760"/>
      </w:tblGrid>
      <w:tr w:rsidR="00B4377F">
        <w:trPr>
          <w:trHeight w:hRule="exact" w:val="11281"/>
        </w:trPr>
        <w:tc>
          <w:tcPr>
            <w:tcW w:w="13942" w:type="dxa"/>
            <w:gridSpan w:val="10"/>
            <w:tcBorders>
              <w:top w:val="nil"/>
              <w:left w:val="nil"/>
              <w:right w:val="nil"/>
            </w:tcBorders>
          </w:tcPr>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B4377F">
            <w:pPr>
              <w:pStyle w:val="TableParagraph"/>
              <w:spacing w:before="0"/>
              <w:jc w:val="left"/>
              <w:rPr>
                <w:rFonts w:ascii="Times New Roman"/>
                <w:sz w:val="18"/>
              </w:rPr>
            </w:pPr>
          </w:p>
          <w:p w:rsidR="00B4377F" w:rsidRDefault="00D7291E">
            <w:pPr>
              <w:pStyle w:val="TableParagraph"/>
              <w:spacing w:before="153"/>
              <w:ind w:left="-10"/>
              <w:jc w:val="left"/>
              <w:rPr>
                <w:b/>
                <w:sz w:val="16"/>
              </w:rPr>
            </w:pPr>
            <w:r>
              <w:rPr>
                <w:b/>
                <w:sz w:val="16"/>
              </w:rPr>
              <w:t>- Drug Categories:</w:t>
            </w:r>
          </w:p>
          <w:p w:rsidR="00B4377F" w:rsidRDefault="00D7291E">
            <w:pPr>
              <w:pStyle w:val="TableParagraph"/>
              <w:spacing w:before="0"/>
              <w:ind w:left="185"/>
              <w:jc w:val="left"/>
              <w:rPr>
                <w:i/>
                <w:sz w:val="16"/>
              </w:rPr>
            </w:pPr>
            <w:r>
              <w:rPr>
                <w:b/>
                <w:i/>
                <w:sz w:val="16"/>
              </w:rPr>
              <w:t xml:space="preserve">Other Opioids </w:t>
            </w:r>
            <w:r>
              <w:rPr>
                <w:i/>
                <w:sz w:val="16"/>
              </w:rPr>
              <w:t>includes: Prescription and Non Prescription Opioids.</w:t>
            </w:r>
          </w:p>
          <w:p w:rsidR="00B4377F" w:rsidRDefault="00D7291E">
            <w:pPr>
              <w:pStyle w:val="TableParagraph"/>
              <w:spacing w:before="0"/>
              <w:ind w:left="185"/>
              <w:jc w:val="left"/>
              <w:rPr>
                <w:i/>
                <w:sz w:val="16"/>
              </w:rPr>
            </w:pPr>
            <w:r>
              <w:rPr>
                <w:b/>
                <w:i/>
                <w:sz w:val="16"/>
              </w:rPr>
              <w:t xml:space="preserve">Other </w:t>
            </w:r>
            <w:r>
              <w:rPr>
                <w:i/>
                <w:sz w:val="16"/>
              </w:rPr>
              <w:t>includes: PCP, Other Hallucinogens, Inhalants, OTC, and Other.</w:t>
            </w:r>
          </w:p>
          <w:p w:rsidR="00B4377F" w:rsidRDefault="00D7291E">
            <w:pPr>
              <w:pStyle w:val="TableParagraph"/>
              <w:spacing w:before="0"/>
              <w:ind w:left="185"/>
              <w:jc w:val="left"/>
              <w:rPr>
                <w:i/>
                <w:sz w:val="16"/>
              </w:rPr>
            </w:pPr>
            <w:r>
              <w:rPr>
                <w:b/>
                <w:i/>
                <w:sz w:val="16"/>
              </w:rPr>
              <w:t xml:space="preserve">Other Sedatives/Hypnotics </w:t>
            </w:r>
            <w:r>
              <w:rPr>
                <w:i/>
                <w:sz w:val="16"/>
              </w:rPr>
              <w:t>includes: Benzodiazepines, Other Tranquilizers, Barbituates, and Other Sedatives.</w:t>
            </w:r>
          </w:p>
          <w:p w:rsidR="00B4377F" w:rsidRDefault="00D7291E">
            <w:pPr>
              <w:pStyle w:val="TableParagraph"/>
              <w:spacing w:before="0"/>
              <w:ind w:left="185"/>
              <w:jc w:val="left"/>
              <w:rPr>
                <w:i/>
                <w:sz w:val="16"/>
              </w:rPr>
            </w:pPr>
            <w:r>
              <w:rPr>
                <w:b/>
                <w:i/>
                <w:sz w:val="16"/>
              </w:rPr>
              <w:t xml:space="preserve">Other Stimulants </w:t>
            </w:r>
            <w:r>
              <w:rPr>
                <w:i/>
                <w:sz w:val="16"/>
              </w:rPr>
              <w:t>includes: Methamphetamine, Other Amphetamines, Other Stimulants, and Club Drugs.</w:t>
            </w:r>
          </w:p>
          <w:p w:rsidR="00B4377F" w:rsidRDefault="00D7291E">
            <w:pPr>
              <w:pStyle w:val="TableParagraph"/>
              <w:spacing w:before="0"/>
              <w:ind w:left="-10"/>
              <w:jc w:val="left"/>
              <w:rPr>
                <w:i/>
                <w:sz w:val="16"/>
              </w:rPr>
            </w:pPr>
            <w:r>
              <w:rPr>
                <w:i/>
                <w:sz w:val="16"/>
              </w:rPr>
              <w:t>- The total admissions reported in this table may vary from the total admissions for young adults; for additional information, please refer to the appendix.</w:t>
            </w:r>
          </w:p>
          <w:p w:rsidR="00B4377F" w:rsidRDefault="00B4377F">
            <w:pPr>
              <w:pStyle w:val="TableParagraph"/>
              <w:spacing w:before="0"/>
              <w:jc w:val="left"/>
              <w:rPr>
                <w:rFonts w:ascii="Times New Roman"/>
                <w:sz w:val="20"/>
              </w:rPr>
            </w:pPr>
          </w:p>
          <w:p w:rsidR="00B4377F" w:rsidRDefault="00D7291E">
            <w:pPr>
              <w:pStyle w:val="TableParagraph"/>
              <w:spacing w:before="145"/>
              <w:ind w:left="-10"/>
              <w:jc w:val="left"/>
              <w:rPr>
                <w:b/>
                <w:sz w:val="20"/>
              </w:rPr>
            </w:pPr>
            <w:r>
              <w:rPr>
                <w:b/>
                <w:sz w:val="20"/>
                <w:u w:val="single"/>
              </w:rPr>
              <w:t>Past Year Substance Use</w:t>
            </w:r>
          </w:p>
          <w:p w:rsidR="00B4377F" w:rsidRDefault="00D7291E">
            <w:pPr>
              <w:pStyle w:val="TableParagraph"/>
              <w:spacing w:before="0"/>
              <w:ind w:left="-10" w:right="81"/>
              <w:jc w:val="left"/>
              <w:rPr>
                <w:sz w:val="20"/>
              </w:rPr>
            </w:pPr>
            <w:r>
              <w:rPr>
                <w:sz w:val="20"/>
              </w:rPr>
              <w:t>At admission, clients are asked to report on all substances used in the past 12 months. Due to poly-substance use*, percentages may add up to more than 100%. Table 2 shows the distribution of past year substance use for all substances. This table includes information about admissions that reported past year substance use.</w:t>
            </w:r>
          </w:p>
          <w:p w:rsidR="00B4377F" w:rsidRDefault="00D7291E">
            <w:pPr>
              <w:pStyle w:val="TableParagraph"/>
              <w:spacing w:before="150"/>
              <w:ind w:left="5408" w:right="5409"/>
              <w:rPr>
                <w:b/>
                <w:sz w:val="16"/>
              </w:rPr>
            </w:pPr>
            <w:r>
              <w:rPr>
                <w:b/>
                <w:sz w:val="16"/>
              </w:rPr>
              <w:t>Table 2</w:t>
            </w:r>
          </w:p>
          <w:p w:rsidR="00B4377F" w:rsidRDefault="00D7291E">
            <w:pPr>
              <w:pStyle w:val="TableParagraph"/>
              <w:spacing w:before="0"/>
              <w:ind w:left="4914" w:right="4914"/>
              <w:rPr>
                <w:b/>
                <w:sz w:val="16"/>
              </w:rPr>
            </w:pPr>
            <w:r>
              <w:rPr>
                <w:b/>
                <w:sz w:val="16"/>
              </w:rPr>
              <w:t>Past Year Substance Use Trend: FY 2008 - FY 2017</w:t>
            </w:r>
          </w:p>
        </w:tc>
      </w:tr>
      <w:tr w:rsidR="00B4377F">
        <w:trPr>
          <w:trHeight w:hRule="exact" w:val="304"/>
        </w:trPr>
        <w:tc>
          <w:tcPr>
            <w:tcW w:w="970" w:type="dxa"/>
            <w:vMerge w:val="restart"/>
          </w:tcPr>
          <w:p w:rsidR="00B4377F" w:rsidRDefault="00B4377F"/>
        </w:tc>
        <w:tc>
          <w:tcPr>
            <w:tcW w:w="1762" w:type="dxa"/>
            <w:vMerge w:val="restart"/>
          </w:tcPr>
          <w:p w:rsidR="00B4377F" w:rsidRDefault="00B4377F">
            <w:pPr>
              <w:pStyle w:val="TableParagraph"/>
              <w:spacing w:before="1"/>
              <w:jc w:val="left"/>
              <w:rPr>
                <w:rFonts w:ascii="Times New Roman"/>
                <w:sz w:val="17"/>
              </w:rPr>
            </w:pPr>
          </w:p>
          <w:p w:rsidR="00B4377F" w:rsidRDefault="00D7291E">
            <w:pPr>
              <w:pStyle w:val="TableParagraph"/>
              <w:spacing w:before="0"/>
              <w:ind w:left="276"/>
              <w:jc w:val="left"/>
              <w:rPr>
                <w:sz w:val="16"/>
              </w:rPr>
            </w:pPr>
            <w:r>
              <w:rPr>
                <w:sz w:val="16"/>
              </w:rPr>
              <w:t>Total Admissions</w:t>
            </w:r>
          </w:p>
        </w:tc>
        <w:tc>
          <w:tcPr>
            <w:tcW w:w="1276" w:type="dxa"/>
          </w:tcPr>
          <w:p w:rsidR="00B4377F" w:rsidRDefault="00D7291E">
            <w:pPr>
              <w:pStyle w:val="TableParagraph"/>
              <w:ind w:left="202" w:right="203"/>
              <w:rPr>
                <w:b/>
                <w:sz w:val="16"/>
              </w:rPr>
            </w:pPr>
            <w:r>
              <w:rPr>
                <w:b/>
                <w:sz w:val="16"/>
              </w:rPr>
              <w:t>Marijuana</w:t>
            </w:r>
          </w:p>
        </w:tc>
        <w:tc>
          <w:tcPr>
            <w:tcW w:w="2311" w:type="dxa"/>
            <w:gridSpan w:val="2"/>
          </w:tcPr>
          <w:p w:rsidR="00B4377F" w:rsidRDefault="00D7291E">
            <w:pPr>
              <w:pStyle w:val="TableParagraph"/>
              <w:ind w:left="824" w:right="824"/>
              <w:rPr>
                <w:b/>
                <w:sz w:val="16"/>
              </w:rPr>
            </w:pPr>
            <w:r>
              <w:rPr>
                <w:b/>
                <w:sz w:val="16"/>
              </w:rPr>
              <w:t>Opioids</w:t>
            </w:r>
          </w:p>
        </w:tc>
        <w:tc>
          <w:tcPr>
            <w:tcW w:w="817" w:type="dxa"/>
          </w:tcPr>
          <w:p w:rsidR="00B4377F" w:rsidRDefault="00D7291E">
            <w:pPr>
              <w:pStyle w:val="TableParagraph"/>
              <w:ind w:left="150" w:right="150"/>
              <w:rPr>
                <w:b/>
                <w:sz w:val="16"/>
              </w:rPr>
            </w:pPr>
            <w:r>
              <w:rPr>
                <w:b/>
                <w:sz w:val="16"/>
              </w:rPr>
              <w:t>Other</w:t>
            </w:r>
          </w:p>
        </w:tc>
        <w:tc>
          <w:tcPr>
            <w:tcW w:w="3522" w:type="dxa"/>
            <w:gridSpan w:val="2"/>
          </w:tcPr>
          <w:p w:rsidR="00B4377F" w:rsidRDefault="00D7291E">
            <w:pPr>
              <w:pStyle w:val="TableParagraph"/>
              <w:ind w:left="916"/>
              <w:jc w:val="left"/>
              <w:rPr>
                <w:b/>
                <w:sz w:val="16"/>
              </w:rPr>
            </w:pPr>
            <w:r>
              <w:rPr>
                <w:b/>
                <w:sz w:val="16"/>
              </w:rPr>
              <w:t>Sedatives/Hypnotics</w:t>
            </w:r>
          </w:p>
        </w:tc>
        <w:tc>
          <w:tcPr>
            <w:tcW w:w="3284" w:type="dxa"/>
            <w:gridSpan w:val="2"/>
          </w:tcPr>
          <w:p w:rsidR="00B4377F" w:rsidRDefault="00D7291E">
            <w:pPr>
              <w:pStyle w:val="TableParagraph"/>
              <w:ind w:left="1178" w:right="1178"/>
              <w:rPr>
                <w:b/>
                <w:sz w:val="16"/>
              </w:rPr>
            </w:pPr>
            <w:r>
              <w:rPr>
                <w:b/>
                <w:sz w:val="16"/>
              </w:rPr>
              <w:t>Stimulants</w:t>
            </w:r>
          </w:p>
        </w:tc>
      </w:tr>
      <w:tr w:rsidR="00B4377F">
        <w:trPr>
          <w:trHeight w:hRule="exact" w:val="304"/>
        </w:trPr>
        <w:tc>
          <w:tcPr>
            <w:tcW w:w="970" w:type="dxa"/>
            <w:vMerge/>
          </w:tcPr>
          <w:p w:rsidR="00B4377F" w:rsidRDefault="00B4377F"/>
        </w:tc>
        <w:tc>
          <w:tcPr>
            <w:tcW w:w="1762" w:type="dxa"/>
            <w:vMerge/>
          </w:tcPr>
          <w:p w:rsidR="00B4377F" w:rsidRDefault="00B4377F"/>
        </w:tc>
        <w:tc>
          <w:tcPr>
            <w:tcW w:w="1276" w:type="dxa"/>
          </w:tcPr>
          <w:p w:rsidR="00B4377F" w:rsidRDefault="00D7291E">
            <w:pPr>
              <w:pStyle w:val="TableParagraph"/>
              <w:ind w:left="202" w:right="202"/>
              <w:rPr>
                <w:sz w:val="16"/>
              </w:rPr>
            </w:pPr>
            <w:r>
              <w:rPr>
                <w:sz w:val="16"/>
              </w:rPr>
              <w:t>Marijuana</w:t>
            </w:r>
          </w:p>
        </w:tc>
        <w:tc>
          <w:tcPr>
            <w:tcW w:w="831" w:type="dxa"/>
          </w:tcPr>
          <w:p w:rsidR="00B4377F" w:rsidRDefault="00D7291E">
            <w:pPr>
              <w:pStyle w:val="TableParagraph"/>
              <w:ind w:left="173"/>
              <w:jc w:val="left"/>
              <w:rPr>
                <w:sz w:val="16"/>
              </w:rPr>
            </w:pPr>
            <w:r>
              <w:rPr>
                <w:sz w:val="16"/>
              </w:rPr>
              <w:t>Heroin</w:t>
            </w:r>
          </w:p>
        </w:tc>
        <w:tc>
          <w:tcPr>
            <w:tcW w:w="1480" w:type="dxa"/>
          </w:tcPr>
          <w:p w:rsidR="00B4377F" w:rsidRDefault="00D7291E">
            <w:pPr>
              <w:pStyle w:val="TableParagraph"/>
              <w:ind w:left="225" w:right="225"/>
              <w:rPr>
                <w:sz w:val="16"/>
              </w:rPr>
            </w:pPr>
            <w:r>
              <w:rPr>
                <w:sz w:val="16"/>
              </w:rPr>
              <w:t>Other Opioids</w:t>
            </w:r>
          </w:p>
        </w:tc>
        <w:tc>
          <w:tcPr>
            <w:tcW w:w="817" w:type="dxa"/>
          </w:tcPr>
          <w:p w:rsidR="00B4377F" w:rsidRDefault="00D7291E">
            <w:pPr>
              <w:pStyle w:val="TableParagraph"/>
              <w:ind w:left="150" w:right="150"/>
              <w:rPr>
                <w:sz w:val="16"/>
              </w:rPr>
            </w:pPr>
            <w:r>
              <w:rPr>
                <w:sz w:val="16"/>
              </w:rPr>
              <w:t>Other</w:t>
            </w:r>
          </w:p>
        </w:tc>
        <w:tc>
          <w:tcPr>
            <w:tcW w:w="880" w:type="dxa"/>
          </w:tcPr>
          <w:p w:rsidR="00B4377F" w:rsidRDefault="00D7291E">
            <w:pPr>
              <w:pStyle w:val="TableParagraph"/>
              <w:ind w:right="174"/>
              <w:jc w:val="right"/>
              <w:rPr>
                <w:sz w:val="16"/>
              </w:rPr>
            </w:pPr>
            <w:r>
              <w:rPr>
                <w:sz w:val="16"/>
              </w:rPr>
              <w:t>Alcohol</w:t>
            </w:r>
          </w:p>
        </w:tc>
        <w:tc>
          <w:tcPr>
            <w:tcW w:w="2642" w:type="dxa"/>
          </w:tcPr>
          <w:p w:rsidR="00B4377F" w:rsidRDefault="00D7291E">
            <w:pPr>
              <w:pStyle w:val="TableParagraph"/>
              <w:ind w:left="357" w:right="357"/>
              <w:rPr>
                <w:sz w:val="16"/>
              </w:rPr>
            </w:pPr>
            <w:r>
              <w:rPr>
                <w:sz w:val="16"/>
              </w:rPr>
              <w:t>Other Sedatives/Hypnotics</w:t>
            </w:r>
          </w:p>
        </w:tc>
        <w:tc>
          <w:tcPr>
            <w:tcW w:w="1524" w:type="dxa"/>
          </w:tcPr>
          <w:p w:rsidR="00B4377F" w:rsidRDefault="00D7291E">
            <w:pPr>
              <w:pStyle w:val="TableParagraph"/>
              <w:ind w:left="230" w:right="230"/>
              <w:rPr>
                <w:sz w:val="16"/>
              </w:rPr>
            </w:pPr>
            <w:r>
              <w:rPr>
                <w:sz w:val="16"/>
              </w:rPr>
              <w:t>Crack/Cocaine</w:t>
            </w:r>
          </w:p>
        </w:tc>
        <w:tc>
          <w:tcPr>
            <w:tcW w:w="1760" w:type="dxa"/>
          </w:tcPr>
          <w:p w:rsidR="00B4377F" w:rsidRDefault="00D7291E">
            <w:pPr>
              <w:pStyle w:val="TableParagraph"/>
              <w:ind w:left="257" w:right="257"/>
              <w:rPr>
                <w:sz w:val="16"/>
              </w:rPr>
            </w:pPr>
            <w:r>
              <w:rPr>
                <w:sz w:val="16"/>
              </w:rPr>
              <w:t>Other Stimulants</w:t>
            </w:r>
          </w:p>
        </w:tc>
      </w:tr>
      <w:tr w:rsidR="00B4377F">
        <w:trPr>
          <w:trHeight w:hRule="exact" w:val="304"/>
        </w:trPr>
        <w:tc>
          <w:tcPr>
            <w:tcW w:w="970" w:type="dxa"/>
          </w:tcPr>
          <w:p w:rsidR="00B4377F" w:rsidRDefault="00D7291E">
            <w:pPr>
              <w:pStyle w:val="TableParagraph"/>
              <w:ind w:right="185"/>
              <w:jc w:val="right"/>
              <w:rPr>
                <w:sz w:val="16"/>
              </w:rPr>
            </w:pPr>
            <w:r>
              <w:rPr>
                <w:sz w:val="16"/>
              </w:rPr>
              <w:t>FY 2008</w:t>
            </w:r>
          </w:p>
        </w:tc>
        <w:tc>
          <w:tcPr>
            <w:tcW w:w="1762" w:type="dxa"/>
          </w:tcPr>
          <w:p w:rsidR="00B4377F" w:rsidRDefault="00D7291E">
            <w:pPr>
              <w:pStyle w:val="TableParagraph"/>
              <w:ind w:left="608" w:right="608"/>
              <w:rPr>
                <w:sz w:val="16"/>
              </w:rPr>
            </w:pPr>
            <w:r>
              <w:rPr>
                <w:sz w:val="16"/>
              </w:rPr>
              <w:t>25,348</w:t>
            </w:r>
          </w:p>
        </w:tc>
        <w:tc>
          <w:tcPr>
            <w:tcW w:w="1276" w:type="dxa"/>
          </w:tcPr>
          <w:p w:rsidR="00B4377F" w:rsidRDefault="00D7291E">
            <w:pPr>
              <w:pStyle w:val="TableParagraph"/>
              <w:ind w:left="202" w:right="203"/>
              <w:rPr>
                <w:sz w:val="16"/>
              </w:rPr>
            </w:pPr>
            <w:r>
              <w:rPr>
                <w:sz w:val="16"/>
              </w:rPr>
              <w:t>40.0%</w:t>
            </w:r>
          </w:p>
        </w:tc>
        <w:tc>
          <w:tcPr>
            <w:tcW w:w="831" w:type="dxa"/>
          </w:tcPr>
          <w:p w:rsidR="00B4377F" w:rsidRDefault="00D7291E">
            <w:pPr>
              <w:pStyle w:val="TableParagraph"/>
              <w:ind w:left="171"/>
              <w:jc w:val="left"/>
              <w:rPr>
                <w:sz w:val="16"/>
              </w:rPr>
            </w:pPr>
            <w:r>
              <w:rPr>
                <w:sz w:val="16"/>
              </w:rPr>
              <w:t>50.9%</w:t>
            </w:r>
          </w:p>
        </w:tc>
        <w:tc>
          <w:tcPr>
            <w:tcW w:w="1480" w:type="dxa"/>
          </w:tcPr>
          <w:p w:rsidR="00B4377F" w:rsidRDefault="00D7291E">
            <w:pPr>
              <w:pStyle w:val="TableParagraph"/>
              <w:ind w:left="224" w:right="225"/>
              <w:rPr>
                <w:sz w:val="16"/>
              </w:rPr>
            </w:pPr>
            <w:r>
              <w:rPr>
                <w:sz w:val="16"/>
              </w:rPr>
              <w:t>25.1%</w:t>
            </w:r>
          </w:p>
        </w:tc>
        <w:tc>
          <w:tcPr>
            <w:tcW w:w="817" w:type="dxa"/>
          </w:tcPr>
          <w:p w:rsidR="00B4377F" w:rsidRDefault="00D7291E">
            <w:pPr>
              <w:pStyle w:val="TableParagraph"/>
              <w:ind w:left="149" w:right="150"/>
              <w:rPr>
                <w:sz w:val="16"/>
              </w:rPr>
            </w:pPr>
            <w:r>
              <w:rPr>
                <w:sz w:val="16"/>
              </w:rPr>
              <w:t>6.4%</w:t>
            </w:r>
          </w:p>
        </w:tc>
        <w:tc>
          <w:tcPr>
            <w:tcW w:w="880" w:type="dxa"/>
          </w:tcPr>
          <w:p w:rsidR="00B4377F" w:rsidRDefault="00D7291E">
            <w:pPr>
              <w:pStyle w:val="TableParagraph"/>
              <w:ind w:right="195"/>
              <w:jc w:val="right"/>
              <w:rPr>
                <w:sz w:val="16"/>
              </w:rPr>
            </w:pPr>
            <w:r>
              <w:rPr>
                <w:sz w:val="16"/>
              </w:rPr>
              <w:t>60.2%</w:t>
            </w:r>
          </w:p>
        </w:tc>
        <w:tc>
          <w:tcPr>
            <w:tcW w:w="2642" w:type="dxa"/>
          </w:tcPr>
          <w:p w:rsidR="00B4377F" w:rsidRDefault="00D7291E">
            <w:pPr>
              <w:pStyle w:val="TableParagraph"/>
              <w:ind w:left="356" w:right="357"/>
              <w:rPr>
                <w:sz w:val="16"/>
              </w:rPr>
            </w:pPr>
            <w:r>
              <w:rPr>
                <w:sz w:val="16"/>
              </w:rPr>
              <w:t>18.1%</w:t>
            </w:r>
          </w:p>
        </w:tc>
        <w:tc>
          <w:tcPr>
            <w:tcW w:w="1524" w:type="dxa"/>
          </w:tcPr>
          <w:p w:rsidR="00B4377F" w:rsidRDefault="00D7291E">
            <w:pPr>
              <w:pStyle w:val="TableParagraph"/>
              <w:ind w:left="229" w:right="230"/>
              <w:rPr>
                <w:sz w:val="16"/>
              </w:rPr>
            </w:pPr>
            <w:r>
              <w:rPr>
                <w:sz w:val="16"/>
              </w:rPr>
              <w:t>32.9%</w:t>
            </w:r>
          </w:p>
        </w:tc>
        <w:tc>
          <w:tcPr>
            <w:tcW w:w="1760" w:type="dxa"/>
          </w:tcPr>
          <w:p w:rsidR="00B4377F" w:rsidRDefault="00D7291E">
            <w:pPr>
              <w:pStyle w:val="TableParagraph"/>
              <w:ind w:left="257" w:right="257"/>
              <w:rPr>
                <w:sz w:val="16"/>
              </w:rPr>
            </w:pPr>
            <w:r>
              <w:rPr>
                <w:sz w:val="16"/>
              </w:rPr>
              <w:t>3.6%</w:t>
            </w:r>
          </w:p>
        </w:tc>
      </w:tr>
      <w:tr w:rsidR="00B4377F">
        <w:trPr>
          <w:trHeight w:hRule="exact" w:val="304"/>
        </w:trPr>
        <w:tc>
          <w:tcPr>
            <w:tcW w:w="970" w:type="dxa"/>
          </w:tcPr>
          <w:p w:rsidR="00B4377F" w:rsidRDefault="00D7291E">
            <w:pPr>
              <w:pStyle w:val="TableParagraph"/>
              <w:ind w:right="185"/>
              <w:jc w:val="right"/>
              <w:rPr>
                <w:sz w:val="16"/>
              </w:rPr>
            </w:pPr>
            <w:r>
              <w:rPr>
                <w:sz w:val="16"/>
              </w:rPr>
              <w:t>FY 2009</w:t>
            </w:r>
          </w:p>
        </w:tc>
        <w:tc>
          <w:tcPr>
            <w:tcW w:w="1762" w:type="dxa"/>
          </w:tcPr>
          <w:p w:rsidR="00B4377F" w:rsidRDefault="00D7291E">
            <w:pPr>
              <w:pStyle w:val="TableParagraph"/>
              <w:ind w:left="608" w:right="608"/>
              <w:rPr>
                <w:sz w:val="16"/>
              </w:rPr>
            </w:pPr>
            <w:r>
              <w:rPr>
                <w:sz w:val="16"/>
              </w:rPr>
              <w:t>24,269</w:t>
            </w:r>
          </w:p>
        </w:tc>
        <w:tc>
          <w:tcPr>
            <w:tcW w:w="1276" w:type="dxa"/>
          </w:tcPr>
          <w:p w:rsidR="00B4377F" w:rsidRDefault="00D7291E">
            <w:pPr>
              <w:pStyle w:val="TableParagraph"/>
              <w:ind w:left="202" w:right="203"/>
              <w:rPr>
                <w:sz w:val="16"/>
              </w:rPr>
            </w:pPr>
            <w:r>
              <w:rPr>
                <w:sz w:val="16"/>
              </w:rPr>
              <w:t>40.7%</w:t>
            </w:r>
          </w:p>
        </w:tc>
        <w:tc>
          <w:tcPr>
            <w:tcW w:w="831" w:type="dxa"/>
          </w:tcPr>
          <w:p w:rsidR="00B4377F" w:rsidRDefault="00D7291E">
            <w:pPr>
              <w:pStyle w:val="TableParagraph"/>
              <w:ind w:left="171"/>
              <w:jc w:val="left"/>
              <w:rPr>
                <w:sz w:val="16"/>
              </w:rPr>
            </w:pPr>
            <w:r>
              <w:rPr>
                <w:sz w:val="16"/>
              </w:rPr>
              <w:t>55.4%</w:t>
            </w:r>
          </w:p>
        </w:tc>
        <w:tc>
          <w:tcPr>
            <w:tcW w:w="1480" w:type="dxa"/>
          </w:tcPr>
          <w:p w:rsidR="00B4377F" w:rsidRDefault="00D7291E">
            <w:pPr>
              <w:pStyle w:val="TableParagraph"/>
              <w:ind w:left="224" w:right="225"/>
              <w:rPr>
                <w:sz w:val="16"/>
              </w:rPr>
            </w:pPr>
            <w:r>
              <w:rPr>
                <w:sz w:val="16"/>
              </w:rPr>
              <w:t>29.7%</w:t>
            </w:r>
          </w:p>
        </w:tc>
        <w:tc>
          <w:tcPr>
            <w:tcW w:w="817" w:type="dxa"/>
          </w:tcPr>
          <w:p w:rsidR="00B4377F" w:rsidRDefault="00D7291E">
            <w:pPr>
              <w:pStyle w:val="TableParagraph"/>
              <w:ind w:left="149" w:right="150"/>
              <w:rPr>
                <w:sz w:val="16"/>
              </w:rPr>
            </w:pPr>
            <w:r>
              <w:rPr>
                <w:sz w:val="16"/>
              </w:rPr>
              <w:t>5.0%</w:t>
            </w:r>
          </w:p>
        </w:tc>
        <w:tc>
          <w:tcPr>
            <w:tcW w:w="880" w:type="dxa"/>
          </w:tcPr>
          <w:p w:rsidR="00B4377F" w:rsidRDefault="00D7291E">
            <w:pPr>
              <w:pStyle w:val="TableParagraph"/>
              <w:ind w:right="195"/>
              <w:jc w:val="right"/>
              <w:rPr>
                <w:sz w:val="16"/>
              </w:rPr>
            </w:pPr>
            <w:r>
              <w:rPr>
                <w:sz w:val="16"/>
              </w:rPr>
              <w:t>58.2%</w:t>
            </w:r>
          </w:p>
        </w:tc>
        <w:tc>
          <w:tcPr>
            <w:tcW w:w="2642" w:type="dxa"/>
          </w:tcPr>
          <w:p w:rsidR="00B4377F" w:rsidRDefault="00D7291E">
            <w:pPr>
              <w:pStyle w:val="TableParagraph"/>
              <w:ind w:left="356" w:right="357"/>
              <w:rPr>
                <w:sz w:val="16"/>
              </w:rPr>
            </w:pPr>
            <w:r>
              <w:rPr>
                <w:sz w:val="16"/>
              </w:rPr>
              <w:t>22.1%</w:t>
            </w:r>
          </w:p>
        </w:tc>
        <w:tc>
          <w:tcPr>
            <w:tcW w:w="1524" w:type="dxa"/>
          </w:tcPr>
          <w:p w:rsidR="00B4377F" w:rsidRDefault="00D7291E">
            <w:pPr>
              <w:pStyle w:val="TableParagraph"/>
              <w:ind w:left="229" w:right="230"/>
              <w:rPr>
                <w:sz w:val="16"/>
              </w:rPr>
            </w:pPr>
            <w:r>
              <w:rPr>
                <w:sz w:val="16"/>
              </w:rPr>
              <w:t>30.3%</w:t>
            </w:r>
          </w:p>
        </w:tc>
        <w:tc>
          <w:tcPr>
            <w:tcW w:w="1760" w:type="dxa"/>
          </w:tcPr>
          <w:p w:rsidR="00B4377F" w:rsidRDefault="00D7291E">
            <w:pPr>
              <w:pStyle w:val="TableParagraph"/>
              <w:ind w:left="257" w:right="257"/>
              <w:rPr>
                <w:sz w:val="16"/>
              </w:rPr>
            </w:pPr>
            <w:r>
              <w:rPr>
                <w:sz w:val="16"/>
              </w:rPr>
              <w:t>4.5%</w:t>
            </w:r>
          </w:p>
        </w:tc>
      </w:tr>
      <w:tr w:rsidR="00B4377F">
        <w:trPr>
          <w:trHeight w:hRule="exact" w:val="304"/>
        </w:trPr>
        <w:tc>
          <w:tcPr>
            <w:tcW w:w="970" w:type="dxa"/>
          </w:tcPr>
          <w:p w:rsidR="00B4377F" w:rsidRDefault="00D7291E">
            <w:pPr>
              <w:pStyle w:val="TableParagraph"/>
              <w:ind w:right="185"/>
              <w:jc w:val="right"/>
              <w:rPr>
                <w:sz w:val="16"/>
              </w:rPr>
            </w:pPr>
            <w:r>
              <w:rPr>
                <w:sz w:val="16"/>
              </w:rPr>
              <w:t>FY 2010</w:t>
            </w:r>
          </w:p>
        </w:tc>
        <w:tc>
          <w:tcPr>
            <w:tcW w:w="1762" w:type="dxa"/>
          </w:tcPr>
          <w:p w:rsidR="00B4377F" w:rsidRDefault="00D7291E">
            <w:pPr>
              <w:pStyle w:val="TableParagraph"/>
              <w:ind w:left="608" w:right="608"/>
              <w:rPr>
                <w:sz w:val="16"/>
              </w:rPr>
            </w:pPr>
            <w:r>
              <w:rPr>
                <w:sz w:val="16"/>
              </w:rPr>
              <w:t>25,082</w:t>
            </w:r>
          </w:p>
        </w:tc>
        <w:tc>
          <w:tcPr>
            <w:tcW w:w="1276" w:type="dxa"/>
          </w:tcPr>
          <w:p w:rsidR="00B4377F" w:rsidRDefault="00D7291E">
            <w:pPr>
              <w:pStyle w:val="TableParagraph"/>
              <w:ind w:left="202" w:right="203"/>
              <w:rPr>
                <w:sz w:val="16"/>
              </w:rPr>
            </w:pPr>
            <w:r>
              <w:rPr>
                <w:sz w:val="16"/>
              </w:rPr>
              <w:t>39.0%</w:t>
            </w:r>
          </w:p>
        </w:tc>
        <w:tc>
          <w:tcPr>
            <w:tcW w:w="831" w:type="dxa"/>
          </w:tcPr>
          <w:p w:rsidR="00B4377F" w:rsidRDefault="00D7291E">
            <w:pPr>
              <w:pStyle w:val="TableParagraph"/>
              <w:ind w:left="171"/>
              <w:jc w:val="left"/>
              <w:rPr>
                <w:sz w:val="16"/>
              </w:rPr>
            </w:pPr>
            <w:r>
              <w:rPr>
                <w:sz w:val="16"/>
              </w:rPr>
              <w:t>56.0%</w:t>
            </w:r>
          </w:p>
        </w:tc>
        <w:tc>
          <w:tcPr>
            <w:tcW w:w="1480" w:type="dxa"/>
          </w:tcPr>
          <w:p w:rsidR="00B4377F" w:rsidRDefault="00D7291E">
            <w:pPr>
              <w:pStyle w:val="TableParagraph"/>
              <w:ind w:left="224" w:right="225"/>
              <w:rPr>
                <w:sz w:val="16"/>
              </w:rPr>
            </w:pPr>
            <w:r>
              <w:rPr>
                <w:sz w:val="16"/>
              </w:rPr>
              <w:t>33.5%</w:t>
            </w:r>
          </w:p>
        </w:tc>
        <w:tc>
          <w:tcPr>
            <w:tcW w:w="817" w:type="dxa"/>
          </w:tcPr>
          <w:p w:rsidR="00B4377F" w:rsidRDefault="00D7291E">
            <w:pPr>
              <w:pStyle w:val="TableParagraph"/>
              <w:ind w:left="149" w:right="150"/>
              <w:rPr>
                <w:sz w:val="16"/>
              </w:rPr>
            </w:pPr>
            <w:r>
              <w:rPr>
                <w:sz w:val="16"/>
              </w:rPr>
              <w:t>4.5%</w:t>
            </w:r>
          </w:p>
        </w:tc>
        <w:tc>
          <w:tcPr>
            <w:tcW w:w="880" w:type="dxa"/>
          </w:tcPr>
          <w:p w:rsidR="00B4377F" w:rsidRDefault="00D7291E">
            <w:pPr>
              <w:pStyle w:val="TableParagraph"/>
              <w:ind w:right="195"/>
              <w:jc w:val="right"/>
              <w:rPr>
                <w:sz w:val="16"/>
              </w:rPr>
            </w:pPr>
            <w:r>
              <w:rPr>
                <w:sz w:val="16"/>
              </w:rPr>
              <w:t>53.8%</w:t>
            </w:r>
          </w:p>
        </w:tc>
        <w:tc>
          <w:tcPr>
            <w:tcW w:w="2642" w:type="dxa"/>
          </w:tcPr>
          <w:p w:rsidR="00B4377F" w:rsidRDefault="00D7291E">
            <w:pPr>
              <w:pStyle w:val="TableParagraph"/>
              <w:ind w:left="356" w:right="357"/>
              <w:rPr>
                <w:sz w:val="16"/>
              </w:rPr>
            </w:pPr>
            <w:r>
              <w:rPr>
                <w:sz w:val="16"/>
              </w:rPr>
              <w:t>22.7%</w:t>
            </w:r>
          </w:p>
        </w:tc>
        <w:tc>
          <w:tcPr>
            <w:tcW w:w="1524" w:type="dxa"/>
          </w:tcPr>
          <w:p w:rsidR="00B4377F" w:rsidRDefault="00D7291E">
            <w:pPr>
              <w:pStyle w:val="TableParagraph"/>
              <w:ind w:left="229" w:right="230"/>
              <w:rPr>
                <w:sz w:val="16"/>
              </w:rPr>
            </w:pPr>
            <w:r>
              <w:rPr>
                <w:sz w:val="16"/>
              </w:rPr>
              <w:t>26.1%</w:t>
            </w:r>
          </w:p>
        </w:tc>
        <w:tc>
          <w:tcPr>
            <w:tcW w:w="1760" w:type="dxa"/>
          </w:tcPr>
          <w:p w:rsidR="00B4377F" w:rsidRDefault="00D7291E">
            <w:pPr>
              <w:pStyle w:val="TableParagraph"/>
              <w:ind w:left="257" w:right="257"/>
              <w:rPr>
                <w:sz w:val="16"/>
              </w:rPr>
            </w:pPr>
            <w:r>
              <w:rPr>
                <w:sz w:val="16"/>
              </w:rPr>
              <w:t>4.3%</w:t>
            </w:r>
          </w:p>
        </w:tc>
      </w:tr>
      <w:tr w:rsidR="00B4377F">
        <w:trPr>
          <w:trHeight w:hRule="exact" w:val="304"/>
        </w:trPr>
        <w:tc>
          <w:tcPr>
            <w:tcW w:w="970" w:type="dxa"/>
          </w:tcPr>
          <w:p w:rsidR="00B4377F" w:rsidRDefault="00D7291E">
            <w:pPr>
              <w:pStyle w:val="TableParagraph"/>
              <w:ind w:right="185"/>
              <w:jc w:val="right"/>
              <w:rPr>
                <w:sz w:val="16"/>
              </w:rPr>
            </w:pPr>
            <w:r>
              <w:rPr>
                <w:sz w:val="16"/>
              </w:rPr>
              <w:t>FY 2011</w:t>
            </w:r>
          </w:p>
        </w:tc>
        <w:tc>
          <w:tcPr>
            <w:tcW w:w="1762" w:type="dxa"/>
          </w:tcPr>
          <w:p w:rsidR="00B4377F" w:rsidRDefault="00D7291E">
            <w:pPr>
              <w:pStyle w:val="TableParagraph"/>
              <w:ind w:left="608" w:right="608"/>
              <w:rPr>
                <w:sz w:val="16"/>
              </w:rPr>
            </w:pPr>
            <w:r>
              <w:rPr>
                <w:sz w:val="16"/>
              </w:rPr>
              <w:t>24,147</w:t>
            </w:r>
          </w:p>
        </w:tc>
        <w:tc>
          <w:tcPr>
            <w:tcW w:w="1276" w:type="dxa"/>
          </w:tcPr>
          <w:p w:rsidR="00B4377F" w:rsidRDefault="00D7291E">
            <w:pPr>
              <w:pStyle w:val="TableParagraph"/>
              <w:ind w:left="202" w:right="203"/>
              <w:rPr>
                <w:sz w:val="16"/>
              </w:rPr>
            </w:pPr>
            <w:r>
              <w:rPr>
                <w:sz w:val="16"/>
              </w:rPr>
              <w:t>38.7%</w:t>
            </w:r>
          </w:p>
        </w:tc>
        <w:tc>
          <w:tcPr>
            <w:tcW w:w="831" w:type="dxa"/>
          </w:tcPr>
          <w:p w:rsidR="00B4377F" w:rsidRDefault="00D7291E">
            <w:pPr>
              <w:pStyle w:val="TableParagraph"/>
              <w:ind w:left="171"/>
              <w:jc w:val="left"/>
              <w:rPr>
                <w:sz w:val="16"/>
              </w:rPr>
            </w:pPr>
            <w:r>
              <w:rPr>
                <w:sz w:val="16"/>
              </w:rPr>
              <w:t>54.7%</w:t>
            </w:r>
          </w:p>
        </w:tc>
        <w:tc>
          <w:tcPr>
            <w:tcW w:w="1480" w:type="dxa"/>
          </w:tcPr>
          <w:p w:rsidR="00B4377F" w:rsidRDefault="00D7291E">
            <w:pPr>
              <w:pStyle w:val="TableParagraph"/>
              <w:ind w:left="224" w:right="225"/>
              <w:rPr>
                <w:sz w:val="16"/>
              </w:rPr>
            </w:pPr>
            <w:r>
              <w:rPr>
                <w:sz w:val="16"/>
              </w:rPr>
              <w:t>38.7%</w:t>
            </w:r>
          </w:p>
        </w:tc>
        <w:tc>
          <w:tcPr>
            <w:tcW w:w="817" w:type="dxa"/>
          </w:tcPr>
          <w:p w:rsidR="00B4377F" w:rsidRDefault="00D7291E">
            <w:pPr>
              <w:pStyle w:val="TableParagraph"/>
              <w:ind w:left="149" w:right="150"/>
              <w:rPr>
                <w:sz w:val="16"/>
              </w:rPr>
            </w:pPr>
            <w:r>
              <w:rPr>
                <w:sz w:val="16"/>
              </w:rPr>
              <w:t>4.7%</w:t>
            </w:r>
          </w:p>
        </w:tc>
        <w:tc>
          <w:tcPr>
            <w:tcW w:w="880" w:type="dxa"/>
          </w:tcPr>
          <w:p w:rsidR="00B4377F" w:rsidRDefault="00D7291E">
            <w:pPr>
              <w:pStyle w:val="TableParagraph"/>
              <w:ind w:right="195"/>
              <w:jc w:val="right"/>
              <w:rPr>
                <w:sz w:val="16"/>
              </w:rPr>
            </w:pPr>
            <w:r>
              <w:rPr>
                <w:sz w:val="16"/>
              </w:rPr>
              <w:t>52.2%</w:t>
            </w:r>
          </w:p>
        </w:tc>
        <w:tc>
          <w:tcPr>
            <w:tcW w:w="2642" w:type="dxa"/>
          </w:tcPr>
          <w:p w:rsidR="00B4377F" w:rsidRDefault="00D7291E">
            <w:pPr>
              <w:pStyle w:val="TableParagraph"/>
              <w:ind w:left="356" w:right="357"/>
              <w:rPr>
                <w:sz w:val="16"/>
              </w:rPr>
            </w:pPr>
            <w:r>
              <w:rPr>
                <w:sz w:val="16"/>
              </w:rPr>
              <w:t>25.5%</w:t>
            </w:r>
          </w:p>
        </w:tc>
        <w:tc>
          <w:tcPr>
            <w:tcW w:w="1524" w:type="dxa"/>
          </w:tcPr>
          <w:p w:rsidR="00B4377F" w:rsidRDefault="00D7291E">
            <w:pPr>
              <w:pStyle w:val="TableParagraph"/>
              <w:ind w:left="229" w:right="230"/>
              <w:rPr>
                <w:sz w:val="16"/>
              </w:rPr>
            </w:pPr>
            <w:r>
              <w:rPr>
                <w:sz w:val="16"/>
              </w:rPr>
              <w:t>28.2%</w:t>
            </w:r>
          </w:p>
        </w:tc>
        <w:tc>
          <w:tcPr>
            <w:tcW w:w="1760" w:type="dxa"/>
          </w:tcPr>
          <w:p w:rsidR="00B4377F" w:rsidRDefault="00D7291E">
            <w:pPr>
              <w:pStyle w:val="TableParagraph"/>
              <w:ind w:left="257" w:right="257"/>
              <w:rPr>
                <w:sz w:val="16"/>
              </w:rPr>
            </w:pPr>
            <w:r>
              <w:rPr>
                <w:sz w:val="16"/>
              </w:rPr>
              <w:t>5.0%</w:t>
            </w:r>
          </w:p>
        </w:tc>
      </w:tr>
      <w:tr w:rsidR="00B4377F">
        <w:trPr>
          <w:trHeight w:hRule="exact" w:val="304"/>
        </w:trPr>
        <w:tc>
          <w:tcPr>
            <w:tcW w:w="970" w:type="dxa"/>
          </w:tcPr>
          <w:p w:rsidR="00B4377F" w:rsidRDefault="00D7291E">
            <w:pPr>
              <w:pStyle w:val="TableParagraph"/>
              <w:ind w:right="185"/>
              <w:jc w:val="right"/>
              <w:rPr>
                <w:sz w:val="16"/>
              </w:rPr>
            </w:pPr>
            <w:r>
              <w:rPr>
                <w:sz w:val="16"/>
              </w:rPr>
              <w:t>FY 2012</w:t>
            </w:r>
          </w:p>
        </w:tc>
        <w:tc>
          <w:tcPr>
            <w:tcW w:w="1762" w:type="dxa"/>
          </w:tcPr>
          <w:p w:rsidR="00B4377F" w:rsidRDefault="00D7291E">
            <w:pPr>
              <w:pStyle w:val="TableParagraph"/>
              <w:ind w:left="608" w:right="608"/>
              <w:rPr>
                <w:sz w:val="16"/>
              </w:rPr>
            </w:pPr>
            <w:r>
              <w:rPr>
                <w:sz w:val="16"/>
              </w:rPr>
              <w:t>24,522</w:t>
            </w:r>
          </w:p>
        </w:tc>
        <w:tc>
          <w:tcPr>
            <w:tcW w:w="1276" w:type="dxa"/>
          </w:tcPr>
          <w:p w:rsidR="00B4377F" w:rsidRDefault="00D7291E">
            <w:pPr>
              <w:pStyle w:val="TableParagraph"/>
              <w:ind w:left="202" w:right="203"/>
              <w:rPr>
                <w:sz w:val="16"/>
              </w:rPr>
            </w:pPr>
            <w:r>
              <w:rPr>
                <w:sz w:val="16"/>
              </w:rPr>
              <w:t>37.2%</w:t>
            </w:r>
          </w:p>
        </w:tc>
        <w:tc>
          <w:tcPr>
            <w:tcW w:w="831" w:type="dxa"/>
          </w:tcPr>
          <w:p w:rsidR="00B4377F" w:rsidRDefault="00D7291E">
            <w:pPr>
              <w:pStyle w:val="TableParagraph"/>
              <w:ind w:left="171"/>
              <w:jc w:val="left"/>
              <w:rPr>
                <w:sz w:val="16"/>
              </w:rPr>
            </w:pPr>
            <w:r>
              <w:rPr>
                <w:sz w:val="16"/>
              </w:rPr>
              <w:t>58.8%</w:t>
            </w:r>
          </w:p>
        </w:tc>
        <w:tc>
          <w:tcPr>
            <w:tcW w:w="1480" w:type="dxa"/>
          </w:tcPr>
          <w:p w:rsidR="00B4377F" w:rsidRDefault="00D7291E">
            <w:pPr>
              <w:pStyle w:val="TableParagraph"/>
              <w:ind w:left="224" w:right="225"/>
              <w:rPr>
                <w:sz w:val="16"/>
              </w:rPr>
            </w:pPr>
            <w:r>
              <w:rPr>
                <w:sz w:val="16"/>
              </w:rPr>
              <w:t>37.7%</w:t>
            </w:r>
          </w:p>
        </w:tc>
        <w:tc>
          <w:tcPr>
            <w:tcW w:w="817" w:type="dxa"/>
          </w:tcPr>
          <w:p w:rsidR="00B4377F" w:rsidRDefault="00D7291E">
            <w:pPr>
              <w:pStyle w:val="TableParagraph"/>
              <w:ind w:left="149" w:right="150"/>
              <w:rPr>
                <w:sz w:val="16"/>
              </w:rPr>
            </w:pPr>
            <w:r>
              <w:rPr>
                <w:sz w:val="16"/>
              </w:rPr>
              <w:t>4.9%</w:t>
            </w:r>
          </w:p>
        </w:tc>
        <w:tc>
          <w:tcPr>
            <w:tcW w:w="880" w:type="dxa"/>
          </w:tcPr>
          <w:p w:rsidR="00B4377F" w:rsidRDefault="00D7291E">
            <w:pPr>
              <w:pStyle w:val="TableParagraph"/>
              <w:ind w:right="195"/>
              <w:jc w:val="right"/>
              <w:rPr>
                <w:sz w:val="16"/>
              </w:rPr>
            </w:pPr>
            <w:r>
              <w:rPr>
                <w:sz w:val="16"/>
              </w:rPr>
              <w:t>50.8%</w:t>
            </w:r>
          </w:p>
        </w:tc>
        <w:tc>
          <w:tcPr>
            <w:tcW w:w="2642" w:type="dxa"/>
          </w:tcPr>
          <w:p w:rsidR="00B4377F" w:rsidRDefault="00D7291E">
            <w:pPr>
              <w:pStyle w:val="TableParagraph"/>
              <w:ind w:left="356" w:right="357"/>
              <w:rPr>
                <w:sz w:val="16"/>
              </w:rPr>
            </w:pPr>
            <w:r>
              <w:rPr>
                <w:sz w:val="16"/>
              </w:rPr>
              <w:t>24.6%</w:t>
            </w:r>
          </w:p>
        </w:tc>
        <w:tc>
          <w:tcPr>
            <w:tcW w:w="1524" w:type="dxa"/>
          </w:tcPr>
          <w:p w:rsidR="00B4377F" w:rsidRDefault="00D7291E">
            <w:pPr>
              <w:pStyle w:val="TableParagraph"/>
              <w:ind w:left="229" w:right="230"/>
              <w:rPr>
                <w:sz w:val="16"/>
              </w:rPr>
            </w:pPr>
            <w:r>
              <w:rPr>
                <w:sz w:val="16"/>
              </w:rPr>
              <w:t>28.0%</w:t>
            </w:r>
          </w:p>
        </w:tc>
        <w:tc>
          <w:tcPr>
            <w:tcW w:w="1760" w:type="dxa"/>
          </w:tcPr>
          <w:p w:rsidR="00B4377F" w:rsidRDefault="00D7291E">
            <w:pPr>
              <w:pStyle w:val="TableParagraph"/>
              <w:ind w:left="257" w:right="257"/>
              <w:rPr>
                <w:sz w:val="16"/>
              </w:rPr>
            </w:pPr>
            <w:r>
              <w:rPr>
                <w:sz w:val="16"/>
              </w:rPr>
              <w:t>4.8%</w:t>
            </w:r>
          </w:p>
        </w:tc>
      </w:tr>
      <w:tr w:rsidR="00B4377F">
        <w:trPr>
          <w:trHeight w:hRule="exact" w:val="304"/>
        </w:trPr>
        <w:tc>
          <w:tcPr>
            <w:tcW w:w="970" w:type="dxa"/>
          </w:tcPr>
          <w:p w:rsidR="00B4377F" w:rsidRDefault="00D7291E">
            <w:pPr>
              <w:pStyle w:val="TableParagraph"/>
              <w:ind w:right="185"/>
              <w:jc w:val="right"/>
              <w:rPr>
                <w:sz w:val="16"/>
              </w:rPr>
            </w:pPr>
            <w:r>
              <w:rPr>
                <w:sz w:val="16"/>
              </w:rPr>
              <w:t>FY 2013</w:t>
            </w:r>
          </w:p>
        </w:tc>
        <w:tc>
          <w:tcPr>
            <w:tcW w:w="1762" w:type="dxa"/>
          </w:tcPr>
          <w:p w:rsidR="00B4377F" w:rsidRDefault="00D7291E">
            <w:pPr>
              <w:pStyle w:val="TableParagraph"/>
              <w:ind w:left="608" w:right="608"/>
              <w:rPr>
                <w:sz w:val="16"/>
              </w:rPr>
            </w:pPr>
            <w:r>
              <w:rPr>
                <w:sz w:val="16"/>
              </w:rPr>
              <w:t>23,073</w:t>
            </w:r>
          </w:p>
        </w:tc>
        <w:tc>
          <w:tcPr>
            <w:tcW w:w="1276" w:type="dxa"/>
          </w:tcPr>
          <w:p w:rsidR="00B4377F" w:rsidRDefault="00D7291E">
            <w:pPr>
              <w:pStyle w:val="TableParagraph"/>
              <w:ind w:left="202" w:right="203"/>
              <w:rPr>
                <w:sz w:val="16"/>
              </w:rPr>
            </w:pPr>
            <w:r>
              <w:rPr>
                <w:sz w:val="16"/>
              </w:rPr>
              <w:t>37.8%</w:t>
            </w:r>
          </w:p>
        </w:tc>
        <w:tc>
          <w:tcPr>
            <w:tcW w:w="831" w:type="dxa"/>
          </w:tcPr>
          <w:p w:rsidR="00B4377F" w:rsidRDefault="00D7291E">
            <w:pPr>
              <w:pStyle w:val="TableParagraph"/>
              <w:ind w:left="171"/>
              <w:jc w:val="left"/>
              <w:rPr>
                <w:sz w:val="16"/>
              </w:rPr>
            </w:pPr>
            <w:r>
              <w:rPr>
                <w:sz w:val="16"/>
              </w:rPr>
              <w:t>65.4%</w:t>
            </w:r>
          </w:p>
        </w:tc>
        <w:tc>
          <w:tcPr>
            <w:tcW w:w="1480" w:type="dxa"/>
          </w:tcPr>
          <w:p w:rsidR="00B4377F" w:rsidRDefault="00D7291E">
            <w:pPr>
              <w:pStyle w:val="TableParagraph"/>
              <w:ind w:left="224" w:right="225"/>
              <w:rPr>
                <w:sz w:val="16"/>
              </w:rPr>
            </w:pPr>
            <w:r>
              <w:rPr>
                <w:sz w:val="16"/>
              </w:rPr>
              <w:t>29.1%</w:t>
            </w:r>
          </w:p>
        </w:tc>
        <w:tc>
          <w:tcPr>
            <w:tcW w:w="817" w:type="dxa"/>
          </w:tcPr>
          <w:p w:rsidR="00B4377F" w:rsidRDefault="00D7291E">
            <w:pPr>
              <w:pStyle w:val="TableParagraph"/>
              <w:ind w:left="149" w:right="150"/>
              <w:rPr>
                <w:sz w:val="16"/>
              </w:rPr>
            </w:pPr>
            <w:r>
              <w:rPr>
                <w:sz w:val="16"/>
              </w:rPr>
              <w:t>6.3%</w:t>
            </w:r>
          </w:p>
        </w:tc>
        <w:tc>
          <w:tcPr>
            <w:tcW w:w="880" w:type="dxa"/>
          </w:tcPr>
          <w:p w:rsidR="00B4377F" w:rsidRDefault="00D7291E">
            <w:pPr>
              <w:pStyle w:val="TableParagraph"/>
              <w:ind w:right="195"/>
              <w:jc w:val="right"/>
              <w:rPr>
                <w:sz w:val="16"/>
              </w:rPr>
            </w:pPr>
            <w:r>
              <w:rPr>
                <w:sz w:val="16"/>
              </w:rPr>
              <w:t>49.5%</w:t>
            </w:r>
          </w:p>
        </w:tc>
        <w:tc>
          <w:tcPr>
            <w:tcW w:w="2642" w:type="dxa"/>
          </w:tcPr>
          <w:p w:rsidR="00B4377F" w:rsidRDefault="00D7291E">
            <w:pPr>
              <w:pStyle w:val="TableParagraph"/>
              <w:ind w:left="356" w:right="357"/>
              <w:rPr>
                <w:sz w:val="16"/>
              </w:rPr>
            </w:pPr>
            <w:r>
              <w:rPr>
                <w:sz w:val="16"/>
              </w:rPr>
              <w:t>22.9%</w:t>
            </w:r>
          </w:p>
        </w:tc>
        <w:tc>
          <w:tcPr>
            <w:tcW w:w="1524" w:type="dxa"/>
          </w:tcPr>
          <w:p w:rsidR="00B4377F" w:rsidRDefault="00D7291E">
            <w:pPr>
              <w:pStyle w:val="TableParagraph"/>
              <w:ind w:left="229" w:right="230"/>
              <w:rPr>
                <w:sz w:val="16"/>
              </w:rPr>
            </w:pPr>
            <w:r>
              <w:rPr>
                <w:sz w:val="16"/>
              </w:rPr>
              <w:t>26.9%</w:t>
            </w:r>
          </w:p>
        </w:tc>
        <w:tc>
          <w:tcPr>
            <w:tcW w:w="1760" w:type="dxa"/>
          </w:tcPr>
          <w:p w:rsidR="00B4377F" w:rsidRDefault="00D7291E">
            <w:pPr>
              <w:pStyle w:val="TableParagraph"/>
              <w:ind w:left="257" w:right="257"/>
              <w:rPr>
                <w:sz w:val="16"/>
              </w:rPr>
            </w:pPr>
            <w:r>
              <w:rPr>
                <w:sz w:val="16"/>
              </w:rPr>
              <w:t>5.3%</w:t>
            </w:r>
          </w:p>
        </w:tc>
      </w:tr>
      <w:tr w:rsidR="00B4377F">
        <w:trPr>
          <w:trHeight w:hRule="exact" w:val="304"/>
        </w:trPr>
        <w:tc>
          <w:tcPr>
            <w:tcW w:w="970" w:type="dxa"/>
          </w:tcPr>
          <w:p w:rsidR="00B4377F" w:rsidRDefault="00D7291E">
            <w:pPr>
              <w:pStyle w:val="TableParagraph"/>
              <w:ind w:right="185"/>
              <w:jc w:val="right"/>
              <w:rPr>
                <w:sz w:val="16"/>
              </w:rPr>
            </w:pPr>
            <w:r>
              <w:rPr>
                <w:sz w:val="16"/>
              </w:rPr>
              <w:t>FY 2014</w:t>
            </w:r>
          </w:p>
        </w:tc>
        <w:tc>
          <w:tcPr>
            <w:tcW w:w="1762" w:type="dxa"/>
          </w:tcPr>
          <w:p w:rsidR="00B4377F" w:rsidRDefault="00D7291E">
            <w:pPr>
              <w:pStyle w:val="TableParagraph"/>
              <w:ind w:left="608" w:right="608"/>
              <w:rPr>
                <w:sz w:val="16"/>
              </w:rPr>
            </w:pPr>
            <w:r>
              <w:rPr>
                <w:sz w:val="16"/>
              </w:rPr>
              <w:t>22,147</w:t>
            </w:r>
          </w:p>
        </w:tc>
        <w:tc>
          <w:tcPr>
            <w:tcW w:w="1276" w:type="dxa"/>
          </w:tcPr>
          <w:p w:rsidR="00B4377F" w:rsidRDefault="00D7291E">
            <w:pPr>
              <w:pStyle w:val="TableParagraph"/>
              <w:ind w:left="202" w:right="203"/>
              <w:rPr>
                <w:sz w:val="16"/>
              </w:rPr>
            </w:pPr>
            <w:r>
              <w:rPr>
                <w:sz w:val="16"/>
              </w:rPr>
              <w:t>35.2%</w:t>
            </w:r>
          </w:p>
        </w:tc>
        <w:tc>
          <w:tcPr>
            <w:tcW w:w="831" w:type="dxa"/>
          </w:tcPr>
          <w:p w:rsidR="00B4377F" w:rsidRDefault="00D7291E">
            <w:pPr>
              <w:pStyle w:val="TableParagraph"/>
              <w:ind w:left="171"/>
              <w:jc w:val="left"/>
              <w:rPr>
                <w:sz w:val="16"/>
              </w:rPr>
            </w:pPr>
            <w:r>
              <w:rPr>
                <w:sz w:val="16"/>
              </w:rPr>
              <w:t>70.9%</w:t>
            </w:r>
          </w:p>
        </w:tc>
        <w:tc>
          <w:tcPr>
            <w:tcW w:w="1480" w:type="dxa"/>
          </w:tcPr>
          <w:p w:rsidR="00B4377F" w:rsidRDefault="00D7291E">
            <w:pPr>
              <w:pStyle w:val="TableParagraph"/>
              <w:ind w:left="224" w:right="225"/>
              <w:rPr>
                <w:sz w:val="16"/>
              </w:rPr>
            </w:pPr>
            <w:r>
              <w:rPr>
                <w:sz w:val="16"/>
              </w:rPr>
              <w:t>22.7%</w:t>
            </w:r>
          </w:p>
        </w:tc>
        <w:tc>
          <w:tcPr>
            <w:tcW w:w="817" w:type="dxa"/>
          </w:tcPr>
          <w:p w:rsidR="00B4377F" w:rsidRDefault="00D7291E">
            <w:pPr>
              <w:pStyle w:val="TableParagraph"/>
              <w:ind w:left="149" w:right="150"/>
              <w:rPr>
                <w:sz w:val="16"/>
              </w:rPr>
            </w:pPr>
            <w:r>
              <w:rPr>
                <w:sz w:val="16"/>
              </w:rPr>
              <w:t>5.8%</w:t>
            </w:r>
          </w:p>
        </w:tc>
        <w:tc>
          <w:tcPr>
            <w:tcW w:w="880" w:type="dxa"/>
          </w:tcPr>
          <w:p w:rsidR="00B4377F" w:rsidRDefault="00D7291E">
            <w:pPr>
              <w:pStyle w:val="TableParagraph"/>
              <w:ind w:right="195"/>
              <w:jc w:val="right"/>
              <w:rPr>
                <w:sz w:val="16"/>
              </w:rPr>
            </w:pPr>
            <w:r>
              <w:rPr>
                <w:sz w:val="16"/>
              </w:rPr>
              <w:t>46.4%</w:t>
            </w:r>
          </w:p>
        </w:tc>
        <w:tc>
          <w:tcPr>
            <w:tcW w:w="2642" w:type="dxa"/>
          </w:tcPr>
          <w:p w:rsidR="00B4377F" w:rsidRDefault="00D7291E">
            <w:pPr>
              <w:pStyle w:val="TableParagraph"/>
              <w:ind w:left="356" w:right="357"/>
              <w:rPr>
                <w:sz w:val="16"/>
              </w:rPr>
            </w:pPr>
            <w:r>
              <w:rPr>
                <w:sz w:val="16"/>
              </w:rPr>
              <w:t>22.9%</w:t>
            </w:r>
          </w:p>
        </w:tc>
        <w:tc>
          <w:tcPr>
            <w:tcW w:w="1524" w:type="dxa"/>
          </w:tcPr>
          <w:p w:rsidR="00B4377F" w:rsidRDefault="00D7291E">
            <w:pPr>
              <w:pStyle w:val="TableParagraph"/>
              <w:ind w:left="229" w:right="230"/>
              <w:rPr>
                <w:sz w:val="16"/>
              </w:rPr>
            </w:pPr>
            <w:r>
              <w:rPr>
                <w:sz w:val="16"/>
              </w:rPr>
              <w:t>27.4%</w:t>
            </w:r>
          </w:p>
        </w:tc>
        <w:tc>
          <w:tcPr>
            <w:tcW w:w="1760" w:type="dxa"/>
          </w:tcPr>
          <w:p w:rsidR="00B4377F" w:rsidRDefault="00D7291E">
            <w:pPr>
              <w:pStyle w:val="TableParagraph"/>
              <w:ind w:left="257" w:right="257"/>
              <w:rPr>
                <w:sz w:val="16"/>
              </w:rPr>
            </w:pPr>
            <w:r>
              <w:rPr>
                <w:sz w:val="16"/>
              </w:rPr>
              <w:t>6.3%</w:t>
            </w:r>
          </w:p>
        </w:tc>
      </w:tr>
      <w:tr w:rsidR="00B4377F">
        <w:trPr>
          <w:trHeight w:hRule="exact" w:val="304"/>
        </w:trPr>
        <w:tc>
          <w:tcPr>
            <w:tcW w:w="970" w:type="dxa"/>
          </w:tcPr>
          <w:p w:rsidR="00B4377F" w:rsidRDefault="00D7291E">
            <w:pPr>
              <w:pStyle w:val="TableParagraph"/>
              <w:ind w:right="185"/>
              <w:jc w:val="right"/>
              <w:rPr>
                <w:sz w:val="16"/>
              </w:rPr>
            </w:pPr>
            <w:r>
              <w:rPr>
                <w:sz w:val="16"/>
              </w:rPr>
              <w:t>FY 2015</w:t>
            </w:r>
          </w:p>
        </w:tc>
        <w:tc>
          <w:tcPr>
            <w:tcW w:w="1762" w:type="dxa"/>
          </w:tcPr>
          <w:p w:rsidR="00B4377F" w:rsidRDefault="00D7291E">
            <w:pPr>
              <w:pStyle w:val="TableParagraph"/>
              <w:ind w:left="608" w:right="608"/>
              <w:rPr>
                <w:sz w:val="16"/>
              </w:rPr>
            </w:pPr>
            <w:r>
              <w:rPr>
                <w:sz w:val="16"/>
              </w:rPr>
              <w:t>19,376</w:t>
            </w:r>
          </w:p>
        </w:tc>
        <w:tc>
          <w:tcPr>
            <w:tcW w:w="1276" w:type="dxa"/>
          </w:tcPr>
          <w:p w:rsidR="00B4377F" w:rsidRDefault="00D7291E">
            <w:pPr>
              <w:pStyle w:val="TableParagraph"/>
              <w:ind w:left="202" w:right="203"/>
              <w:rPr>
                <w:sz w:val="16"/>
              </w:rPr>
            </w:pPr>
            <w:r>
              <w:rPr>
                <w:sz w:val="16"/>
              </w:rPr>
              <w:t>35.1%</w:t>
            </w:r>
          </w:p>
        </w:tc>
        <w:tc>
          <w:tcPr>
            <w:tcW w:w="831" w:type="dxa"/>
          </w:tcPr>
          <w:p w:rsidR="00B4377F" w:rsidRDefault="00D7291E">
            <w:pPr>
              <w:pStyle w:val="TableParagraph"/>
              <w:ind w:left="171"/>
              <w:jc w:val="left"/>
              <w:rPr>
                <w:sz w:val="16"/>
              </w:rPr>
            </w:pPr>
            <w:r>
              <w:rPr>
                <w:sz w:val="16"/>
              </w:rPr>
              <w:t>71.1%</w:t>
            </w:r>
          </w:p>
        </w:tc>
        <w:tc>
          <w:tcPr>
            <w:tcW w:w="1480" w:type="dxa"/>
          </w:tcPr>
          <w:p w:rsidR="00B4377F" w:rsidRDefault="00D7291E">
            <w:pPr>
              <w:pStyle w:val="TableParagraph"/>
              <w:ind w:left="224" w:right="225"/>
              <w:rPr>
                <w:sz w:val="16"/>
              </w:rPr>
            </w:pPr>
            <w:r>
              <w:rPr>
                <w:sz w:val="16"/>
              </w:rPr>
              <w:t>19.0%</w:t>
            </w:r>
          </w:p>
        </w:tc>
        <w:tc>
          <w:tcPr>
            <w:tcW w:w="817" w:type="dxa"/>
          </w:tcPr>
          <w:p w:rsidR="00B4377F" w:rsidRDefault="00D7291E">
            <w:pPr>
              <w:pStyle w:val="TableParagraph"/>
              <w:ind w:left="149" w:right="150"/>
              <w:rPr>
                <w:sz w:val="16"/>
              </w:rPr>
            </w:pPr>
            <w:r>
              <w:rPr>
                <w:sz w:val="16"/>
              </w:rPr>
              <w:t>5.4%</w:t>
            </w:r>
          </w:p>
        </w:tc>
        <w:tc>
          <w:tcPr>
            <w:tcW w:w="880" w:type="dxa"/>
          </w:tcPr>
          <w:p w:rsidR="00B4377F" w:rsidRDefault="00D7291E">
            <w:pPr>
              <w:pStyle w:val="TableParagraph"/>
              <w:ind w:right="195"/>
              <w:jc w:val="right"/>
              <w:rPr>
                <w:sz w:val="16"/>
              </w:rPr>
            </w:pPr>
            <w:r>
              <w:rPr>
                <w:sz w:val="16"/>
              </w:rPr>
              <w:t>47.1%</w:t>
            </w:r>
          </w:p>
        </w:tc>
        <w:tc>
          <w:tcPr>
            <w:tcW w:w="2642" w:type="dxa"/>
          </w:tcPr>
          <w:p w:rsidR="00B4377F" w:rsidRDefault="00D7291E">
            <w:pPr>
              <w:pStyle w:val="TableParagraph"/>
              <w:ind w:left="356" w:right="357"/>
              <w:rPr>
                <w:sz w:val="16"/>
              </w:rPr>
            </w:pPr>
            <w:r>
              <w:rPr>
                <w:sz w:val="16"/>
              </w:rPr>
              <w:t>21.0%</w:t>
            </w:r>
          </w:p>
        </w:tc>
        <w:tc>
          <w:tcPr>
            <w:tcW w:w="1524" w:type="dxa"/>
          </w:tcPr>
          <w:p w:rsidR="00B4377F" w:rsidRDefault="00D7291E">
            <w:pPr>
              <w:pStyle w:val="TableParagraph"/>
              <w:ind w:left="229" w:right="230"/>
              <w:rPr>
                <w:sz w:val="16"/>
              </w:rPr>
            </w:pPr>
            <w:r>
              <w:rPr>
                <w:sz w:val="16"/>
              </w:rPr>
              <w:t>27.0%</w:t>
            </w:r>
          </w:p>
        </w:tc>
        <w:tc>
          <w:tcPr>
            <w:tcW w:w="1760" w:type="dxa"/>
          </w:tcPr>
          <w:p w:rsidR="00B4377F" w:rsidRDefault="00D7291E">
            <w:pPr>
              <w:pStyle w:val="TableParagraph"/>
              <w:ind w:left="257" w:right="257"/>
              <w:rPr>
                <w:sz w:val="16"/>
              </w:rPr>
            </w:pPr>
            <w:r>
              <w:rPr>
                <w:sz w:val="16"/>
              </w:rPr>
              <w:t>6.2%</w:t>
            </w:r>
          </w:p>
        </w:tc>
      </w:tr>
      <w:tr w:rsidR="00B4377F">
        <w:trPr>
          <w:trHeight w:hRule="exact" w:val="304"/>
        </w:trPr>
        <w:tc>
          <w:tcPr>
            <w:tcW w:w="970" w:type="dxa"/>
          </w:tcPr>
          <w:p w:rsidR="00B4377F" w:rsidRDefault="00D7291E">
            <w:pPr>
              <w:pStyle w:val="TableParagraph"/>
              <w:ind w:right="185"/>
              <w:jc w:val="right"/>
              <w:rPr>
                <w:sz w:val="16"/>
              </w:rPr>
            </w:pPr>
            <w:r>
              <w:rPr>
                <w:sz w:val="16"/>
              </w:rPr>
              <w:t>FY 2016</w:t>
            </w:r>
          </w:p>
        </w:tc>
        <w:tc>
          <w:tcPr>
            <w:tcW w:w="1762" w:type="dxa"/>
          </w:tcPr>
          <w:p w:rsidR="00B4377F" w:rsidRDefault="00D7291E">
            <w:pPr>
              <w:pStyle w:val="TableParagraph"/>
              <w:ind w:left="608" w:right="608"/>
              <w:rPr>
                <w:sz w:val="16"/>
              </w:rPr>
            </w:pPr>
            <w:r>
              <w:rPr>
                <w:sz w:val="16"/>
              </w:rPr>
              <w:t>17,482</w:t>
            </w:r>
          </w:p>
        </w:tc>
        <w:tc>
          <w:tcPr>
            <w:tcW w:w="1276" w:type="dxa"/>
          </w:tcPr>
          <w:p w:rsidR="00B4377F" w:rsidRDefault="00D7291E">
            <w:pPr>
              <w:pStyle w:val="TableParagraph"/>
              <w:ind w:left="202" w:right="203"/>
              <w:rPr>
                <w:sz w:val="16"/>
              </w:rPr>
            </w:pPr>
            <w:r>
              <w:rPr>
                <w:sz w:val="16"/>
              </w:rPr>
              <w:t>36.2%</w:t>
            </w:r>
          </w:p>
        </w:tc>
        <w:tc>
          <w:tcPr>
            <w:tcW w:w="831" w:type="dxa"/>
          </w:tcPr>
          <w:p w:rsidR="00B4377F" w:rsidRDefault="00D7291E">
            <w:pPr>
              <w:pStyle w:val="TableParagraph"/>
              <w:ind w:left="171"/>
              <w:jc w:val="left"/>
              <w:rPr>
                <w:sz w:val="16"/>
              </w:rPr>
            </w:pPr>
            <w:r>
              <w:rPr>
                <w:sz w:val="16"/>
              </w:rPr>
              <w:t>69.3%</w:t>
            </w:r>
          </w:p>
        </w:tc>
        <w:tc>
          <w:tcPr>
            <w:tcW w:w="1480" w:type="dxa"/>
          </w:tcPr>
          <w:p w:rsidR="00B4377F" w:rsidRDefault="00D7291E">
            <w:pPr>
              <w:pStyle w:val="TableParagraph"/>
              <w:ind w:left="224" w:right="225"/>
              <w:rPr>
                <w:sz w:val="16"/>
              </w:rPr>
            </w:pPr>
            <w:r>
              <w:rPr>
                <w:sz w:val="16"/>
              </w:rPr>
              <w:t>17.6%</w:t>
            </w:r>
          </w:p>
        </w:tc>
        <w:tc>
          <w:tcPr>
            <w:tcW w:w="817" w:type="dxa"/>
          </w:tcPr>
          <w:p w:rsidR="00B4377F" w:rsidRDefault="00D7291E">
            <w:pPr>
              <w:pStyle w:val="TableParagraph"/>
              <w:ind w:left="149" w:right="150"/>
              <w:rPr>
                <w:sz w:val="16"/>
              </w:rPr>
            </w:pPr>
            <w:r>
              <w:rPr>
                <w:sz w:val="16"/>
              </w:rPr>
              <w:t>5.7%</w:t>
            </w:r>
          </w:p>
        </w:tc>
        <w:tc>
          <w:tcPr>
            <w:tcW w:w="880" w:type="dxa"/>
          </w:tcPr>
          <w:p w:rsidR="00B4377F" w:rsidRDefault="00D7291E">
            <w:pPr>
              <w:pStyle w:val="TableParagraph"/>
              <w:ind w:right="195"/>
              <w:jc w:val="right"/>
              <w:rPr>
                <w:sz w:val="16"/>
              </w:rPr>
            </w:pPr>
            <w:r>
              <w:rPr>
                <w:sz w:val="16"/>
              </w:rPr>
              <w:t>48.4%</w:t>
            </w:r>
          </w:p>
        </w:tc>
        <w:tc>
          <w:tcPr>
            <w:tcW w:w="2642" w:type="dxa"/>
          </w:tcPr>
          <w:p w:rsidR="00B4377F" w:rsidRDefault="00D7291E">
            <w:pPr>
              <w:pStyle w:val="TableParagraph"/>
              <w:ind w:left="356" w:right="357"/>
              <w:rPr>
                <w:sz w:val="16"/>
              </w:rPr>
            </w:pPr>
            <w:r>
              <w:rPr>
                <w:sz w:val="16"/>
              </w:rPr>
              <w:t>21.0%</w:t>
            </w:r>
          </w:p>
        </w:tc>
        <w:tc>
          <w:tcPr>
            <w:tcW w:w="1524" w:type="dxa"/>
          </w:tcPr>
          <w:p w:rsidR="00B4377F" w:rsidRDefault="00D7291E">
            <w:pPr>
              <w:pStyle w:val="TableParagraph"/>
              <w:ind w:left="229" w:right="230"/>
              <w:rPr>
                <w:sz w:val="16"/>
              </w:rPr>
            </w:pPr>
            <w:r>
              <w:rPr>
                <w:sz w:val="16"/>
              </w:rPr>
              <w:t>30.1%</w:t>
            </w:r>
          </w:p>
        </w:tc>
        <w:tc>
          <w:tcPr>
            <w:tcW w:w="1760" w:type="dxa"/>
          </w:tcPr>
          <w:p w:rsidR="00B4377F" w:rsidRDefault="00D7291E">
            <w:pPr>
              <w:pStyle w:val="TableParagraph"/>
              <w:ind w:left="257" w:right="257"/>
              <w:rPr>
                <w:sz w:val="16"/>
              </w:rPr>
            </w:pPr>
            <w:r>
              <w:rPr>
                <w:sz w:val="16"/>
              </w:rPr>
              <w:t>6.5%</w:t>
            </w:r>
          </w:p>
        </w:tc>
      </w:tr>
      <w:tr w:rsidR="00B4377F">
        <w:trPr>
          <w:trHeight w:hRule="exact" w:val="304"/>
        </w:trPr>
        <w:tc>
          <w:tcPr>
            <w:tcW w:w="970" w:type="dxa"/>
          </w:tcPr>
          <w:p w:rsidR="00B4377F" w:rsidRDefault="00D7291E">
            <w:pPr>
              <w:pStyle w:val="TableParagraph"/>
              <w:ind w:right="185"/>
              <w:jc w:val="right"/>
              <w:rPr>
                <w:sz w:val="16"/>
              </w:rPr>
            </w:pPr>
            <w:r>
              <w:rPr>
                <w:sz w:val="16"/>
              </w:rPr>
              <w:t>FY 2017</w:t>
            </w:r>
          </w:p>
        </w:tc>
        <w:tc>
          <w:tcPr>
            <w:tcW w:w="1762" w:type="dxa"/>
          </w:tcPr>
          <w:p w:rsidR="00B4377F" w:rsidRDefault="00D7291E">
            <w:pPr>
              <w:pStyle w:val="TableParagraph"/>
              <w:ind w:left="608" w:right="608"/>
              <w:rPr>
                <w:sz w:val="16"/>
              </w:rPr>
            </w:pPr>
            <w:r>
              <w:rPr>
                <w:sz w:val="16"/>
              </w:rPr>
              <w:t>14,822</w:t>
            </w:r>
          </w:p>
        </w:tc>
        <w:tc>
          <w:tcPr>
            <w:tcW w:w="1276" w:type="dxa"/>
          </w:tcPr>
          <w:p w:rsidR="00B4377F" w:rsidRDefault="00D7291E">
            <w:pPr>
              <w:pStyle w:val="TableParagraph"/>
              <w:ind w:left="202" w:right="203"/>
              <w:rPr>
                <w:sz w:val="16"/>
              </w:rPr>
            </w:pPr>
            <w:r>
              <w:rPr>
                <w:sz w:val="16"/>
              </w:rPr>
              <w:t>37.1%</w:t>
            </w:r>
          </w:p>
        </w:tc>
        <w:tc>
          <w:tcPr>
            <w:tcW w:w="831" w:type="dxa"/>
          </w:tcPr>
          <w:p w:rsidR="00B4377F" w:rsidRDefault="00D7291E">
            <w:pPr>
              <w:pStyle w:val="TableParagraph"/>
              <w:ind w:left="171"/>
              <w:jc w:val="left"/>
              <w:rPr>
                <w:sz w:val="16"/>
              </w:rPr>
            </w:pPr>
            <w:r>
              <w:rPr>
                <w:sz w:val="16"/>
              </w:rPr>
              <w:t>65.9%</w:t>
            </w:r>
          </w:p>
        </w:tc>
        <w:tc>
          <w:tcPr>
            <w:tcW w:w="1480" w:type="dxa"/>
          </w:tcPr>
          <w:p w:rsidR="00B4377F" w:rsidRDefault="00D7291E">
            <w:pPr>
              <w:pStyle w:val="TableParagraph"/>
              <w:ind w:left="224" w:right="225"/>
              <w:rPr>
                <w:sz w:val="16"/>
              </w:rPr>
            </w:pPr>
            <w:r>
              <w:rPr>
                <w:sz w:val="16"/>
              </w:rPr>
              <w:t>16.2%</w:t>
            </w:r>
          </w:p>
        </w:tc>
        <w:tc>
          <w:tcPr>
            <w:tcW w:w="817" w:type="dxa"/>
          </w:tcPr>
          <w:p w:rsidR="00B4377F" w:rsidRDefault="00D7291E">
            <w:pPr>
              <w:pStyle w:val="TableParagraph"/>
              <w:ind w:left="149" w:right="150"/>
              <w:rPr>
                <w:sz w:val="16"/>
              </w:rPr>
            </w:pPr>
            <w:r>
              <w:rPr>
                <w:sz w:val="16"/>
              </w:rPr>
              <w:t>5.5%</w:t>
            </w:r>
          </w:p>
        </w:tc>
        <w:tc>
          <w:tcPr>
            <w:tcW w:w="880" w:type="dxa"/>
          </w:tcPr>
          <w:p w:rsidR="00B4377F" w:rsidRDefault="00D7291E">
            <w:pPr>
              <w:pStyle w:val="TableParagraph"/>
              <w:ind w:right="195"/>
              <w:jc w:val="right"/>
              <w:rPr>
                <w:sz w:val="16"/>
              </w:rPr>
            </w:pPr>
            <w:r>
              <w:rPr>
                <w:sz w:val="16"/>
              </w:rPr>
              <w:t>49.3%</w:t>
            </w:r>
          </w:p>
        </w:tc>
        <w:tc>
          <w:tcPr>
            <w:tcW w:w="2642" w:type="dxa"/>
          </w:tcPr>
          <w:p w:rsidR="00B4377F" w:rsidRDefault="00D7291E">
            <w:pPr>
              <w:pStyle w:val="TableParagraph"/>
              <w:ind w:left="356" w:right="357"/>
              <w:rPr>
                <w:sz w:val="16"/>
              </w:rPr>
            </w:pPr>
            <w:r>
              <w:rPr>
                <w:sz w:val="16"/>
              </w:rPr>
              <w:t>20.2%</w:t>
            </w:r>
          </w:p>
        </w:tc>
        <w:tc>
          <w:tcPr>
            <w:tcW w:w="1524" w:type="dxa"/>
          </w:tcPr>
          <w:p w:rsidR="00B4377F" w:rsidRDefault="00D7291E">
            <w:pPr>
              <w:pStyle w:val="TableParagraph"/>
              <w:ind w:left="229" w:right="230"/>
              <w:rPr>
                <w:sz w:val="16"/>
              </w:rPr>
            </w:pPr>
            <w:r>
              <w:rPr>
                <w:sz w:val="16"/>
              </w:rPr>
              <w:t>32.1%</w:t>
            </w:r>
          </w:p>
        </w:tc>
        <w:tc>
          <w:tcPr>
            <w:tcW w:w="1760" w:type="dxa"/>
          </w:tcPr>
          <w:p w:rsidR="00B4377F" w:rsidRDefault="00D7291E">
            <w:pPr>
              <w:pStyle w:val="TableParagraph"/>
              <w:ind w:left="257" w:right="257"/>
              <w:rPr>
                <w:sz w:val="16"/>
              </w:rPr>
            </w:pPr>
            <w:r>
              <w:rPr>
                <w:sz w:val="16"/>
              </w:rPr>
              <w:t>6.8%</w:t>
            </w:r>
          </w:p>
        </w:tc>
      </w:tr>
    </w:tbl>
    <w:p w:rsidR="00B4377F" w:rsidRDefault="00650F6A">
      <w:pPr>
        <w:spacing w:before="75"/>
        <w:ind w:left="175"/>
        <w:rPr>
          <w:b/>
          <w:sz w:val="16"/>
        </w:rPr>
      </w:pPr>
      <w:r>
        <w:pict>
          <v:group id="_x0000_s1038" style="position:absolute;left:0;text-align:left;margin-left:36pt;margin-top:36pt;width:705.6pt;height:91.5pt;z-index:-44656;mso-position-horizontal-relative:page;mso-position-vertical-relative:page" coordorigin="720,720" coordsize="14112,1830">
            <v:shape id="_x0000_s1042" type="#_x0000_t75" style="position:absolute;left:960;top:810;width:1619;height:1650">
              <v:imagedata r:id="rId8" o:title=""/>
            </v:shape>
            <v:shape id="_x0000_s1041" type="#_x0000_t75" style="position:absolute;left:11892;top:810;width:2850;height:1650">
              <v:imagedata r:id="rId9" o:title=""/>
            </v:shape>
            <v:rect id="_x0000_s1040" style="position:absolute;left:788;top:787;width:13977;height:1695" filled="f" strokecolor="navy" strokeweight="2.25pt"/>
            <v:rect id="_x0000_s1039" style="position:absolute;left:743;top:742;width:14067;height:1785" filled="f" strokecolor="green" strokeweight="2.25pt"/>
            <w10:wrap anchorx="page" anchory="page"/>
          </v:group>
        </w:pict>
      </w:r>
      <w:r>
        <w:pict>
          <v:shapetype id="_x0000_t202" coordsize="21600,21600" o:spt="202" path="m,l,21600r21600,l21600,xe">
            <v:stroke joinstyle="miter"/>
            <v:path gradientshapeok="t" o:connecttype="rect"/>
          </v:shapetype>
          <v:shape id="_x0000_s1037" type="#_x0000_t202" style="position:absolute;left:0;text-align:left;margin-left:39.75pt;margin-top:0;width:698.6pt;height:407.55pt;z-index:1120;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
                    <w:gridCol w:w="572"/>
                    <w:gridCol w:w="1762"/>
                    <w:gridCol w:w="1276"/>
                    <w:gridCol w:w="831"/>
                    <w:gridCol w:w="1480"/>
                    <w:gridCol w:w="817"/>
                    <w:gridCol w:w="880"/>
                    <w:gridCol w:w="2642"/>
                    <w:gridCol w:w="1524"/>
                    <w:gridCol w:w="1760"/>
                  </w:tblGrid>
                  <w:tr w:rsidR="00B4377F">
                    <w:trPr>
                      <w:trHeight w:hRule="exact" w:val="4493"/>
                    </w:trPr>
                    <w:tc>
                      <w:tcPr>
                        <w:tcW w:w="2732" w:type="dxa"/>
                        <w:gridSpan w:val="3"/>
                        <w:tcBorders>
                          <w:top w:val="nil"/>
                          <w:left w:val="nil"/>
                          <w:right w:val="nil"/>
                        </w:tcBorders>
                      </w:tcPr>
                      <w:p w:rsidR="00B4377F" w:rsidRDefault="00B4377F">
                        <w:pPr>
                          <w:pStyle w:val="TableParagraph"/>
                          <w:spacing w:before="0"/>
                          <w:jc w:val="left"/>
                          <w:rPr>
                            <w:i/>
                            <w:sz w:val="24"/>
                          </w:rPr>
                        </w:pPr>
                      </w:p>
                      <w:p w:rsidR="00B4377F" w:rsidRDefault="00B4377F">
                        <w:pPr>
                          <w:pStyle w:val="TableParagraph"/>
                          <w:spacing w:before="0"/>
                          <w:jc w:val="left"/>
                          <w:rPr>
                            <w:i/>
                            <w:sz w:val="24"/>
                          </w:rPr>
                        </w:pPr>
                      </w:p>
                      <w:p w:rsidR="00B4377F" w:rsidRDefault="00B4377F">
                        <w:pPr>
                          <w:pStyle w:val="TableParagraph"/>
                          <w:spacing w:before="0"/>
                          <w:jc w:val="left"/>
                          <w:rPr>
                            <w:i/>
                            <w:sz w:val="24"/>
                          </w:rPr>
                        </w:pPr>
                      </w:p>
                      <w:p w:rsidR="00B4377F" w:rsidRDefault="00B4377F">
                        <w:pPr>
                          <w:pStyle w:val="TableParagraph"/>
                          <w:spacing w:before="0"/>
                          <w:jc w:val="left"/>
                          <w:rPr>
                            <w:i/>
                            <w:sz w:val="24"/>
                          </w:rPr>
                        </w:pPr>
                      </w:p>
                      <w:p w:rsidR="00B4377F" w:rsidRDefault="00B4377F">
                        <w:pPr>
                          <w:pStyle w:val="TableParagraph"/>
                          <w:spacing w:before="0"/>
                          <w:jc w:val="left"/>
                          <w:rPr>
                            <w:i/>
                            <w:sz w:val="24"/>
                          </w:rPr>
                        </w:pPr>
                      </w:p>
                      <w:p w:rsidR="00B4377F" w:rsidRDefault="00B4377F">
                        <w:pPr>
                          <w:pStyle w:val="TableParagraph"/>
                          <w:spacing w:before="0"/>
                          <w:jc w:val="left"/>
                          <w:rPr>
                            <w:i/>
                            <w:sz w:val="24"/>
                          </w:rPr>
                        </w:pPr>
                      </w:p>
                      <w:p w:rsidR="00B4377F" w:rsidRDefault="00B4377F">
                        <w:pPr>
                          <w:pStyle w:val="TableParagraph"/>
                          <w:spacing w:before="0"/>
                          <w:jc w:val="left"/>
                          <w:rPr>
                            <w:i/>
                            <w:sz w:val="24"/>
                          </w:rPr>
                        </w:pPr>
                      </w:p>
                      <w:p w:rsidR="00B4377F" w:rsidRDefault="00B4377F">
                        <w:pPr>
                          <w:pStyle w:val="TableParagraph"/>
                          <w:spacing w:before="0"/>
                          <w:jc w:val="left"/>
                          <w:rPr>
                            <w:i/>
                            <w:sz w:val="24"/>
                          </w:rPr>
                        </w:pPr>
                      </w:p>
                      <w:p w:rsidR="00B4377F" w:rsidRDefault="00B4377F">
                        <w:pPr>
                          <w:pStyle w:val="TableParagraph"/>
                          <w:spacing w:before="0"/>
                          <w:jc w:val="left"/>
                          <w:rPr>
                            <w:i/>
                            <w:sz w:val="24"/>
                          </w:rPr>
                        </w:pPr>
                      </w:p>
                      <w:p w:rsidR="00B4377F" w:rsidRDefault="00B4377F">
                        <w:pPr>
                          <w:pStyle w:val="TableParagraph"/>
                          <w:spacing w:before="0"/>
                          <w:jc w:val="left"/>
                          <w:rPr>
                            <w:i/>
                            <w:sz w:val="24"/>
                          </w:rPr>
                        </w:pPr>
                      </w:p>
                      <w:p w:rsidR="00B4377F" w:rsidRDefault="00B4377F">
                        <w:pPr>
                          <w:pStyle w:val="TableParagraph"/>
                          <w:spacing w:before="0"/>
                          <w:jc w:val="left"/>
                          <w:rPr>
                            <w:i/>
                            <w:sz w:val="24"/>
                          </w:rPr>
                        </w:pPr>
                      </w:p>
                      <w:p w:rsidR="00B4377F" w:rsidRDefault="00B4377F">
                        <w:pPr>
                          <w:pStyle w:val="TableParagraph"/>
                          <w:spacing w:before="8"/>
                          <w:jc w:val="left"/>
                          <w:rPr>
                            <w:i/>
                          </w:rPr>
                        </w:pPr>
                      </w:p>
                      <w:p w:rsidR="00B4377F" w:rsidRDefault="00D7291E">
                        <w:pPr>
                          <w:pStyle w:val="TableParagraph"/>
                          <w:spacing w:before="1"/>
                          <w:ind w:left="-10"/>
                          <w:jc w:val="left"/>
                          <w:rPr>
                            <w:b/>
                            <w:sz w:val="20"/>
                          </w:rPr>
                        </w:pPr>
                        <w:r>
                          <w:rPr>
                            <w:b/>
                            <w:sz w:val="20"/>
                            <w:u w:val="single"/>
                          </w:rPr>
                          <w:t>Primary Substance of Use</w:t>
                        </w:r>
                      </w:p>
                      <w:p w:rsidR="00B4377F" w:rsidRDefault="00D7291E">
                        <w:pPr>
                          <w:pStyle w:val="TableParagraph"/>
                          <w:spacing w:before="0"/>
                          <w:ind w:left="-10"/>
                          <w:jc w:val="left"/>
                          <w:rPr>
                            <w:sz w:val="20"/>
                          </w:rPr>
                        </w:pPr>
                        <w:r>
                          <w:rPr>
                            <w:sz w:val="20"/>
                          </w:rPr>
                          <w:t>Table 1 provides a summary of</w:t>
                        </w:r>
                      </w:p>
                    </w:tc>
                    <w:tc>
                      <w:tcPr>
                        <w:tcW w:w="11210" w:type="dxa"/>
                        <w:gridSpan w:val="8"/>
                        <w:tcBorders>
                          <w:top w:val="nil"/>
                          <w:left w:val="nil"/>
                          <w:right w:val="nil"/>
                        </w:tcBorders>
                      </w:tcPr>
                      <w:p w:rsidR="00B4377F" w:rsidRDefault="00B4377F">
                        <w:pPr>
                          <w:pStyle w:val="TableParagraph"/>
                          <w:spacing w:before="0"/>
                          <w:jc w:val="left"/>
                          <w:rPr>
                            <w:i/>
                            <w:sz w:val="28"/>
                          </w:rPr>
                        </w:pPr>
                      </w:p>
                      <w:p w:rsidR="00B4377F" w:rsidRDefault="00B4377F">
                        <w:pPr>
                          <w:pStyle w:val="TableParagraph"/>
                          <w:spacing w:before="0"/>
                          <w:jc w:val="left"/>
                          <w:rPr>
                            <w:i/>
                            <w:sz w:val="28"/>
                          </w:rPr>
                        </w:pPr>
                      </w:p>
                      <w:p w:rsidR="00B4377F" w:rsidRDefault="00B4377F">
                        <w:pPr>
                          <w:pStyle w:val="TableParagraph"/>
                          <w:spacing w:before="0"/>
                          <w:jc w:val="left"/>
                          <w:rPr>
                            <w:i/>
                            <w:sz w:val="28"/>
                          </w:rPr>
                        </w:pPr>
                      </w:p>
                      <w:p w:rsidR="00B4377F" w:rsidRDefault="00D7291E">
                        <w:pPr>
                          <w:pStyle w:val="TableParagraph"/>
                          <w:spacing w:before="186"/>
                          <w:ind w:left="2638" w:right="5367"/>
                          <w:rPr>
                            <w:b/>
                            <w:sz w:val="24"/>
                          </w:rPr>
                        </w:pPr>
                        <w:r>
                          <w:rPr>
                            <w:b/>
                            <w:sz w:val="24"/>
                          </w:rPr>
                          <w:t>Description of Admissions Fact Sheet - Young Adults FY 2017</w:t>
                        </w:r>
                      </w:p>
                      <w:p w:rsidR="00B4377F" w:rsidRDefault="00B4377F">
                        <w:pPr>
                          <w:pStyle w:val="TableParagraph"/>
                          <w:spacing w:before="0"/>
                          <w:jc w:val="left"/>
                          <w:rPr>
                            <w:i/>
                            <w:sz w:val="28"/>
                          </w:rPr>
                        </w:pPr>
                      </w:p>
                      <w:p w:rsidR="00B4377F" w:rsidRDefault="00B4377F">
                        <w:pPr>
                          <w:pStyle w:val="TableParagraph"/>
                          <w:spacing w:before="0"/>
                          <w:jc w:val="left"/>
                          <w:rPr>
                            <w:i/>
                            <w:sz w:val="28"/>
                          </w:rPr>
                        </w:pPr>
                      </w:p>
                      <w:p w:rsidR="00B4377F" w:rsidRDefault="00B4377F">
                        <w:pPr>
                          <w:pStyle w:val="TableParagraph"/>
                          <w:spacing w:before="9"/>
                          <w:jc w:val="left"/>
                          <w:rPr>
                            <w:i/>
                            <w:sz w:val="24"/>
                          </w:rPr>
                        </w:pPr>
                      </w:p>
                      <w:p w:rsidR="00B4377F" w:rsidRDefault="00D7291E">
                        <w:pPr>
                          <w:pStyle w:val="TableParagraph"/>
                          <w:spacing w:before="0"/>
                          <w:ind w:left="2638" w:right="5368"/>
                          <w:rPr>
                            <w:b/>
                          </w:rPr>
                        </w:pPr>
                        <w:r>
                          <w:rPr>
                            <w:b/>
                          </w:rPr>
                          <w:t>Substance Use Trends</w:t>
                        </w:r>
                      </w:p>
                      <w:p w:rsidR="00B4377F" w:rsidRDefault="00B4377F">
                        <w:pPr>
                          <w:pStyle w:val="TableParagraph"/>
                          <w:spacing w:before="5"/>
                          <w:jc w:val="left"/>
                          <w:rPr>
                            <w:i/>
                            <w:sz w:val="32"/>
                          </w:rPr>
                        </w:pPr>
                      </w:p>
                      <w:p w:rsidR="00B4377F" w:rsidRDefault="00D7291E">
                        <w:pPr>
                          <w:pStyle w:val="TableParagraph"/>
                          <w:spacing w:before="0"/>
                          <w:ind w:left="58"/>
                          <w:jc w:val="left"/>
                          <w:rPr>
                            <w:sz w:val="20"/>
                          </w:rPr>
                        </w:pPr>
                        <w:r>
                          <w:rPr>
                            <w:sz w:val="20"/>
                          </w:rPr>
                          <w:t>the "primary drug" reported at admission.</w:t>
                        </w:r>
                      </w:p>
                      <w:p w:rsidR="00B4377F" w:rsidRDefault="00D7291E">
                        <w:pPr>
                          <w:pStyle w:val="TableParagraph"/>
                          <w:spacing w:before="150"/>
                          <w:ind w:left="2638" w:right="5369"/>
                          <w:rPr>
                            <w:b/>
                            <w:sz w:val="16"/>
                          </w:rPr>
                        </w:pPr>
                        <w:r>
                          <w:rPr>
                            <w:b/>
                            <w:sz w:val="16"/>
                          </w:rPr>
                          <w:t>Table 1</w:t>
                        </w:r>
                      </w:p>
                      <w:p w:rsidR="00B4377F" w:rsidRDefault="00D7291E">
                        <w:pPr>
                          <w:pStyle w:val="TableParagraph"/>
                          <w:spacing w:before="1"/>
                          <w:ind w:left="2638" w:right="5369"/>
                          <w:rPr>
                            <w:b/>
                            <w:sz w:val="16"/>
                          </w:rPr>
                        </w:pPr>
                        <w:r>
                          <w:rPr>
                            <w:b/>
                            <w:sz w:val="16"/>
                          </w:rPr>
                          <w:t>Primary Drug Trend: FY 2008 - FY 2017</w:t>
                        </w:r>
                      </w:p>
                    </w:tc>
                  </w:tr>
                  <w:tr w:rsidR="00B4377F">
                    <w:trPr>
                      <w:trHeight w:hRule="exact" w:val="304"/>
                    </w:trPr>
                    <w:tc>
                      <w:tcPr>
                        <w:tcW w:w="970" w:type="dxa"/>
                        <w:gridSpan w:val="2"/>
                        <w:vMerge w:val="restart"/>
                      </w:tcPr>
                      <w:p w:rsidR="00B4377F" w:rsidRDefault="00B4377F"/>
                    </w:tc>
                    <w:tc>
                      <w:tcPr>
                        <w:tcW w:w="1762" w:type="dxa"/>
                        <w:vMerge w:val="restart"/>
                      </w:tcPr>
                      <w:p w:rsidR="00B4377F" w:rsidRDefault="00B4377F">
                        <w:pPr>
                          <w:pStyle w:val="TableParagraph"/>
                          <w:spacing w:before="3"/>
                          <w:jc w:val="left"/>
                          <w:rPr>
                            <w:i/>
                            <w:sz w:val="16"/>
                          </w:rPr>
                        </w:pPr>
                      </w:p>
                      <w:p w:rsidR="00B4377F" w:rsidRDefault="00D7291E">
                        <w:pPr>
                          <w:pStyle w:val="TableParagraph"/>
                          <w:spacing w:before="1"/>
                          <w:ind w:left="276"/>
                          <w:jc w:val="left"/>
                          <w:rPr>
                            <w:sz w:val="16"/>
                          </w:rPr>
                        </w:pPr>
                        <w:r>
                          <w:rPr>
                            <w:sz w:val="16"/>
                          </w:rPr>
                          <w:t>Total Admissions</w:t>
                        </w:r>
                      </w:p>
                    </w:tc>
                    <w:tc>
                      <w:tcPr>
                        <w:tcW w:w="1276" w:type="dxa"/>
                      </w:tcPr>
                      <w:p w:rsidR="00B4377F" w:rsidRDefault="00D7291E">
                        <w:pPr>
                          <w:pStyle w:val="TableParagraph"/>
                          <w:ind w:left="202" w:right="203"/>
                          <w:rPr>
                            <w:b/>
                            <w:sz w:val="16"/>
                          </w:rPr>
                        </w:pPr>
                        <w:r>
                          <w:rPr>
                            <w:b/>
                            <w:sz w:val="16"/>
                          </w:rPr>
                          <w:t>Marijuana</w:t>
                        </w:r>
                      </w:p>
                    </w:tc>
                    <w:tc>
                      <w:tcPr>
                        <w:tcW w:w="2311" w:type="dxa"/>
                        <w:gridSpan w:val="2"/>
                      </w:tcPr>
                      <w:p w:rsidR="00B4377F" w:rsidRDefault="00D7291E">
                        <w:pPr>
                          <w:pStyle w:val="TableParagraph"/>
                          <w:ind w:left="824" w:right="824"/>
                          <w:rPr>
                            <w:b/>
                            <w:sz w:val="16"/>
                          </w:rPr>
                        </w:pPr>
                        <w:r>
                          <w:rPr>
                            <w:b/>
                            <w:sz w:val="16"/>
                          </w:rPr>
                          <w:t>Opioids</w:t>
                        </w:r>
                      </w:p>
                    </w:tc>
                    <w:tc>
                      <w:tcPr>
                        <w:tcW w:w="817" w:type="dxa"/>
                      </w:tcPr>
                      <w:p w:rsidR="00B4377F" w:rsidRDefault="00D7291E">
                        <w:pPr>
                          <w:pStyle w:val="TableParagraph"/>
                          <w:ind w:left="150" w:right="150"/>
                          <w:rPr>
                            <w:b/>
                            <w:sz w:val="16"/>
                          </w:rPr>
                        </w:pPr>
                        <w:r>
                          <w:rPr>
                            <w:b/>
                            <w:sz w:val="16"/>
                          </w:rPr>
                          <w:t>Other</w:t>
                        </w:r>
                      </w:p>
                    </w:tc>
                    <w:tc>
                      <w:tcPr>
                        <w:tcW w:w="3522" w:type="dxa"/>
                        <w:gridSpan w:val="2"/>
                      </w:tcPr>
                      <w:p w:rsidR="00B4377F" w:rsidRDefault="00D7291E">
                        <w:pPr>
                          <w:pStyle w:val="TableParagraph"/>
                          <w:ind w:left="916"/>
                          <w:jc w:val="left"/>
                          <w:rPr>
                            <w:b/>
                            <w:sz w:val="16"/>
                          </w:rPr>
                        </w:pPr>
                        <w:r>
                          <w:rPr>
                            <w:b/>
                            <w:sz w:val="16"/>
                          </w:rPr>
                          <w:t>Sedatives/Hypnotics</w:t>
                        </w:r>
                      </w:p>
                    </w:tc>
                    <w:tc>
                      <w:tcPr>
                        <w:tcW w:w="3284" w:type="dxa"/>
                        <w:gridSpan w:val="2"/>
                      </w:tcPr>
                      <w:p w:rsidR="00B4377F" w:rsidRDefault="00D7291E">
                        <w:pPr>
                          <w:pStyle w:val="TableParagraph"/>
                          <w:ind w:left="1178" w:right="1178"/>
                          <w:rPr>
                            <w:b/>
                            <w:sz w:val="16"/>
                          </w:rPr>
                        </w:pPr>
                        <w:r>
                          <w:rPr>
                            <w:b/>
                            <w:sz w:val="16"/>
                          </w:rPr>
                          <w:t>Stimulants</w:t>
                        </w:r>
                      </w:p>
                    </w:tc>
                  </w:tr>
                  <w:tr w:rsidR="00B4377F">
                    <w:trPr>
                      <w:trHeight w:hRule="exact" w:val="304"/>
                    </w:trPr>
                    <w:tc>
                      <w:tcPr>
                        <w:tcW w:w="970" w:type="dxa"/>
                        <w:gridSpan w:val="2"/>
                        <w:vMerge/>
                      </w:tcPr>
                      <w:p w:rsidR="00B4377F" w:rsidRDefault="00B4377F"/>
                    </w:tc>
                    <w:tc>
                      <w:tcPr>
                        <w:tcW w:w="1762" w:type="dxa"/>
                        <w:vMerge/>
                      </w:tcPr>
                      <w:p w:rsidR="00B4377F" w:rsidRDefault="00B4377F"/>
                    </w:tc>
                    <w:tc>
                      <w:tcPr>
                        <w:tcW w:w="1276" w:type="dxa"/>
                      </w:tcPr>
                      <w:p w:rsidR="00B4377F" w:rsidRDefault="00D7291E">
                        <w:pPr>
                          <w:pStyle w:val="TableParagraph"/>
                          <w:ind w:left="202" w:right="202"/>
                          <w:rPr>
                            <w:sz w:val="16"/>
                          </w:rPr>
                        </w:pPr>
                        <w:r>
                          <w:rPr>
                            <w:sz w:val="16"/>
                          </w:rPr>
                          <w:t>Marijuana</w:t>
                        </w:r>
                      </w:p>
                    </w:tc>
                    <w:tc>
                      <w:tcPr>
                        <w:tcW w:w="831" w:type="dxa"/>
                      </w:tcPr>
                      <w:p w:rsidR="00B4377F" w:rsidRDefault="00D7291E">
                        <w:pPr>
                          <w:pStyle w:val="TableParagraph"/>
                          <w:ind w:left="173"/>
                          <w:jc w:val="left"/>
                          <w:rPr>
                            <w:sz w:val="16"/>
                          </w:rPr>
                        </w:pPr>
                        <w:r>
                          <w:rPr>
                            <w:sz w:val="16"/>
                          </w:rPr>
                          <w:t>Heroin</w:t>
                        </w:r>
                      </w:p>
                    </w:tc>
                    <w:tc>
                      <w:tcPr>
                        <w:tcW w:w="1480" w:type="dxa"/>
                      </w:tcPr>
                      <w:p w:rsidR="00B4377F" w:rsidRDefault="00D7291E">
                        <w:pPr>
                          <w:pStyle w:val="TableParagraph"/>
                          <w:ind w:left="225" w:right="225"/>
                          <w:rPr>
                            <w:sz w:val="16"/>
                          </w:rPr>
                        </w:pPr>
                        <w:r>
                          <w:rPr>
                            <w:sz w:val="16"/>
                          </w:rPr>
                          <w:t>Other Opioids</w:t>
                        </w:r>
                      </w:p>
                    </w:tc>
                    <w:tc>
                      <w:tcPr>
                        <w:tcW w:w="817" w:type="dxa"/>
                      </w:tcPr>
                      <w:p w:rsidR="00B4377F" w:rsidRDefault="00D7291E">
                        <w:pPr>
                          <w:pStyle w:val="TableParagraph"/>
                          <w:ind w:left="150" w:right="150"/>
                          <w:rPr>
                            <w:sz w:val="16"/>
                          </w:rPr>
                        </w:pPr>
                        <w:r>
                          <w:rPr>
                            <w:sz w:val="16"/>
                          </w:rPr>
                          <w:t>Other</w:t>
                        </w:r>
                      </w:p>
                    </w:tc>
                    <w:tc>
                      <w:tcPr>
                        <w:tcW w:w="880" w:type="dxa"/>
                      </w:tcPr>
                      <w:p w:rsidR="00B4377F" w:rsidRDefault="00D7291E">
                        <w:pPr>
                          <w:pStyle w:val="TableParagraph"/>
                          <w:ind w:right="174"/>
                          <w:jc w:val="right"/>
                          <w:rPr>
                            <w:sz w:val="16"/>
                          </w:rPr>
                        </w:pPr>
                        <w:r>
                          <w:rPr>
                            <w:sz w:val="16"/>
                          </w:rPr>
                          <w:t>Alcohol</w:t>
                        </w:r>
                      </w:p>
                    </w:tc>
                    <w:tc>
                      <w:tcPr>
                        <w:tcW w:w="2642" w:type="dxa"/>
                      </w:tcPr>
                      <w:p w:rsidR="00B4377F" w:rsidRDefault="00D7291E">
                        <w:pPr>
                          <w:pStyle w:val="TableParagraph"/>
                          <w:ind w:left="357" w:right="357"/>
                          <w:rPr>
                            <w:sz w:val="16"/>
                          </w:rPr>
                        </w:pPr>
                        <w:r>
                          <w:rPr>
                            <w:sz w:val="16"/>
                          </w:rPr>
                          <w:t>Other Sedatives/Hypnotics</w:t>
                        </w:r>
                      </w:p>
                    </w:tc>
                    <w:tc>
                      <w:tcPr>
                        <w:tcW w:w="1524" w:type="dxa"/>
                      </w:tcPr>
                      <w:p w:rsidR="00B4377F" w:rsidRDefault="00D7291E">
                        <w:pPr>
                          <w:pStyle w:val="TableParagraph"/>
                          <w:ind w:left="230" w:right="230"/>
                          <w:rPr>
                            <w:sz w:val="16"/>
                          </w:rPr>
                        </w:pPr>
                        <w:r>
                          <w:rPr>
                            <w:sz w:val="16"/>
                          </w:rPr>
                          <w:t>Crack/Cocaine</w:t>
                        </w:r>
                      </w:p>
                    </w:tc>
                    <w:tc>
                      <w:tcPr>
                        <w:tcW w:w="1760" w:type="dxa"/>
                      </w:tcPr>
                      <w:p w:rsidR="00B4377F" w:rsidRDefault="00D7291E">
                        <w:pPr>
                          <w:pStyle w:val="TableParagraph"/>
                          <w:ind w:left="257" w:right="257"/>
                          <w:rPr>
                            <w:sz w:val="16"/>
                          </w:rPr>
                        </w:pPr>
                        <w:r>
                          <w:rPr>
                            <w:sz w:val="16"/>
                          </w:rPr>
                          <w:t>Other Stimulants</w:t>
                        </w:r>
                      </w:p>
                    </w:tc>
                  </w:tr>
                  <w:tr w:rsidR="00B4377F">
                    <w:trPr>
                      <w:trHeight w:hRule="exact" w:val="304"/>
                    </w:trPr>
                    <w:tc>
                      <w:tcPr>
                        <w:tcW w:w="398" w:type="dxa"/>
                        <w:tcBorders>
                          <w:right w:val="nil"/>
                        </w:tcBorders>
                      </w:tcPr>
                      <w:p w:rsidR="00B4377F" w:rsidRDefault="00D7291E">
                        <w:pPr>
                          <w:pStyle w:val="TableParagraph"/>
                          <w:ind w:right="23"/>
                          <w:jc w:val="right"/>
                          <w:rPr>
                            <w:sz w:val="16"/>
                          </w:rPr>
                        </w:pPr>
                        <w:r>
                          <w:rPr>
                            <w:sz w:val="16"/>
                          </w:rPr>
                          <w:t>FY</w:t>
                        </w:r>
                      </w:p>
                    </w:tc>
                    <w:tc>
                      <w:tcPr>
                        <w:tcW w:w="572" w:type="dxa"/>
                        <w:tcBorders>
                          <w:left w:val="nil"/>
                        </w:tcBorders>
                      </w:tcPr>
                      <w:p w:rsidR="00B4377F" w:rsidRDefault="00D7291E">
                        <w:pPr>
                          <w:pStyle w:val="TableParagraph"/>
                          <w:ind w:left="25"/>
                          <w:jc w:val="left"/>
                          <w:rPr>
                            <w:sz w:val="16"/>
                          </w:rPr>
                        </w:pPr>
                        <w:r>
                          <w:rPr>
                            <w:sz w:val="16"/>
                          </w:rPr>
                          <w:t>2008</w:t>
                        </w:r>
                      </w:p>
                    </w:tc>
                    <w:tc>
                      <w:tcPr>
                        <w:tcW w:w="1762" w:type="dxa"/>
                      </w:tcPr>
                      <w:p w:rsidR="00B4377F" w:rsidRDefault="00D7291E">
                        <w:pPr>
                          <w:pStyle w:val="TableParagraph"/>
                          <w:ind w:left="608" w:right="608"/>
                          <w:rPr>
                            <w:sz w:val="16"/>
                          </w:rPr>
                        </w:pPr>
                        <w:r>
                          <w:rPr>
                            <w:sz w:val="16"/>
                          </w:rPr>
                          <w:t>26,626</w:t>
                        </w:r>
                      </w:p>
                    </w:tc>
                    <w:tc>
                      <w:tcPr>
                        <w:tcW w:w="1276" w:type="dxa"/>
                      </w:tcPr>
                      <w:p w:rsidR="00B4377F" w:rsidRDefault="00D7291E">
                        <w:pPr>
                          <w:pStyle w:val="TableParagraph"/>
                          <w:ind w:left="202" w:right="203"/>
                          <w:rPr>
                            <w:sz w:val="16"/>
                          </w:rPr>
                        </w:pPr>
                        <w:r>
                          <w:rPr>
                            <w:sz w:val="16"/>
                          </w:rPr>
                          <w:t>12.3%</w:t>
                        </w:r>
                      </w:p>
                    </w:tc>
                    <w:tc>
                      <w:tcPr>
                        <w:tcW w:w="831" w:type="dxa"/>
                      </w:tcPr>
                      <w:p w:rsidR="00B4377F" w:rsidRDefault="00D7291E">
                        <w:pPr>
                          <w:pStyle w:val="TableParagraph"/>
                          <w:ind w:left="171"/>
                          <w:jc w:val="left"/>
                          <w:rPr>
                            <w:sz w:val="16"/>
                          </w:rPr>
                        </w:pPr>
                        <w:r>
                          <w:rPr>
                            <w:sz w:val="16"/>
                          </w:rPr>
                          <w:t>44.5%</w:t>
                        </w:r>
                      </w:p>
                    </w:tc>
                    <w:tc>
                      <w:tcPr>
                        <w:tcW w:w="1480" w:type="dxa"/>
                      </w:tcPr>
                      <w:p w:rsidR="00B4377F" w:rsidRDefault="00D7291E">
                        <w:pPr>
                          <w:pStyle w:val="TableParagraph"/>
                          <w:ind w:left="225" w:right="225"/>
                          <w:rPr>
                            <w:sz w:val="16"/>
                          </w:rPr>
                        </w:pPr>
                        <w:r>
                          <w:rPr>
                            <w:sz w:val="16"/>
                          </w:rPr>
                          <w:t>9.2%</w:t>
                        </w:r>
                      </w:p>
                    </w:tc>
                    <w:tc>
                      <w:tcPr>
                        <w:tcW w:w="817" w:type="dxa"/>
                      </w:tcPr>
                      <w:p w:rsidR="00B4377F" w:rsidRDefault="00D7291E">
                        <w:pPr>
                          <w:pStyle w:val="TableParagraph"/>
                          <w:ind w:left="149" w:right="150"/>
                          <w:rPr>
                            <w:sz w:val="16"/>
                          </w:rPr>
                        </w:pPr>
                        <w:r>
                          <w:rPr>
                            <w:sz w:val="16"/>
                          </w:rPr>
                          <w:t>0.5%</w:t>
                        </w:r>
                      </w:p>
                    </w:tc>
                    <w:tc>
                      <w:tcPr>
                        <w:tcW w:w="880" w:type="dxa"/>
                      </w:tcPr>
                      <w:p w:rsidR="00B4377F" w:rsidRDefault="00D7291E">
                        <w:pPr>
                          <w:pStyle w:val="TableParagraph"/>
                          <w:ind w:right="195"/>
                          <w:jc w:val="right"/>
                          <w:rPr>
                            <w:sz w:val="16"/>
                          </w:rPr>
                        </w:pPr>
                        <w:r>
                          <w:rPr>
                            <w:sz w:val="16"/>
                          </w:rPr>
                          <w:t>27.3%</w:t>
                        </w:r>
                      </w:p>
                    </w:tc>
                    <w:tc>
                      <w:tcPr>
                        <w:tcW w:w="2642" w:type="dxa"/>
                      </w:tcPr>
                      <w:p w:rsidR="00B4377F" w:rsidRDefault="00D7291E">
                        <w:pPr>
                          <w:pStyle w:val="TableParagraph"/>
                          <w:ind w:left="357" w:right="357"/>
                          <w:rPr>
                            <w:sz w:val="16"/>
                          </w:rPr>
                        </w:pPr>
                        <w:r>
                          <w:rPr>
                            <w:sz w:val="16"/>
                          </w:rPr>
                          <w:t>0.9%</w:t>
                        </w:r>
                      </w:p>
                    </w:tc>
                    <w:tc>
                      <w:tcPr>
                        <w:tcW w:w="1524" w:type="dxa"/>
                      </w:tcPr>
                      <w:p w:rsidR="00B4377F" w:rsidRDefault="00D7291E">
                        <w:pPr>
                          <w:pStyle w:val="TableParagraph"/>
                          <w:ind w:left="230" w:right="230"/>
                          <w:rPr>
                            <w:sz w:val="16"/>
                          </w:rPr>
                        </w:pPr>
                        <w:r>
                          <w:rPr>
                            <w:sz w:val="16"/>
                          </w:rPr>
                          <w:t>5.0%</w:t>
                        </w:r>
                      </w:p>
                    </w:tc>
                    <w:tc>
                      <w:tcPr>
                        <w:tcW w:w="1760" w:type="dxa"/>
                      </w:tcPr>
                      <w:p w:rsidR="00B4377F" w:rsidRDefault="00D7291E">
                        <w:pPr>
                          <w:pStyle w:val="TableParagraph"/>
                          <w:ind w:left="257" w:right="257"/>
                          <w:rPr>
                            <w:sz w:val="16"/>
                          </w:rPr>
                        </w:pPr>
                        <w:r>
                          <w:rPr>
                            <w:sz w:val="16"/>
                          </w:rPr>
                          <w:t>0.3%</w:t>
                        </w:r>
                      </w:p>
                    </w:tc>
                  </w:tr>
                  <w:tr w:rsidR="00B4377F">
                    <w:trPr>
                      <w:trHeight w:hRule="exact" w:val="304"/>
                    </w:trPr>
                    <w:tc>
                      <w:tcPr>
                        <w:tcW w:w="398" w:type="dxa"/>
                        <w:tcBorders>
                          <w:right w:val="nil"/>
                        </w:tcBorders>
                      </w:tcPr>
                      <w:p w:rsidR="00B4377F" w:rsidRDefault="00D7291E">
                        <w:pPr>
                          <w:pStyle w:val="TableParagraph"/>
                          <w:ind w:right="23"/>
                          <w:jc w:val="right"/>
                          <w:rPr>
                            <w:sz w:val="16"/>
                          </w:rPr>
                        </w:pPr>
                        <w:r>
                          <w:rPr>
                            <w:sz w:val="16"/>
                          </w:rPr>
                          <w:t>FY</w:t>
                        </w:r>
                      </w:p>
                    </w:tc>
                    <w:tc>
                      <w:tcPr>
                        <w:tcW w:w="572" w:type="dxa"/>
                        <w:tcBorders>
                          <w:left w:val="nil"/>
                        </w:tcBorders>
                      </w:tcPr>
                      <w:p w:rsidR="00B4377F" w:rsidRDefault="00D7291E">
                        <w:pPr>
                          <w:pStyle w:val="TableParagraph"/>
                          <w:ind w:left="25"/>
                          <w:jc w:val="left"/>
                          <w:rPr>
                            <w:sz w:val="16"/>
                          </w:rPr>
                        </w:pPr>
                        <w:r>
                          <w:rPr>
                            <w:sz w:val="16"/>
                          </w:rPr>
                          <w:t>2009</w:t>
                        </w:r>
                      </w:p>
                    </w:tc>
                    <w:tc>
                      <w:tcPr>
                        <w:tcW w:w="1762" w:type="dxa"/>
                      </w:tcPr>
                      <w:p w:rsidR="00B4377F" w:rsidRDefault="00D7291E">
                        <w:pPr>
                          <w:pStyle w:val="TableParagraph"/>
                          <w:ind w:left="608" w:right="608"/>
                          <w:rPr>
                            <w:sz w:val="16"/>
                          </w:rPr>
                        </w:pPr>
                        <w:r>
                          <w:rPr>
                            <w:sz w:val="16"/>
                          </w:rPr>
                          <w:t>25,348</w:t>
                        </w:r>
                      </w:p>
                    </w:tc>
                    <w:tc>
                      <w:tcPr>
                        <w:tcW w:w="1276" w:type="dxa"/>
                      </w:tcPr>
                      <w:p w:rsidR="00B4377F" w:rsidRDefault="00D7291E">
                        <w:pPr>
                          <w:pStyle w:val="TableParagraph"/>
                          <w:ind w:left="202" w:right="203"/>
                          <w:rPr>
                            <w:sz w:val="16"/>
                          </w:rPr>
                        </w:pPr>
                        <w:r>
                          <w:rPr>
                            <w:sz w:val="16"/>
                          </w:rPr>
                          <w:t>10.0%</w:t>
                        </w:r>
                      </w:p>
                    </w:tc>
                    <w:tc>
                      <w:tcPr>
                        <w:tcW w:w="831" w:type="dxa"/>
                      </w:tcPr>
                      <w:p w:rsidR="00B4377F" w:rsidRDefault="00D7291E">
                        <w:pPr>
                          <w:pStyle w:val="TableParagraph"/>
                          <w:ind w:left="171"/>
                          <w:jc w:val="left"/>
                          <w:rPr>
                            <w:sz w:val="16"/>
                          </w:rPr>
                        </w:pPr>
                        <w:r>
                          <w:rPr>
                            <w:sz w:val="16"/>
                          </w:rPr>
                          <w:t>48.0%</w:t>
                        </w:r>
                      </w:p>
                    </w:tc>
                    <w:tc>
                      <w:tcPr>
                        <w:tcW w:w="1480" w:type="dxa"/>
                      </w:tcPr>
                      <w:p w:rsidR="00B4377F" w:rsidRDefault="00D7291E">
                        <w:pPr>
                          <w:pStyle w:val="TableParagraph"/>
                          <w:ind w:left="224" w:right="225"/>
                          <w:rPr>
                            <w:sz w:val="16"/>
                          </w:rPr>
                        </w:pPr>
                        <w:r>
                          <w:rPr>
                            <w:sz w:val="16"/>
                          </w:rPr>
                          <w:t>10.6%</w:t>
                        </w:r>
                      </w:p>
                    </w:tc>
                    <w:tc>
                      <w:tcPr>
                        <w:tcW w:w="817" w:type="dxa"/>
                      </w:tcPr>
                      <w:p w:rsidR="00B4377F" w:rsidRDefault="00D7291E">
                        <w:pPr>
                          <w:pStyle w:val="TableParagraph"/>
                          <w:ind w:left="149" w:right="150"/>
                          <w:rPr>
                            <w:sz w:val="16"/>
                          </w:rPr>
                        </w:pPr>
                        <w:r>
                          <w:rPr>
                            <w:sz w:val="16"/>
                          </w:rPr>
                          <w:t>0.6%</w:t>
                        </w:r>
                      </w:p>
                    </w:tc>
                    <w:tc>
                      <w:tcPr>
                        <w:tcW w:w="880" w:type="dxa"/>
                      </w:tcPr>
                      <w:p w:rsidR="00B4377F" w:rsidRDefault="00D7291E">
                        <w:pPr>
                          <w:pStyle w:val="TableParagraph"/>
                          <w:ind w:right="195"/>
                          <w:jc w:val="right"/>
                          <w:rPr>
                            <w:sz w:val="16"/>
                          </w:rPr>
                        </w:pPr>
                        <w:r>
                          <w:rPr>
                            <w:sz w:val="16"/>
                          </w:rPr>
                          <w:t>25.8%</w:t>
                        </w:r>
                      </w:p>
                    </w:tc>
                    <w:tc>
                      <w:tcPr>
                        <w:tcW w:w="2642" w:type="dxa"/>
                      </w:tcPr>
                      <w:p w:rsidR="00B4377F" w:rsidRDefault="00D7291E">
                        <w:pPr>
                          <w:pStyle w:val="TableParagraph"/>
                          <w:ind w:left="357" w:right="357"/>
                          <w:rPr>
                            <w:sz w:val="16"/>
                          </w:rPr>
                        </w:pPr>
                        <w:r>
                          <w:rPr>
                            <w:sz w:val="16"/>
                          </w:rPr>
                          <w:t>1.0%</w:t>
                        </w:r>
                      </w:p>
                    </w:tc>
                    <w:tc>
                      <w:tcPr>
                        <w:tcW w:w="1524" w:type="dxa"/>
                      </w:tcPr>
                      <w:p w:rsidR="00B4377F" w:rsidRDefault="00D7291E">
                        <w:pPr>
                          <w:pStyle w:val="TableParagraph"/>
                          <w:ind w:left="230" w:right="230"/>
                          <w:rPr>
                            <w:sz w:val="16"/>
                          </w:rPr>
                        </w:pPr>
                        <w:r>
                          <w:rPr>
                            <w:sz w:val="16"/>
                          </w:rPr>
                          <w:t>3.6%</w:t>
                        </w:r>
                      </w:p>
                    </w:tc>
                    <w:tc>
                      <w:tcPr>
                        <w:tcW w:w="1760" w:type="dxa"/>
                      </w:tcPr>
                      <w:p w:rsidR="00B4377F" w:rsidRDefault="00D7291E">
                        <w:pPr>
                          <w:pStyle w:val="TableParagraph"/>
                          <w:ind w:left="257" w:right="257"/>
                          <w:rPr>
                            <w:sz w:val="16"/>
                          </w:rPr>
                        </w:pPr>
                        <w:r>
                          <w:rPr>
                            <w:sz w:val="16"/>
                          </w:rPr>
                          <w:t>0.3%</w:t>
                        </w:r>
                      </w:p>
                    </w:tc>
                  </w:tr>
                  <w:tr w:rsidR="00B4377F">
                    <w:trPr>
                      <w:trHeight w:hRule="exact" w:val="304"/>
                    </w:trPr>
                    <w:tc>
                      <w:tcPr>
                        <w:tcW w:w="398" w:type="dxa"/>
                        <w:tcBorders>
                          <w:right w:val="nil"/>
                        </w:tcBorders>
                      </w:tcPr>
                      <w:p w:rsidR="00B4377F" w:rsidRDefault="00D7291E">
                        <w:pPr>
                          <w:pStyle w:val="TableParagraph"/>
                          <w:ind w:right="23"/>
                          <w:jc w:val="right"/>
                          <w:rPr>
                            <w:sz w:val="16"/>
                          </w:rPr>
                        </w:pPr>
                        <w:r>
                          <w:rPr>
                            <w:sz w:val="16"/>
                          </w:rPr>
                          <w:t>FY</w:t>
                        </w:r>
                      </w:p>
                    </w:tc>
                    <w:tc>
                      <w:tcPr>
                        <w:tcW w:w="572" w:type="dxa"/>
                        <w:tcBorders>
                          <w:left w:val="nil"/>
                        </w:tcBorders>
                      </w:tcPr>
                      <w:p w:rsidR="00B4377F" w:rsidRDefault="00D7291E">
                        <w:pPr>
                          <w:pStyle w:val="TableParagraph"/>
                          <w:ind w:left="25"/>
                          <w:jc w:val="left"/>
                          <w:rPr>
                            <w:sz w:val="16"/>
                          </w:rPr>
                        </w:pPr>
                        <w:r>
                          <w:rPr>
                            <w:sz w:val="16"/>
                          </w:rPr>
                          <w:t>2010</w:t>
                        </w:r>
                      </w:p>
                    </w:tc>
                    <w:tc>
                      <w:tcPr>
                        <w:tcW w:w="1762" w:type="dxa"/>
                      </w:tcPr>
                      <w:p w:rsidR="00B4377F" w:rsidRDefault="00D7291E">
                        <w:pPr>
                          <w:pStyle w:val="TableParagraph"/>
                          <w:ind w:left="608" w:right="608"/>
                          <w:rPr>
                            <w:sz w:val="16"/>
                          </w:rPr>
                        </w:pPr>
                        <w:r>
                          <w:rPr>
                            <w:sz w:val="16"/>
                          </w:rPr>
                          <w:t>26,076</w:t>
                        </w:r>
                      </w:p>
                    </w:tc>
                    <w:tc>
                      <w:tcPr>
                        <w:tcW w:w="1276" w:type="dxa"/>
                      </w:tcPr>
                      <w:p w:rsidR="00B4377F" w:rsidRDefault="00D7291E">
                        <w:pPr>
                          <w:pStyle w:val="TableParagraph"/>
                          <w:ind w:left="202" w:right="202"/>
                          <w:rPr>
                            <w:sz w:val="16"/>
                          </w:rPr>
                        </w:pPr>
                        <w:r>
                          <w:rPr>
                            <w:sz w:val="16"/>
                          </w:rPr>
                          <w:t>8.8%</w:t>
                        </w:r>
                      </w:p>
                    </w:tc>
                    <w:tc>
                      <w:tcPr>
                        <w:tcW w:w="831" w:type="dxa"/>
                      </w:tcPr>
                      <w:p w:rsidR="00B4377F" w:rsidRDefault="00D7291E">
                        <w:pPr>
                          <w:pStyle w:val="TableParagraph"/>
                          <w:ind w:left="171"/>
                          <w:jc w:val="left"/>
                          <w:rPr>
                            <w:sz w:val="16"/>
                          </w:rPr>
                        </w:pPr>
                        <w:r>
                          <w:rPr>
                            <w:sz w:val="16"/>
                          </w:rPr>
                          <w:t>48.6%</w:t>
                        </w:r>
                      </w:p>
                    </w:tc>
                    <w:tc>
                      <w:tcPr>
                        <w:tcW w:w="1480" w:type="dxa"/>
                      </w:tcPr>
                      <w:p w:rsidR="00B4377F" w:rsidRDefault="00D7291E">
                        <w:pPr>
                          <w:pStyle w:val="TableParagraph"/>
                          <w:ind w:left="224" w:right="225"/>
                          <w:rPr>
                            <w:sz w:val="16"/>
                          </w:rPr>
                        </w:pPr>
                        <w:r>
                          <w:rPr>
                            <w:sz w:val="16"/>
                          </w:rPr>
                          <w:t>14.4%</w:t>
                        </w:r>
                      </w:p>
                    </w:tc>
                    <w:tc>
                      <w:tcPr>
                        <w:tcW w:w="817" w:type="dxa"/>
                      </w:tcPr>
                      <w:p w:rsidR="00B4377F" w:rsidRDefault="00D7291E">
                        <w:pPr>
                          <w:pStyle w:val="TableParagraph"/>
                          <w:ind w:left="149" w:right="150"/>
                          <w:rPr>
                            <w:sz w:val="16"/>
                          </w:rPr>
                        </w:pPr>
                        <w:r>
                          <w:rPr>
                            <w:sz w:val="16"/>
                          </w:rPr>
                          <w:t>0.3%</w:t>
                        </w:r>
                      </w:p>
                    </w:tc>
                    <w:tc>
                      <w:tcPr>
                        <w:tcW w:w="880" w:type="dxa"/>
                      </w:tcPr>
                      <w:p w:rsidR="00B4377F" w:rsidRDefault="00D7291E">
                        <w:pPr>
                          <w:pStyle w:val="TableParagraph"/>
                          <w:ind w:right="195"/>
                          <w:jc w:val="right"/>
                          <w:rPr>
                            <w:sz w:val="16"/>
                          </w:rPr>
                        </w:pPr>
                        <w:r>
                          <w:rPr>
                            <w:sz w:val="16"/>
                          </w:rPr>
                          <w:t>23.7%</w:t>
                        </w:r>
                      </w:p>
                    </w:tc>
                    <w:tc>
                      <w:tcPr>
                        <w:tcW w:w="2642" w:type="dxa"/>
                      </w:tcPr>
                      <w:p w:rsidR="00B4377F" w:rsidRDefault="00D7291E">
                        <w:pPr>
                          <w:pStyle w:val="TableParagraph"/>
                          <w:ind w:left="357" w:right="357"/>
                          <w:rPr>
                            <w:sz w:val="16"/>
                          </w:rPr>
                        </w:pPr>
                        <w:r>
                          <w:rPr>
                            <w:sz w:val="16"/>
                          </w:rPr>
                          <w:t>1.2%</w:t>
                        </w:r>
                      </w:p>
                    </w:tc>
                    <w:tc>
                      <w:tcPr>
                        <w:tcW w:w="1524" w:type="dxa"/>
                      </w:tcPr>
                      <w:p w:rsidR="00B4377F" w:rsidRDefault="00D7291E">
                        <w:pPr>
                          <w:pStyle w:val="TableParagraph"/>
                          <w:ind w:left="230" w:right="230"/>
                          <w:rPr>
                            <w:sz w:val="16"/>
                          </w:rPr>
                        </w:pPr>
                        <w:r>
                          <w:rPr>
                            <w:sz w:val="16"/>
                          </w:rPr>
                          <w:t>2.9%</w:t>
                        </w:r>
                      </w:p>
                    </w:tc>
                    <w:tc>
                      <w:tcPr>
                        <w:tcW w:w="1760" w:type="dxa"/>
                      </w:tcPr>
                      <w:p w:rsidR="00B4377F" w:rsidRDefault="00D7291E">
                        <w:pPr>
                          <w:pStyle w:val="TableParagraph"/>
                          <w:ind w:left="257" w:right="257"/>
                          <w:rPr>
                            <w:sz w:val="16"/>
                          </w:rPr>
                        </w:pPr>
                        <w:r>
                          <w:rPr>
                            <w:sz w:val="16"/>
                          </w:rPr>
                          <w:t>0.2%</w:t>
                        </w:r>
                      </w:p>
                    </w:tc>
                  </w:tr>
                  <w:tr w:rsidR="00B4377F">
                    <w:trPr>
                      <w:trHeight w:hRule="exact" w:val="304"/>
                    </w:trPr>
                    <w:tc>
                      <w:tcPr>
                        <w:tcW w:w="398" w:type="dxa"/>
                        <w:tcBorders>
                          <w:right w:val="nil"/>
                        </w:tcBorders>
                      </w:tcPr>
                      <w:p w:rsidR="00B4377F" w:rsidRDefault="00D7291E">
                        <w:pPr>
                          <w:pStyle w:val="TableParagraph"/>
                          <w:ind w:right="23"/>
                          <w:jc w:val="right"/>
                          <w:rPr>
                            <w:sz w:val="16"/>
                          </w:rPr>
                        </w:pPr>
                        <w:r>
                          <w:rPr>
                            <w:sz w:val="16"/>
                          </w:rPr>
                          <w:t>FY</w:t>
                        </w:r>
                      </w:p>
                    </w:tc>
                    <w:tc>
                      <w:tcPr>
                        <w:tcW w:w="572" w:type="dxa"/>
                        <w:tcBorders>
                          <w:left w:val="nil"/>
                        </w:tcBorders>
                      </w:tcPr>
                      <w:p w:rsidR="00B4377F" w:rsidRDefault="00D7291E">
                        <w:pPr>
                          <w:pStyle w:val="TableParagraph"/>
                          <w:ind w:left="25"/>
                          <w:jc w:val="left"/>
                          <w:rPr>
                            <w:sz w:val="16"/>
                          </w:rPr>
                        </w:pPr>
                        <w:r>
                          <w:rPr>
                            <w:sz w:val="16"/>
                          </w:rPr>
                          <w:t>2011</w:t>
                        </w:r>
                      </w:p>
                    </w:tc>
                    <w:tc>
                      <w:tcPr>
                        <w:tcW w:w="1762" w:type="dxa"/>
                      </w:tcPr>
                      <w:p w:rsidR="00B4377F" w:rsidRDefault="00D7291E">
                        <w:pPr>
                          <w:pStyle w:val="TableParagraph"/>
                          <w:ind w:left="608" w:right="608"/>
                          <w:rPr>
                            <w:sz w:val="16"/>
                          </w:rPr>
                        </w:pPr>
                        <w:r>
                          <w:rPr>
                            <w:sz w:val="16"/>
                          </w:rPr>
                          <w:t>24,997</w:t>
                        </w:r>
                      </w:p>
                    </w:tc>
                    <w:tc>
                      <w:tcPr>
                        <w:tcW w:w="1276" w:type="dxa"/>
                      </w:tcPr>
                      <w:p w:rsidR="00B4377F" w:rsidRDefault="00D7291E">
                        <w:pPr>
                          <w:pStyle w:val="TableParagraph"/>
                          <w:ind w:left="202" w:right="202"/>
                          <w:rPr>
                            <w:sz w:val="16"/>
                          </w:rPr>
                        </w:pPr>
                        <w:r>
                          <w:rPr>
                            <w:sz w:val="16"/>
                          </w:rPr>
                          <w:t>8.3%</w:t>
                        </w:r>
                      </w:p>
                    </w:tc>
                    <w:tc>
                      <w:tcPr>
                        <w:tcW w:w="831" w:type="dxa"/>
                      </w:tcPr>
                      <w:p w:rsidR="00B4377F" w:rsidRDefault="00D7291E">
                        <w:pPr>
                          <w:pStyle w:val="TableParagraph"/>
                          <w:ind w:left="171"/>
                          <w:jc w:val="left"/>
                          <w:rPr>
                            <w:sz w:val="16"/>
                          </w:rPr>
                        </w:pPr>
                        <w:r>
                          <w:rPr>
                            <w:sz w:val="16"/>
                          </w:rPr>
                          <w:t>46.6%</w:t>
                        </w:r>
                      </w:p>
                    </w:tc>
                    <w:tc>
                      <w:tcPr>
                        <w:tcW w:w="1480" w:type="dxa"/>
                      </w:tcPr>
                      <w:p w:rsidR="00B4377F" w:rsidRDefault="00D7291E">
                        <w:pPr>
                          <w:pStyle w:val="TableParagraph"/>
                          <w:ind w:left="224" w:right="225"/>
                          <w:rPr>
                            <w:sz w:val="16"/>
                          </w:rPr>
                        </w:pPr>
                        <w:r>
                          <w:rPr>
                            <w:sz w:val="16"/>
                          </w:rPr>
                          <w:t>18.6%</w:t>
                        </w:r>
                      </w:p>
                    </w:tc>
                    <w:tc>
                      <w:tcPr>
                        <w:tcW w:w="817" w:type="dxa"/>
                      </w:tcPr>
                      <w:p w:rsidR="00B4377F" w:rsidRDefault="00D7291E">
                        <w:pPr>
                          <w:pStyle w:val="TableParagraph"/>
                          <w:ind w:left="149" w:right="150"/>
                          <w:rPr>
                            <w:sz w:val="16"/>
                          </w:rPr>
                        </w:pPr>
                        <w:r>
                          <w:rPr>
                            <w:sz w:val="16"/>
                          </w:rPr>
                          <w:t>0.2%</w:t>
                        </w:r>
                      </w:p>
                    </w:tc>
                    <w:tc>
                      <w:tcPr>
                        <w:tcW w:w="880" w:type="dxa"/>
                      </w:tcPr>
                      <w:p w:rsidR="00B4377F" w:rsidRDefault="00D7291E">
                        <w:pPr>
                          <w:pStyle w:val="TableParagraph"/>
                          <w:ind w:right="195"/>
                          <w:jc w:val="right"/>
                          <w:rPr>
                            <w:sz w:val="16"/>
                          </w:rPr>
                        </w:pPr>
                        <w:r>
                          <w:rPr>
                            <w:sz w:val="16"/>
                          </w:rPr>
                          <w:t>21.9%</w:t>
                        </w:r>
                      </w:p>
                    </w:tc>
                    <w:tc>
                      <w:tcPr>
                        <w:tcW w:w="2642" w:type="dxa"/>
                      </w:tcPr>
                      <w:p w:rsidR="00B4377F" w:rsidRDefault="00D7291E">
                        <w:pPr>
                          <w:pStyle w:val="TableParagraph"/>
                          <w:ind w:left="357" w:right="357"/>
                          <w:rPr>
                            <w:sz w:val="16"/>
                          </w:rPr>
                        </w:pPr>
                        <w:r>
                          <w:rPr>
                            <w:sz w:val="16"/>
                          </w:rPr>
                          <w:t>1.5%</w:t>
                        </w:r>
                      </w:p>
                    </w:tc>
                    <w:tc>
                      <w:tcPr>
                        <w:tcW w:w="1524" w:type="dxa"/>
                      </w:tcPr>
                      <w:p w:rsidR="00B4377F" w:rsidRDefault="00D7291E">
                        <w:pPr>
                          <w:pStyle w:val="TableParagraph"/>
                          <w:ind w:left="230" w:right="230"/>
                          <w:rPr>
                            <w:sz w:val="16"/>
                          </w:rPr>
                        </w:pPr>
                        <w:r>
                          <w:rPr>
                            <w:sz w:val="16"/>
                          </w:rPr>
                          <w:t>2.7%</w:t>
                        </w:r>
                      </w:p>
                    </w:tc>
                    <w:tc>
                      <w:tcPr>
                        <w:tcW w:w="1760" w:type="dxa"/>
                      </w:tcPr>
                      <w:p w:rsidR="00B4377F" w:rsidRDefault="00D7291E">
                        <w:pPr>
                          <w:pStyle w:val="TableParagraph"/>
                          <w:ind w:left="257" w:right="257"/>
                          <w:rPr>
                            <w:sz w:val="16"/>
                          </w:rPr>
                        </w:pPr>
                        <w:r>
                          <w:rPr>
                            <w:sz w:val="16"/>
                          </w:rPr>
                          <w:t>0.3%</w:t>
                        </w:r>
                      </w:p>
                    </w:tc>
                  </w:tr>
                  <w:tr w:rsidR="00B4377F">
                    <w:trPr>
                      <w:trHeight w:hRule="exact" w:val="304"/>
                    </w:trPr>
                    <w:tc>
                      <w:tcPr>
                        <w:tcW w:w="398" w:type="dxa"/>
                        <w:tcBorders>
                          <w:right w:val="nil"/>
                        </w:tcBorders>
                      </w:tcPr>
                      <w:p w:rsidR="00B4377F" w:rsidRDefault="00D7291E">
                        <w:pPr>
                          <w:pStyle w:val="TableParagraph"/>
                          <w:ind w:right="23"/>
                          <w:jc w:val="right"/>
                          <w:rPr>
                            <w:sz w:val="16"/>
                          </w:rPr>
                        </w:pPr>
                        <w:r>
                          <w:rPr>
                            <w:sz w:val="16"/>
                          </w:rPr>
                          <w:t>FY</w:t>
                        </w:r>
                      </w:p>
                    </w:tc>
                    <w:tc>
                      <w:tcPr>
                        <w:tcW w:w="572" w:type="dxa"/>
                        <w:tcBorders>
                          <w:left w:val="nil"/>
                        </w:tcBorders>
                      </w:tcPr>
                      <w:p w:rsidR="00B4377F" w:rsidRDefault="00D7291E">
                        <w:pPr>
                          <w:pStyle w:val="TableParagraph"/>
                          <w:ind w:left="25"/>
                          <w:jc w:val="left"/>
                          <w:rPr>
                            <w:sz w:val="16"/>
                          </w:rPr>
                        </w:pPr>
                        <w:r>
                          <w:rPr>
                            <w:sz w:val="16"/>
                          </w:rPr>
                          <w:t>2012</w:t>
                        </w:r>
                      </w:p>
                    </w:tc>
                    <w:tc>
                      <w:tcPr>
                        <w:tcW w:w="1762" w:type="dxa"/>
                      </w:tcPr>
                      <w:p w:rsidR="00B4377F" w:rsidRDefault="00D7291E">
                        <w:pPr>
                          <w:pStyle w:val="TableParagraph"/>
                          <w:ind w:left="608" w:right="608"/>
                          <w:rPr>
                            <w:sz w:val="16"/>
                          </w:rPr>
                        </w:pPr>
                        <w:r>
                          <w:rPr>
                            <w:sz w:val="16"/>
                          </w:rPr>
                          <w:t>25,335</w:t>
                        </w:r>
                      </w:p>
                    </w:tc>
                    <w:tc>
                      <w:tcPr>
                        <w:tcW w:w="1276" w:type="dxa"/>
                      </w:tcPr>
                      <w:p w:rsidR="00B4377F" w:rsidRDefault="00D7291E">
                        <w:pPr>
                          <w:pStyle w:val="TableParagraph"/>
                          <w:ind w:left="202" w:right="202"/>
                          <w:rPr>
                            <w:sz w:val="16"/>
                          </w:rPr>
                        </w:pPr>
                        <w:r>
                          <w:rPr>
                            <w:sz w:val="16"/>
                          </w:rPr>
                          <w:t>7.0%</w:t>
                        </w:r>
                      </w:p>
                    </w:tc>
                    <w:tc>
                      <w:tcPr>
                        <w:tcW w:w="831" w:type="dxa"/>
                      </w:tcPr>
                      <w:p w:rsidR="00B4377F" w:rsidRDefault="00D7291E">
                        <w:pPr>
                          <w:pStyle w:val="TableParagraph"/>
                          <w:ind w:left="171"/>
                          <w:jc w:val="left"/>
                          <w:rPr>
                            <w:sz w:val="16"/>
                          </w:rPr>
                        </w:pPr>
                        <w:r>
                          <w:rPr>
                            <w:sz w:val="16"/>
                          </w:rPr>
                          <w:t>50.4%</w:t>
                        </w:r>
                      </w:p>
                    </w:tc>
                    <w:tc>
                      <w:tcPr>
                        <w:tcW w:w="1480" w:type="dxa"/>
                      </w:tcPr>
                      <w:p w:rsidR="00B4377F" w:rsidRDefault="00D7291E">
                        <w:pPr>
                          <w:pStyle w:val="TableParagraph"/>
                          <w:ind w:left="224" w:right="225"/>
                          <w:rPr>
                            <w:sz w:val="16"/>
                          </w:rPr>
                        </w:pPr>
                        <w:r>
                          <w:rPr>
                            <w:sz w:val="16"/>
                          </w:rPr>
                          <w:t>17.5%</w:t>
                        </w:r>
                      </w:p>
                    </w:tc>
                    <w:tc>
                      <w:tcPr>
                        <w:tcW w:w="817" w:type="dxa"/>
                      </w:tcPr>
                      <w:p w:rsidR="00B4377F" w:rsidRDefault="00D7291E">
                        <w:pPr>
                          <w:pStyle w:val="TableParagraph"/>
                          <w:ind w:left="149" w:right="150"/>
                          <w:rPr>
                            <w:sz w:val="16"/>
                          </w:rPr>
                        </w:pPr>
                        <w:r>
                          <w:rPr>
                            <w:sz w:val="16"/>
                          </w:rPr>
                          <w:t>0.3%</w:t>
                        </w:r>
                      </w:p>
                    </w:tc>
                    <w:tc>
                      <w:tcPr>
                        <w:tcW w:w="880" w:type="dxa"/>
                      </w:tcPr>
                      <w:p w:rsidR="00B4377F" w:rsidRDefault="00D7291E">
                        <w:pPr>
                          <w:pStyle w:val="TableParagraph"/>
                          <w:ind w:right="195"/>
                          <w:jc w:val="right"/>
                          <w:rPr>
                            <w:sz w:val="16"/>
                          </w:rPr>
                        </w:pPr>
                        <w:r>
                          <w:rPr>
                            <w:sz w:val="16"/>
                          </w:rPr>
                          <w:t>20.8%</w:t>
                        </w:r>
                      </w:p>
                    </w:tc>
                    <w:tc>
                      <w:tcPr>
                        <w:tcW w:w="2642" w:type="dxa"/>
                      </w:tcPr>
                      <w:p w:rsidR="00B4377F" w:rsidRDefault="00D7291E">
                        <w:pPr>
                          <w:pStyle w:val="TableParagraph"/>
                          <w:ind w:left="357" w:right="357"/>
                          <w:rPr>
                            <w:sz w:val="16"/>
                          </w:rPr>
                        </w:pPr>
                        <w:r>
                          <w:rPr>
                            <w:sz w:val="16"/>
                          </w:rPr>
                          <w:t>1.3%</w:t>
                        </w:r>
                      </w:p>
                    </w:tc>
                    <w:tc>
                      <w:tcPr>
                        <w:tcW w:w="1524" w:type="dxa"/>
                      </w:tcPr>
                      <w:p w:rsidR="00B4377F" w:rsidRDefault="00D7291E">
                        <w:pPr>
                          <w:pStyle w:val="TableParagraph"/>
                          <w:ind w:left="230" w:right="230"/>
                          <w:rPr>
                            <w:sz w:val="16"/>
                          </w:rPr>
                        </w:pPr>
                        <w:r>
                          <w:rPr>
                            <w:sz w:val="16"/>
                          </w:rPr>
                          <w:t>2.5%</w:t>
                        </w:r>
                      </w:p>
                    </w:tc>
                    <w:tc>
                      <w:tcPr>
                        <w:tcW w:w="1760" w:type="dxa"/>
                      </w:tcPr>
                      <w:p w:rsidR="00B4377F" w:rsidRDefault="00D7291E">
                        <w:pPr>
                          <w:pStyle w:val="TableParagraph"/>
                          <w:ind w:left="257" w:right="257"/>
                          <w:rPr>
                            <w:sz w:val="16"/>
                          </w:rPr>
                        </w:pPr>
                        <w:r>
                          <w:rPr>
                            <w:sz w:val="16"/>
                          </w:rPr>
                          <w:t>0.2%</w:t>
                        </w:r>
                      </w:p>
                    </w:tc>
                  </w:tr>
                  <w:tr w:rsidR="00B4377F">
                    <w:trPr>
                      <w:trHeight w:hRule="exact" w:val="304"/>
                    </w:trPr>
                    <w:tc>
                      <w:tcPr>
                        <w:tcW w:w="398" w:type="dxa"/>
                        <w:tcBorders>
                          <w:right w:val="nil"/>
                        </w:tcBorders>
                      </w:tcPr>
                      <w:p w:rsidR="00B4377F" w:rsidRDefault="00D7291E">
                        <w:pPr>
                          <w:pStyle w:val="TableParagraph"/>
                          <w:ind w:right="23"/>
                          <w:jc w:val="right"/>
                          <w:rPr>
                            <w:sz w:val="16"/>
                          </w:rPr>
                        </w:pPr>
                        <w:r>
                          <w:rPr>
                            <w:sz w:val="16"/>
                          </w:rPr>
                          <w:t>FY</w:t>
                        </w:r>
                      </w:p>
                    </w:tc>
                    <w:tc>
                      <w:tcPr>
                        <w:tcW w:w="572" w:type="dxa"/>
                        <w:tcBorders>
                          <w:left w:val="nil"/>
                        </w:tcBorders>
                      </w:tcPr>
                      <w:p w:rsidR="00B4377F" w:rsidRDefault="00D7291E">
                        <w:pPr>
                          <w:pStyle w:val="TableParagraph"/>
                          <w:ind w:left="25"/>
                          <w:jc w:val="left"/>
                          <w:rPr>
                            <w:sz w:val="16"/>
                          </w:rPr>
                        </w:pPr>
                        <w:r>
                          <w:rPr>
                            <w:sz w:val="16"/>
                          </w:rPr>
                          <w:t>2013</w:t>
                        </w:r>
                      </w:p>
                    </w:tc>
                    <w:tc>
                      <w:tcPr>
                        <w:tcW w:w="1762" w:type="dxa"/>
                      </w:tcPr>
                      <w:p w:rsidR="00B4377F" w:rsidRDefault="00D7291E">
                        <w:pPr>
                          <w:pStyle w:val="TableParagraph"/>
                          <w:ind w:left="608" w:right="608"/>
                          <w:rPr>
                            <w:sz w:val="16"/>
                          </w:rPr>
                        </w:pPr>
                        <w:r>
                          <w:rPr>
                            <w:sz w:val="16"/>
                          </w:rPr>
                          <w:t>23,881</w:t>
                        </w:r>
                      </w:p>
                    </w:tc>
                    <w:tc>
                      <w:tcPr>
                        <w:tcW w:w="1276" w:type="dxa"/>
                      </w:tcPr>
                      <w:p w:rsidR="00B4377F" w:rsidRDefault="00D7291E">
                        <w:pPr>
                          <w:pStyle w:val="TableParagraph"/>
                          <w:ind w:left="202" w:right="202"/>
                          <w:rPr>
                            <w:sz w:val="16"/>
                          </w:rPr>
                        </w:pPr>
                        <w:r>
                          <w:rPr>
                            <w:sz w:val="16"/>
                          </w:rPr>
                          <w:t>7.0%</w:t>
                        </w:r>
                      </w:p>
                    </w:tc>
                    <w:tc>
                      <w:tcPr>
                        <w:tcW w:w="831" w:type="dxa"/>
                      </w:tcPr>
                      <w:p w:rsidR="00B4377F" w:rsidRDefault="00D7291E">
                        <w:pPr>
                          <w:pStyle w:val="TableParagraph"/>
                          <w:ind w:left="171"/>
                          <w:jc w:val="left"/>
                          <w:rPr>
                            <w:sz w:val="16"/>
                          </w:rPr>
                        </w:pPr>
                        <w:r>
                          <w:rPr>
                            <w:sz w:val="16"/>
                          </w:rPr>
                          <w:t>58.5%</w:t>
                        </w:r>
                      </w:p>
                    </w:tc>
                    <w:tc>
                      <w:tcPr>
                        <w:tcW w:w="1480" w:type="dxa"/>
                      </w:tcPr>
                      <w:p w:rsidR="00B4377F" w:rsidRDefault="00D7291E">
                        <w:pPr>
                          <w:pStyle w:val="TableParagraph"/>
                          <w:ind w:left="224" w:right="225"/>
                          <w:rPr>
                            <w:sz w:val="16"/>
                          </w:rPr>
                        </w:pPr>
                        <w:r>
                          <w:rPr>
                            <w:sz w:val="16"/>
                          </w:rPr>
                          <w:t>10.9%</w:t>
                        </w:r>
                      </w:p>
                    </w:tc>
                    <w:tc>
                      <w:tcPr>
                        <w:tcW w:w="817" w:type="dxa"/>
                      </w:tcPr>
                      <w:p w:rsidR="00B4377F" w:rsidRDefault="00D7291E">
                        <w:pPr>
                          <w:pStyle w:val="TableParagraph"/>
                          <w:ind w:left="149" w:right="150"/>
                          <w:rPr>
                            <w:sz w:val="16"/>
                          </w:rPr>
                        </w:pPr>
                        <w:r>
                          <w:rPr>
                            <w:sz w:val="16"/>
                          </w:rPr>
                          <w:t>0.5%</w:t>
                        </w:r>
                      </w:p>
                    </w:tc>
                    <w:tc>
                      <w:tcPr>
                        <w:tcW w:w="880" w:type="dxa"/>
                      </w:tcPr>
                      <w:p w:rsidR="00B4377F" w:rsidRDefault="00D7291E">
                        <w:pPr>
                          <w:pStyle w:val="TableParagraph"/>
                          <w:ind w:right="195"/>
                          <w:jc w:val="right"/>
                          <w:rPr>
                            <w:sz w:val="16"/>
                          </w:rPr>
                        </w:pPr>
                        <w:r>
                          <w:rPr>
                            <w:sz w:val="16"/>
                          </w:rPr>
                          <w:t>19.7%</w:t>
                        </w:r>
                      </w:p>
                    </w:tc>
                    <w:tc>
                      <w:tcPr>
                        <w:tcW w:w="2642" w:type="dxa"/>
                      </w:tcPr>
                      <w:p w:rsidR="00B4377F" w:rsidRDefault="00D7291E">
                        <w:pPr>
                          <w:pStyle w:val="TableParagraph"/>
                          <w:ind w:left="357" w:right="357"/>
                          <w:rPr>
                            <w:sz w:val="16"/>
                          </w:rPr>
                        </w:pPr>
                        <w:r>
                          <w:rPr>
                            <w:sz w:val="16"/>
                          </w:rPr>
                          <w:t>1.0%</w:t>
                        </w:r>
                      </w:p>
                    </w:tc>
                    <w:tc>
                      <w:tcPr>
                        <w:tcW w:w="1524" w:type="dxa"/>
                      </w:tcPr>
                      <w:p w:rsidR="00B4377F" w:rsidRDefault="00D7291E">
                        <w:pPr>
                          <w:pStyle w:val="TableParagraph"/>
                          <w:ind w:left="230" w:right="230"/>
                          <w:rPr>
                            <w:sz w:val="16"/>
                          </w:rPr>
                        </w:pPr>
                        <w:r>
                          <w:rPr>
                            <w:sz w:val="16"/>
                          </w:rPr>
                          <w:t>2.1%</w:t>
                        </w:r>
                      </w:p>
                    </w:tc>
                    <w:tc>
                      <w:tcPr>
                        <w:tcW w:w="1760" w:type="dxa"/>
                      </w:tcPr>
                      <w:p w:rsidR="00B4377F" w:rsidRDefault="00D7291E">
                        <w:pPr>
                          <w:pStyle w:val="TableParagraph"/>
                          <w:ind w:left="257" w:right="257"/>
                          <w:rPr>
                            <w:sz w:val="16"/>
                          </w:rPr>
                        </w:pPr>
                        <w:r>
                          <w:rPr>
                            <w:sz w:val="16"/>
                          </w:rPr>
                          <w:t>0.3%</w:t>
                        </w:r>
                      </w:p>
                    </w:tc>
                  </w:tr>
                  <w:tr w:rsidR="00B4377F">
                    <w:trPr>
                      <w:trHeight w:hRule="exact" w:val="304"/>
                    </w:trPr>
                    <w:tc>
                      <w:tcPr>
                        <w:tcW w:w="398" w:type="dxa"/>
                        <w:tcBorders>
                          <w:right w:val="nil"/>
                        </w:tcBorders>
                      </w:tcPr>
                      <w:p w:rsidR="00B4377F" w:rsidRDefault="00D7291E">
                        <w:pPr>
                          <w:pStyle w:val="TableParagraph"/>
                          <w:ind w:right="23"/>
                          <w:jc w:val="right"/>
                          <w:rPr>
                            <w:sz w:val="16"/>
                          </w:rPr>
                        </w:pPr>
                        <w:r>
                          <w:rPr>
                            <w:sz w:val="16"/>
                          </w:rPr>
                          <w:t>FY</w:t>
                        </w:r>
                      </w:p>
                    </w:tc>
                    <w:tc>
                      <w:tcPr>
                        <w:tcW w:w="572" w:type="dxa"/>
                        <w:tcBorders>
                          <w:left w:val="nil"/>
                        </w:tcBorders>
                      </w:tcPr>
                      <w:p w:rsidR="00B4377F" w:rsidRDefault="00D7291E">
                        <w:pPr>
                          <w:pStyle w:val="TableParagraph"/>
                          <w:ind w:left="25"/>
                          <w:jc w:val="left"/>
                          <w:rPr>
                            <w:sz w:val="16"/>
                          </w:rPr>
                        </w:pPr>
                        <w:r>
                          <w:rPr>
                            <w:sz w:val="16"/>
                          </w:rPr>
                          <w:t>2014</w:t>
                        </w:r>
                      </w:p>
                    </w:tc>
                    <w:tc>
                      <w:tcPr>
                        <w:tcW w:w="1762" w:type="dxa"/>
                      </w:tcPr>
                      <w:p w:rsidR="00B4377F" w:rsidRDefault="00D7291E">
                        <w:pPr>
                          <w:pStyle w:val="TableParagraph"/>
                          <w:ind w:left="608" w:right="608"/>
                          <w:rPr>
                            <w:sz w:val="16"/>
                          </w:rPr>
                        </w:pPr>
                        <w:r>
                          <w:rPr>
                            <w:sz w:val="16"/>
                          </w:rPr>
                          <w:t>22,849</w:t>
                        </w:r>
                      </w:p>
                    </w:tc>
                    <w:tc>
                      <w:tcPr>
                        <w:tcW w:w="1276" w:type="dxa"/>
                      </w:tcPr>
                      <w:p w:rsidR="00B4377F" w:rsidRDefault="00D7291E">
                        <w:pPr>
                          <w:pStyle w:val="TableParagraph"/>
                          <w:ind w:left="202" w:right="202"/>
                          <w:rPr>
                            <w:sz w:val="16"/>
                          </w:rPr>
                        </w:pPr>
                        <w:r>
                          <w:rPr>
                            <w:sz w:val="16"/>
                          </w:rPr>
                          <w:t>6.2%</w:t>
                        </w:r>
                      </w:p>
                    </w:tc>
                    <w:tc>
                      <w:tcPr>
                        <w:tcW w:w="831" w:type="dxa"/>
                      </w:tcPr>
                      <w:p w:rsidR="00B4377F" w:rsidRDefault="00D7291E">
                        <w:pPr>
                          <w:pStyle w:val="TableParagraph"/>
                          <w:ind w:left="171"/>
                          <w:jc w:val="left"/>
                          <w:rPr>
                            <w:sz w:val="16"/>
                          </w:rPr>
                        </w:pPr>
                        <w:r>
                          <w:rPr>
                            <w:sz w:val="16"/>
                          </w:rPr>
                          <w:t>64.5%</w:t>
                        </w:r>
                      </w:p>
                    </w:tc>
                    <w:tc>
                      <w:tcPr>
                        <w:tcW w:w="1480" w:type="dxa"/>
                      </w:tcPr>
                      <w:p w:rsidR="00B4377F" w:rsidRDefault="00D7291E">
                        <w:pPr>
                          <w:pStyle w:val="TableParagraph"/>
                          <w:ind w:left="225" w:right="225"/>
                          <w:rPr>
                            <w:sz w:val="16"/>
                          </w:rPr>
                        </w:pPr>
                        <w:r>
                          <w:rPr>
                            <w:sz w:val="16"/>
                          </w:rPr>
                          <w:t>7.2%</w:t>
                        </w:r>
                      </w:p>
                    </w:tc>
                    <w:tc>
                      <w:tcPr>
                        <w:tcW w:w="817" w:type="dxa"/>
                      </w:tcPr>
                      <w:p w:rsidR="00B4377F" w:rsidRDefault="00D7291E">
                        <w:pPr>
                          <w:pStyle w:val="TableParagraph"/>
                          <w:ind w:left="149" w:right="150"/>
                          <w:rPr>
                            <w:sz w:val="16"/>
                          </w:rPr>
                        </w:pPr>
                        <w:r>
                          <w:rPr>
                            <w:sz w:val="16"/>
                          </w:rPr>
                          <w:t>0.4%</w:t>
                        </w:r>
                      </w:p>
                    </w:tc>
                    <w:tc>
                      <w:tcPr>
                        <w:tcW w:w="880" w:type="dxa"/>
                      </w:tcPr>
                      <w:p w:rsidR="00B4377F" w:rsidRDefault="00D7291E">
                        <w:pPr>
                          <w:pStyle w:val="TableParagraph"/>
                          <w:ind w:right="195"/>
                          <w:jc w:val="right"/>
                          <w:rPr>
                            <w:sz w:val="16"/>
                          </w:rPr>
                        </w:pPr>
                        <w:r>
                          <w:rPr>
                            <w:sz w:val="16"/>
                          </w:rPr>
                          <w:t>18.5%</w:t>
                        </w:r>
                      </w:p>
                    </w:tc>
                    <w:tc>
                      <w:tcPr>
                        <w:tcW w:w="2642" w:type="dxa"/>
                      </w:tcPr>
                      <w:p w:rsidR="00B4377F" w:rsidRDefault="00D7291E">
                        <w:pPr>
                          <w:pStyle w:val="TableParagraph"/>
                          <w:ind w:left="357" w:right="357"/>
                          <w:rPr>
                            <w:sz w:val="16"/>
                          </w:rPr>
                        </w:pPr>
                        <w:r>
                          <w:rPr>
                            <w:sz w:val="16"/>
                          </w:rPr>
                          <w:t>0.9%</w:t>
                        </w:r>
                      </w:p>
                    </w:tc>
                    <w:tc>
                      <w:tcPr>
                        <w:tcW w:w="1524" w:type="dxa"/>
                      </w:tcPr>
                      <w:p w:rsidR="00B4377F" w:rsidRDefault="00D7291E">
                        <w:pPr>
                          <w:pStyle w:val="TableParagraph"/>
                          <w:ind w:left="230" w:right="230"/>
                          <w:rPr>
                            <w:sz w:val="16"/>
                          </w:rPr>
                        </w:pPr>
                        <w:r>
                          <w:rPr>
                            <w:sz w:val="16"/>
                          </w:rPr>
                          <w:t>2.0%</w:t>
                        </w:r>
                      </w:p>
                    </w:tc>
                    <w:tc>
                      <w:tcPr>
                        <w:tcW w:w="1760" w:type="dxa"/>
                      </w:tcPr>
                      <w:p w:rsidR="00B4377F" w:rsidRDefault="00D7291E">
                        <w:pPr>
                          <w:pStyle w:val="TableParagraph"/>
                          <w:ind w:left="257" w:right="257"/>
                          <w:rPr>
                            <w:sz w:val="16"/>
                          </w:rPr>
                        </w:pPr>
                        <w:r>
                          <w:rPr>
                            <w:sz w:val="16"/>
                          </w:rPr>
                          <w:t>0.3%</w:t>
                        </w:r>
                      </w:p>
                    </w:tc>
                  </w:tr>
                  <w:tr w:rsidR="00B4377F">
                    <w:trPr>
                      <w:trHeight w:hRule="exact" w:val="304"/>
                    </w:trPr>
                    <w:tc>
                      <w:tcPr>
                        <w:tcW w:w="398" w:type="dxa"/>
                        <w:tcBorders>
                          <w:right w:val="nil"/>
                        </w:tcBorders>
                      </w:tcPr>
                      <w:p w:rsidR="00B4377F" w:rsidRDefault="00D7291E">
                        <w:pPr>
                          <w:pStyle w:val="TableParagraph"/>
                          <w:ind w:right="23"/>
                          <w:jc w:val="right"/>
                          <w:rPr>
                            <w:sz w:val="16"/>
                          </w:rPr>
                        </w:pPr>
                        <w:r>
                          <w:rPr>
                            <w:sz w:val="16"/>
                          </w:rPr>
                          <w:t>FY</w:t>
                        </w:r>
                      </w:p>
                    </w:tc>
                    <w:tc>
                      <w:tcPr>
                        <w:tcW w:w="572" w:type="dxa"/>
                        <w:tcBorders>
                          <w:left w:val="nil"/>
                        </w:tcBorders>
                      </w:tcPr>
                      <w:p w:rsidR="00B4377F" w:rsidRDefault="00D7291E">
                        <w:pPr>
                          <w:pStyle w:val="TableParagraph"/>
                          <w:ind w:left="25"/>
                          <w:jc w:val="left"/>
                          <w:rPr>
                            <w:sz w:val="16"/>
                          </w:rPr>
                        </w:pPr>
                        <w:r>
                          <w:rPr>
                            <w:sz w:val="16"/>
                          </w:rPr>
                          <w:t>2015</w:t>
                        </w:r>
                      </w:p>
                    </w:tc>
                    <w:tc>
                      <w:tcPr>
                        <w:tcW w:w="1762" w:type="dxa"/>
                      </w:tcPr>
                      <w:p w:rsidR="00B4377F" w:rsidRDefault="00D7291E">
                        <w:pPr>
                          <w:pStyle w:val="TableParagraph"/>
                          <w:ind w:left="608" w:right="608"/>
                          <w:rPr>
                            <w:sz w:val="16"/>
                          </w:rPr>
                        </w:pPr>
                        <w:r>
                          <w:rPr>
                            <w:sz w:val="16"/>
                          </w:rPr>
                          <w:t>19,939</w:t>
                        </w:r>
                      </w:p>
                    </w:tc>
                    <w:tc>
                      <w:tcPr>
                        <w:tcW w:w="1276" w:type="dxa"/>
                      </w:tcPr>
                      <w:p w:rsidR="00B4377F" w:rsidRDefault="00D7291E">
                        <w:pPr>
                          <w:pStyle w:val="TableParagraph"/>
                          <w:ind w:left="202" w:right="202"/>
                          <w:rPr>
                            <w:sz w:val="16"/>
                          </w:rPr>
                        </w:pPr>
                        <w:r>
                          <w:rPr>
                            <w:sz w:val="16"/>
                          </w:rPr>
                          <w:t>6.1%</w:t>
                        </w:r>
                      </w:p>
                    </w:tc>
                    <w:tc>
                      <w:tcPr>
                        <w:tcW w:w="831" w:type="dxa"/>
                      </w:tcPr>
                      <w:p w:rsidR="00B4377F" w:rsidRDefault="00D7291E">
                        <w:pPr>
                          <w:pStyle w:val="TableParagraph"/>
                          <w:ind w:left="171"/>
                          <w:jc w:val="left"/>
                          <w:rPr>
                            <w:sz w:val="16"/>
                          </w:rPr>
                        </w:pPr>
                        <w:r>
                          <w:rPr>
                            <w:sz w:val="16"/>
                          </w:rPr>
                          <w:t>65.5%</w:t>
                        </w:r>
                      </w:p>
                    </w:tc>
                    <w:tc>
                      <w:tcPr>
                        <w:tcW w:w="1480" w:type="dxa"/>
                      </w:tcPr>
                      <w:p w:rsidR="00B4377F" w:rsidRDefault="00D7291E">
                        <w:pPr>
                          <w:pStyle w:val="TableParagraph"/>
                          <w:ind w:left="225" w:right="225"/>
                          <w:rPr>
                            <w:sz w:val="16"/>
                          </w:rPr>
                        </w:pPr>
                        <w:r>
                          <w:rPr>
                            <w:sz w:val="16"/>
                          </w:rPr>
                          <w:t>5.4%</w:t>
                        </w:r>
                      </w:p>
                    </w:tc>
                    <w:tc>
                      <w:tcPr>
                        <w:tcW w:w="817" w:type="dxa"/>
                      </w:tcPr>
                      <w:p w:rsidR="00B4377F" w:rsidRDefault="00D7291E">
                        <w:pPr>
                          <w:pStyle w:val="TableParagraph"/>
                          <w:ind w:left="149" w:right="150"/>
                          <w:rPr>
                            <w:sz w:val="16"/>
                          </w:rPr>
                        </w:pPr>
                        <w:r>
                          <w:rPr>
                            <w:sz w:val="16"/>
                          </w:rPr>
                          <w:t>0.4%</w:t>
                        </w:r>
                      </w:p>
                    </w:tc>
                    <w:tc>
                      <w:tcPr>
                        <w:tcW w:w="880" w:type="dxa"/>
                      </w:tcPr>
                      <w:p w:rsidR="00B4377F" w:rsidRDefault="00D7291E">
                        <w:pPr>
                          <w:pStyle w:val="TableParagraph"/>
                          <w:ind w:right="195"/>
                          <w:jc w:val="right"/>
                          <w:rPr>
                            <w:sz w:val="16"/>
                          </w:rPr>
                        </w:pPr>
                        <w:r>
                          <w:rPr>
                            <w:sz w:val="16"/>
                          </w:rPr>
                          <w:t>19.4%</w:t>
                        </w:r>
                      </w:p>
                    </w:tc>
                    <w:tc>
                      <w:tcPr>
                        <w:tcW w:w="2642" w:type="dxa"/>
                      </w:tcPr>
                      <w:p w:rsidR="00B4377F" w:rsidRDefault="00D7291E">
                        <w:pPr>
                          <w:pStyle w:val="TableParagraph"/>
                          <w:ind w:left="357" w:right="357"/>
                          <w:rPr>
                            <w:sz w:val="16"/>
                          </w:rPr>
                        </w:pPr>
                        <w:r>
                          <w:rPr>
                            <w:sz w:val="16"/>
                          </w:rPr>
                          <w:t>0.9%</w:t>
                        </w:r>
                      </w:p>
                    </w:tc>
                    <w:tc>
                      <w:tcPr>
                        <w:tcW w:w="1524" w:type="dxa"/>
                      </w:tcPr>
                      <w:p w:rsidR="00B4377F" w:rsidRDefault="00D7291E">
                        <w:pPr>
                          <w:pStyle w:val="TableParagraph"/>
                          <w:ind w:left="230" w:right="230"/>
                          <w:rPr>
                            <w:sz w:val="16"/>
                          </w:rPr>
                        </w:pPr>
                        <w:r>
                          <w:rPr>
                            <w:sz w:val="16"/>
                          </w:rPr>
                          <w:t>1.9%</w:t>
                        </w:r>
                      </w:p>
                    </w:tc>
                    <w:tc>
                      <w:tcPr>
                        <w:tcW w:w="1760" w:type="dxa"/>
                      </w:tcPr>
                      <w:p w:rsidR="00B4377F" w:rsidRDefault="00D7291E">
                        <w:pPr>
                          <w:pStyle w:val="TableParagraph"/>
                          <w:ind w:left="257" w:right="257"/>
                          <w:rPr>
                            <w:sz w:val="16"/>
                          </w:rPr>
                        </w:pPr>
                        <w:r>
                          <w:rPr>
                            <w:sz w:val="16"/>
                          </w:rPr>
                          <w:t>0.3%</w:t>
                        </w:r>
                      </w:p>
                    </w:tc>
                  </w:tr>
                  <w:tr w:rsidR="00B4377F">
                    <w:trPr>
                      <w:trHeight w:hRule="exact" w:val="304"/>
                    </w:trPr>
                    <w:tc>
                      <w:tcPr>
                        <w:tcW w:w="398" w:type="dxa"/>
                        <w:tcBorders>
                          <w:right w:val="nil"/>
                        </w:tcBorders>
                      </w:tcPr>
                      <w:p w:rsidR="00B4377F" w:rsidRDefault="00D7291E">
                        <w:pPr>
                          <w:pStyle w:val="TableParagraph"/>
                          <w:ind w:right="23"/>
                          <w:jc w:val="right"/>
                          <w:rPr>
                            <w:sz w:val="16"/>
                          </w:rPr>
                        </w:pPr>
                        <w:r>
                          <w:rPr>
                            <w:sz w:val="16"/>
                          </w:rPr>
                          <w:t>FY</w:t>
                        </w:r>
                      </w:p>
                    </w:tc>
                    <w:tc>
                      <w:tcPr>
                        <w:tcW w:w="572" w:type="dxa"/>
                        <w:tcBorders>
                          <w:left w:val="nil"/>
                        </w:tcBorders>
                      </w:tcPr>
                      <w:p w:rsidR="00B4377F" w:rsidRDefault="00D7291E">
                        <w:pPr>
                          <w:pStyle w:val="TableParagraph"/>
                          <w:ind w:left="25"/>
                          <w:jc w:val="left"/>
                          <w:rPr>
                            <w:sz w:val="16"/>
                          </w:rPr>
                        </w:pPr>
                        <w:r>
                          <w:rPr>
                            <w:sz w:val="16"/>
                          </w:rPr>
                          <w:t>2016</w:t>
                        </w:r>
                      </w:p>
                    </w:tc>
                    <w:tc>
                      <w:tcPr>
                        <w:tcW w:w="1762" w:type="dxa"/>
                      </w:tcPr>
                      <w:p w:rsidR="00B4377F" w:rsidRDefault="00D7291E">
                        <w:pPr>
                          <w:pStyle w:val="TableParagraph"/>
                          <w:ind w:left="608" w:right="608"/>
                          <w:rPr>
                            <w:sz w:val="16"/>
                          </w:rPr>
                        </w:pPr>
                        <w:r>
                          <w:rPr>
                            <w:sz w:val="16"/>
                          </w:rPr>
                          <w:t>18,007</w:t>
                        </w:r>
                      </w:p>
                    </w:tc>
                    <w:tc>
                      <w:tcPr>
                        <w:tcW w:w="1276" w:type="dxa"/>
                      </w:tcPr>
                      <w:p w:rsidR="00B4377F" w:rsidRDefault="00D7291E">
                        <w:pPr>
                          <w:pStyle w:val="TableParagraph"/>
                          <w:ind w:left="202" w:right="202"/>
                          <w:rPr>
                            <w:sz w:val="16"/>
                          </w:rPr>
                        </w:pPr>
                        <w:r>
                          <w:rPr>
                            <w:sz w:val="16"/>
                          </w:rPr>
                          <w:t>6.8%</w:t>
                        </w:r>
                      </w:p>
                    </w:tc>
                    <w:tc>
                      <w:tcPr>
                        <w:tcW w:w="831" w:type="dxa"/>
                      </w:tcPr>
                      <w:p w:rsidR="00B4377F" w:rsidRDefault="00D7291E">
                        <w:pPr>
                          <w:pStyle w:val="TableParagraph"/>
                          <w:ind w:left="171"/>
                          <w:jc w:val="left"/>
                          <w:rPr>
                            <w:sz w:val="16"/>
                          </w:rPr>
                        </w:pPr>
                        <w:r>
                          <w:rPr>
                            <w:sz w:val="16"/>
                          </w:rPr>
                          <w:t>63.2%</w:t>
                        </w:r>
                      </w:p>
                    </w:tc>
                    <w:tc>
                      <w:tcPr>
                        <w:tcW w:w="1480" w:type="dxa"/>
                      </w:tcPr>
                      <w:p w:rsidR="00B4377F" w:rsidRDefault="00D7291E">
                        <w:pPr>
                          <w:pStyle w:val="TableParagraph"/>
                          <w:ind w:left="225" w:right="225"/>
                          <w:rPr>
                            <w:sz w:val="16"/>
                          </w:rPr>
                        </w:pPr>
                        <w:r>
                          <w:rPr>
                            <w:sz w:val="16"/>
                          </w:rPr>
                          <w:t>5.2%</w:t>
                        </w:r>
                      </w:p>
                    </w:tc>
                    <w:tc>
                      <w:tcPr>
                        <w:tcW w:w="817" w:type="dxa"/>
                      </w:tcPr>
                      <w:p w:rsidR="00B4377F" w:rsidRDefault="00D7291E">
                        <w:pPr>
                          <w:pStyle w:val="TableParagraph"/>
                          <w:ind w:left="149" w:right="150"/>
                          <w:rPr>
                            <w:sz w:val="16"/>
                          </w:rPr>
                        </w:pPr>
                        <w:r>
                          <w:rPr>
                            <w:sz w:val="16"/>
                          </w:rPr>
                          <w:t>0.5%</w:t>
                        </w:r>
                      </w:p>
                    </w:tc>
                    <w:tc>
                      <w:tcPr>
                        <w:tcW w:w="880" w:type="dxa"/>
                      </w:tcPr>
                      <w:p w:rsidR="00B4377F" w:rsidRDefault="00D7291E">
                        <w:pPr>
                          <w:pStyle w:val="TableParagraph"/>
                          <w:ind w:right="195"/>
                          <w:jc w:val="right"/>
                          <w:rPr>
                            <w:sz w:val="16"/>
                          </w:rPr>
                        </w:pPr>
                        <w:r>
                          <w:rPr>
                            <w:sz w:val="16"/>
                          </w:rPr>
                          <w:t>20.1%</w:t>
                        </w:r>
                      </w:p>
                    </w:tc>
                    <w:tc>
                      <w:tcPr>
                        <w:tcW w:w="2642" w:type="dxa"/>
                      </w:tcPr>
                      <w:p w:rsidR="00B4377F" w:rsidRDefault="00D7291E">
                        <w:pPr>
                          <w:pStyle w:val="TableParagraph"/>
                          <w:ind w:left="357" w:right="357"/>
                          <w:rPr>
                            <w:sz w:val="16"/>
                          </w:rPr>
                        </w:pPr>
                        <w:r>
                          <w:rPr>
                            <w:sz w:val="16"/>
                          </w:rPr>
                          <w:t>1.2%</w:t>
                        </w:r>
                      </w:p>
                    </w:tc>
                    <w:tc>
                      <w:tcPr>
                        <w:tcW w:w="1524" w:type="dxa"/>
                      </w:tcPr>
                      <w:p w:rsidR="00B4377F" w:rsidRDefault="00D7291E">
                        <w:pPr>
                          <w:pStyle w:val="TableParagraph"/>
                          <w:ind w:left="230" w:right="230"/>
                          <w:rPr>
                            <w:sz w:val="16"/>
                          </w:rPr>
                        </w:pPr>
                        <w:r>
                          <w:rPr>
                            <w:sz w:val="16"/>
                          </w:rPr>
                          <w:t>2.5%</w:t>
                        </w:r>
                      </w:p>
                    </w:tc>
                    <w:tc>
                      <w:tcPr>
                        <w:tcW w:w="1760" w:type="dxa"/>
                      </w:tcPr>
                      <w:p w:rsidR="00B4377F" w:rsidRDefault="00D7291E">
                        <w:pPr>
                          <w:pStyle w:val="TableParagraph"/>
                          <w:ind w:left="257" w:right="257"/>
                          <w:rPr>
                            <w:sz w:val="16"/>
                          </w:rPr>
                        </w:pPr>
                        <w:r>
                          <w:rPr>
                            <w:sz w:val="16"/>
                          </w:rPr>
                          <w:t>0.4%</w:t>
                        </w:r>
                      </w:p>
                    </w:tc>
                  </w:tr>
                  <w:tr w:rsidR="00B4377F">
                    <w:trPr>
                      <w:trHeight w:hRule="exact" w:val="304"/>
                    </w:trPr>
                    <w:tc>
                      <w:tcPr>
                        <w:tcW w:w="398" w:type="dxa"/>
                        <w:tcBorders>
                          <w:right w:val="nil"/>
                        </w:tcBorders>
                      </w:tcPr>
                      <w:p w:rsidR="00B4377F" w:rsidRDefault="00D7291E">
                        <w:pPr>
                          <w:pStyle w:val="TableParagraph"/>
                          <w:ind w:right="23"/>
                          <w:jc w:val="right"/>
                          <w:rPr>
                            <w:sz w:val="16"/>
                          </w:rPr>
                        </w:pPr>
                        <w:r>
                          <w:rPr>
                            <w:sz w:val="16"/>
                          </w:rPr>
                          <w:t>FY</w:t>
                        </w:r>
                      </w:p>
                    </w:tc>
                    <w:tc>
                      <w:tcPr>
                        <w:tcW w:w="572" w:type="dxa"/>
                        <w:tcBorders>
                          <w:left w:val="nil"/>
                        </w:tcBorders>
                      </w:tcPr>
                      <w:p w:rsidR="00B4377F" w:rsidRDefault="00D7291E">
                        <w:pPr>
                          <w:pStyle w:val="TableParagraph"/>
                          <w:ind w:left="25"/>
                          <w:jc w:val="left"/>
                          <w:rPr>
                            <w:sz w:val="16"/>
                          </w:rPr>
                        </w:pPr>
                        <w:r>
                          <w:rPr>
                            <w:sz w:val="16"/>
                          </w:rPr>
                          <w:t>2017</w:t>
                        </w:r>
                      </w:p>
                    </w:tc>
                    <w:tc>
                      <w:tcPr>
                        <w:tcW w:w="1762" w:type="dxa"/>
                      </w:tcPr>
                      <w:p w:rsidR="00B4377F" w:rsidRDefault="00D7291E">
                        <w:pPr>
                          <w:pStyle w:val="TableParagraph"/>
                          <w:ind w:left="608" w:right="608"/>
                          <w:rPr>
                            <w:sz w:val="16"/>
                          </w:rPr>
                        </w:pPr>
                        <w:r>
                          <w:rPr>
                            <w:sz w:val="16"/>
                          </w:rPr>
                          <w:t>15,272</w:t>
                        </w:r>
                      </w:p>
                    </w:tc>
                    <w:tc>
                      <w:tcPr>
                        <w:tcW w:w="1276" w:type="dxa"/>
                      </w:tcPr>
                      <w:p w:rsidR="00B4377F" w:rsidRDefault="00D7291E">
                        <w:pPr>
                          <w:pStyle w:val="TableParagraph"/>
                          <w:ind w:left="202" w:right="202"/>
                          <w:rPr>
                            <w:sz w:val="16"/>
                          </w:rPr>
                        </w:pPr>
                        <w:r>
                          <w:rPr>
                            <w:sz w:val="16"/>
                          </w:rPr>
                          <w:t>7.4%</w:t>
                        </w:r>
                      </w:p>
                    </w:tc>
                    <w:tc>
                      <w:tcPr>
                        <w:tcW w:w="831" w:type="dxa"/>
                      </w:tcPr>
                      <w:p w:rsidR="00B4377F" w:rsidRDefault="00D7291E">
                        <w:pPr>
                          <w:pStyle w:val="TableParagraph"/>
                          <w:ind w:left="171"/>
                          <w:jc w:val="left"/>
                          <w:rPr>
                            <w:sz w:val="16"/>
                          </w:rPr>
                        </w:pPr>
                        <w:r>
                          <w:rPr>
                            <w:sz w:val="16"/>
                          </w:rPr>
                          <w:t>59.6%</w:t>
                        </w:r>
                      </w:p>
                    </w:tc>
                    <w:tc>
                      <w:tcPr>
                        <w:tcW w:w="1480" w:type="dxa"/>
                      </w:tcPr>
                      <w:p w:rsidR="00B4377F" w:rsidRDefault="00D7291E">
                        <w:pPr>
                          <w:pStyle w:val="TableParagraph"/>
                          <w:ind w:left="225" w:right="225"/>
                          <w:rPr>
                            <w:sz w:val="16"/>
                          </w:rPr>
                        </w:pPr>
                        <w:r>
                          <w:rPr>
                            <w:sz w:val="16"/>
                          </w:rPr>
                          <w:t>4.8%</w:t>
                        </w:r>
                      </w:p>
                    </w:tc>
                    <w:tc>
                      <w:tcPr>
                        <w:tcW w:w="817" w:type="dxa"/>
                      </w:tcPr>
                      <w:p w:rsidR="00B4377F" w:rsidRDefault="00D7291E">
                        <w:pPr>
                          <w:pStyle w:val="TableParagraph"/>
                          <w:ind w:left="149" w:right="150"/>
                          <w:rPr>
                            <w:sz w:val="16"/>
                          </w:rPr>
                        </w:pPr>
                        <w:r>
                          <w:rPr>
                            <w:sz w:val="16"/>
                          </w:rPr>
                          <w:t>0.4%</w:t>
                        </w:r>
                      </w:p>
                    </w:tc>
                    <w:tc>
                      <w:tcPr>
                        <w:tcW w:w="880" w:type="dxa"/>
                      </w:tcPr>
                      <w:p w:rsidR="00B4377F" w:rsidRDefault="00D7291E">
                        <w:pPr>
                          <w:pStyle w:val="TableParagraph"/>
                          <w:ind w:right="195"/>
                          <w:jc w:val="right"/>
                          <w:rPr>
                            <w:sz w:val="16"/>
                          </w:rPr>
                        </w:pPr>
                        <w:r>
                          <w:rPr>
                            <w:sz w:val="16"/>
                          </w:rPr>
                          <w:t>22.3%</w:t>
                        </w:r>
                      </w:p>
                    </w:tc>
                    <w:tc>
                      <w:tcPr>
                        <w:tcW w:w="2642" w:type="dxa"/>
                      </w:tcPr>
                      <w:p w:rsidR="00B4377F" w:rsidRDefault="00D7291E">
                        <w:pPr>
                          <w:pStyle w:val="TableParagraph"/>
                          <w:ind w:left="357" w:right="357"/>
                          <w:rPr>
                            <w:sz w:val="16"/>
                          </w:rPr>
                        </w:pPr>
                        <w:r>
                          <w:rPr>
                            <w:sz w:val="16"/>
                          </w:rPr>
                          <w:t>1.7%</w:t>
                        </w:r>
                      </w:p>
                    </w:tc>
                    <w:tc>
                      <w:tcPr>
                        <w:tcW w:w="1524" w:type="dxa"/>
                      </w:tcPr>
                      <w:p w:rsidR="00B4377F" w:rsidRDefault="00D7291E">
                        <w:pPr>
                          <w:pStyle w:val="TableParagraph"/>
                          <w:ind w:left="230" w:right="230"/>
                          <w:rPr>
                            <w:sz w:val="16"/>
                          </w:rPr>
                        </w:pPr>
                        <w:r>
                          <w:rPr>
                            <w:sz w:val="16"/>
                          </w:rPr>
                          <w:t>3.4%</w:t>
                        </w:r>
                      </w:p>
                    </w:tc>
                    <w:tc>
                      <w:tcPr>
                        <w:tcW w:w="1760" w:type="dxa"/>
                      </w:tcPr>
                      <w:p w:rsidR="00B4377F" w:rsidRDefault="00D7291E">
                        <w:pPr>
                          <w:pStyle w:val="TableParagraph"/>
                          <w:ind w:left="257" w:right="257"/>
                          <w:rPr>
                            <w:sz w:val="16"/>
                          </w:rPr>
                        </w:pPr>
                        <w:r>
                          <w:rPr>
                            <w:sz w:val="16"/>
                          </w:rPr>
                          <w:t>0.4%</w:t>
                        </w:r>
                      </w:p>
                    </w:tc>
                  </w:tr>
                </w:tbl>
                <w:p w:rsidR="00B4377F" w:rsidRDefault="00B4377F">
                  <w:pPr>
                    <w:pStyle w:val="BodyText"/>
                  </w:pPr>
                </w:p>
              </w:txbxContent>
            </v:textbox>
            <w10:wrap anchorx="page" anchory="page"/>
          </v:shape>
        </w:pict>
      </w:r>
      <w:r w:rsidR="00D7291E">
        <w:rPr>
          <w:b/>
          <w:sz w:val="16"/>
        </w:rPr>
        <w:t>- Drug Categories:</w:t>
      </w:r>
    </w:p>
    <w:p w:rsidR="00B4377F" w:rsidRDefault="00D7291E">
      <w:pPr>
        <w:spacing w:before="1"/>
        <w:ind w:left="370"/>
        <w:rPr>
          <w:i/>
          <w:sz w:val="16"/>
        </w:rPr>
      </w:pPr>
      <w:r>
        <w:rPr>
          <w:b/>
          <w:i/>
          <w:sz w:val="16"/>
        </w:rPr>
        <w:t xml:space="preserve">Other Opioids </w:t>
      </w:r>
      <w:r>
        <w:rPr>
          <w:i/>
          <w:sz w:val="16"/>
        </w:rPr>
        <w:t>includes: Prescription and Non Prescription Opioids.</w:t>
      </w:r>
    </w:p>
    <w:p w:rsidR="00B4377F" w:rsidRDefault="00D7291E">
      <w:pPr>
        <w:spacing w:before="1"/>
        <w:ind w:left="370"/>
        <w:rPr>
          <w:i/>
          <w:sz w:val="16"/>
        </w:rPr>
      </w:pPr>
      <w:r>
        <w:rPr>
          <w:b/>
          <w:i/>
          <w:sz w:val="16"/>
        </w:rPr>
        <w:t xml:space="preserve">Other </w:t>
      </w:r>
      <w:r>
        <w:rPr>
          <w:i/>
          <w:sz w:val="16"/>
        </w:rPr>
        <w:t>includes: PCP, Other Hallucinogens, Inhalants, OTC, and Other.</w:t>
      </w:r>
    </w:p>
    <w:p w:rsidR="00B4377F" w:rsidRDefault="00D7291E">
      <w:pPr>
        <w:spacing w:before="1"/>
        <w:ind w:left="370"/>
        <w:rPr>
          <w:i/>
          <w:sz w:val="16"/>
        </w:rPr>
      </w:pPr>
      <w:r>
        <w:rPr>
          <w:b/>
          <w:i/>
          <w:sz w:val="16"/>
        </w:rPr>
        <w:t xml:space="preserve">Other Sedatives/Hypnotics </w:t>
      </w:r>
      <w:r>
        <w:rPr>
          <w:i/>
          <w:sz w:val="16"/>
        </w:rPr>
        <w:t>includes: Benzodiazepines, Other Tranquilizers, Barbituates, and Other Sedatives.</w:t>
      </w:r>
    </w:p>
    <w:p w:rsidR="00B4377F" w:rsidRDefault="00D7291E">
      <w:pPr>
        <w:spacing w:before="1"/>
        <w:ind w:left="370"/>
        <w:rPr>
          <w:i/>
          <w:sz w:val="16"/>
        </w:rPr>
      </w:pPr>
      <w:r>
        <w:rPr>
          <w:b/>
          <w:i/>
          <w:sz w:val="16"/>
        </w:rPr>
        <w:t xml:space="preserve">Other Stimulants </w:t>
      </w:r>
      <w:r>
        <w:rPr>
          <w:i/>
          <w:sz w:val="16"/>
        </w:rPr>
        <w:t>includes: Methamphetamine, Other Amphetamines, Other Stimulants, and Club Drugs.</w:t>
      </w:r>
    </w:p>
    <w:p w:rsidR="00B4377F" w:rsidRDefault="00D7291E">
      <w:pPr>
        <w:spacing w:before="1"/>
        <w:ind w:left="175"/>
        <w:rPr>
          <w:i/>
          <w:sz w:val="16"/>
        </w:rPr>
      </w:pPr>
      <w:r>
        <w:rPr>
          <w:i/>
          <w:sz w:val="16"/>
        </w:rPr>
        <w:t>- The total admissions reported in this table may vary from the total admissions for young adults; for additional information, please refer to the appendix.</w:t>
      </w:r>
    </w:p>
    <w:p w:rsidR="00B4377F" w:rsidRDefault="00D7291E">
      <w:pPr>
        <w:spacing w:before="1"/>
        <w:ind w:left="175"/>
        <w:rPr>
          <w:i/>
          <w:sz w:val="16"/>
        </w:rPr>
      </w:pPr>
      <w:r>
        <w:rPr>
          <w:i/>
          <w:sz w:val="16"/>
        </w:rPr>
        <w:t>* Poly-substance use refers to either the use of multiple substances at the same time, or the use of multiple substances during a specified time frame.</w:t>
      </w:r>
    </w:p>
    <w:p w:rsidR="00B4377F" w:rsidRDefault="00B4377F">
      <w:pPr>
        <w:rPr>
          <w:sz w:val="16"/>
        </w:rPr>
        <w:sectPr w:rsidR="00B4377F">
          <w:pgSz w:w="15560" w:h="20020"/>
          <w:pgMar w:top="0" w:right="60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0"/>
        <w:gridCol w:w="954"/>
        <w:gridCol w:w="1143"/>
        <w:gridCol w:w="1085"/>
        <w:gridCol w:w="964"/>
        <w:gridCol w:w="1677"/>
        <w:gridCol w:w="1034"/>
        <w:gridCol w:w="1349"/>
        <w:gridCol w:w="916"/>
        <w:gridCol w:w="1059"/>
        <w:gridCol w:w="980"/>
        <w:gridCol w:w="817"/>
        <w:gridCol w:w="934"/>
      </w:tblGrid>
      <w:tr w:rsidR="00B4377F">
        <w:trPr>
          <w:trHeight w:hRule="exact" w:val="4493"/>
        </w:trPr>
        <w:tc>
          <w:tcPr>
            <w:tcW w:w="13942" w:type="dxa"/>
            <w:gridSpan w:val="13"/>
            <w:tcBorders>
              <w:top w:val="nil"/>
              <w:left w:val="nil"/>
              <w:right w:val="nil"/>
            </w:tcBorders>
          </w:tcPr>
          <w:p w:rsidR="00B4377F" w:rsidRDefault="00B4377F">
            <w:pPr>
              <w:pStyle w:val="TableParagraph"/>
              <w:spacing w:before="0"/>
              <w:jc w:val="left"/>
              <w:rPr>
                <w:i/>
                <w:sz w:val="28"/>
              </w:rPr>
            </w:pPr>
          </w:p>
          <w:p w:rsidR="00B4377F" w:rsidRDefault="00B4377F">
            <w:pPr>
              <w:pStyle w:val="TableParagraph"/>
              <w:spacing w:before="0"/>
              <w:jc w:val="left"/>
              <w:rPr>
                <w:i/>
                <w:sz w:val="28"/>
              </w:rPr>
            </w:pPr>
          </w:p>
          <w:p w:rsidR="00B4377F" w:rsidRDefault="00B4377F">
            <w:pPr>
              <w:pStyle w:val="TableParagraph"/>
              <w:spacing w:before="0"/>
              <w:jc w:val="left"/>
              <w:rPr>
                <w:i/>
                <w:sz w:val="28"/>
              </w:rPr>
            </w:pPr>
          </w:p>
          <w:p w:rsidR="00B4377F" w:rsidRDefault="00D7291E">
            <w:pPr>
              <w:pStyle w:val="TableParagraph"/>
              <w:spacing w:before="186"/>
              <w:ind w:left="5412" w:right="5409"/>
              <w:rPr>
                <w:b/>
                <w:sz w:val="24"/>
              </w:rPr>
            </w:pPr>
            <w:r>
              <w:rPr>
                <w:b/>
                <w:sz w:val="24"/>
              </w:rPr>
              <w:t>Description of Admissions Fact Sheet - Young Adults FY 2017</w:t>
            </w:r>
          </w:p>
          <w:p w:rsidR="00B4377F" w:rsidRDefault="00B4377F">
            <w:pPr>
              <w:pStyle w:val="TableParagraph"/>
              <w:spacing w:before="0"/>
              <w:jc w:val="left"/>
              <w:rPr>
                <w:i/>
                <w:sz w:val="28"/>
              </w:rPr>
            </w:pPr>
          </w:p>
          <w:p w:rsidR="00B4377F" w:rsidRDefault="00B4377F">
            <w:pPr>
              <w:pStyle w:val="TableParagraph"/>
              <w:spacing w:before="0"/>
              <w:jc w:val="left"/>
              <w:rPr>
                <w:i/>
                <w:sz w:val="28"/>
              </w:rPr>
            </w:pPr>
          </w:p>
          <w:p w:rsidR="00B4377F" w:rsidRDefault="00B4377F">
            <w:pPr>
              <w:pStyle w:val="TableParagraph"/>
              <w:spacing w:before="9"/>
              <w:jc w:val="left"/>
              <w:rPr>
                <w:i/>
                <w:sz w:val="24"/>
              </w:rPr>
            </w:pPr>
          </w:p>
          <w:p w:rsidR="00B4377F" w:rsidRDefault="00D7291E">
            <w:pPr>
              <w:pStyle w:val="TableParagraph"/>
              <w:spacing w:before="0"/>
              <w:ind w:left="5409" w:right="5409"/>
              <w:rPr>
                <w:b/>
              </w:rPr>
            </w:pPr>
            <w:r>
              <w:rPr>
                <w:b/>
              </w:rPr>
              <w:t>Service Utilization</w:t>
            </w:r>
          </w:p>
          <w:p w:rsidR="00B4377F" w:rsidRDefault="00D7291E">
            <w:pPr>
              <w:pStyle w:val="TableParagraph"/>
              <w:spacing w:before="150"/>
              <w:ind w:left="-10"/>
              <w:jc w:val="left"/>
              <w:rPr>
                <w:b/>
                <w:sz w:val="20"/>
              </w:rPr>
            </w:pPr>
            <w:r>
              <w:rPr>
                <w:b/>
                <w:sz w:val="20"/>
                <w:u w:val="single"/>
              </w:rPr>
              <w:t>Service Utilization</w:t>
            </w:r>
          </w:p>
          <w:p w:rsidR="00B4377F" w:rsidRDefault="00D7291E">
            <w:pPr>
              <w:pStyle w:val="TableParagraph"/>
              <w:spacing w:before="0"/>
              <w:ind w:left="-10"/>
              <w:jc w:val="left"/>
              <w:rPr>
                <w:sz w:val="20"/>
              </w:rPr>
            </w:pPr>
            <w:r>
              <w:rPr>
                <w:sz w:val="20"/>
              </w:rPr>
              <w:t>Table 3 contains a list of the types of services utilized by young adults.</w:t>
            </w:r>
          </w:p>
          <w:p w:rsidR="00B4377F" w:rsidRDefault="00D7291E">
            <w:pPr>
              <w:pStyle w:val="TableParagraph"/>
              <w:spacing w:before="150"/>
              <w:ind w:left="5408" w:right="5409"/>
              <w:rPr>
                <w:b/>
                <w:sz w:val="16"/>
              </w:rPr>
            </w:pPr>
            <w:r>
              <w:rPr>
                <w:b/>
                <w:sz w:val="16"/>
              </w:rPr>
              <w:t>Table 3</w:t>
            </w:r>
          </w:p>
          <w:p w:rsidR="00B4377F" w:rsidRDefault="00D7291E">
            <w:pPr>
              <w:pStyle w:val="TableParagraph"/>
              <w:spacing w:before="1"/>
              <w:ind w:left="4914" w:right="4914"/>
              <w:rPr>
                <w:b/>
                <w:sz w:val="16"/>
              </w:rPr>
            </w:pPr>
            <w:r>
              <w:rPr>
                <w:b/>
                <w:sz w:val="16"/>
              </w:rPr>
              <w:t>Service Category Trend: FY 2008 - FY 2017</w:t>
            </w:r>
          </w:p>
        </w:tc>
      </w:tr>
      <w:tr w:rsidR="00B4377F">
        <w:trPr>
          <w:trHeight w:hRule="exact" w:val="692"/>
        </w:trPr>
        <w:tc>
          <w:tcPr>
            <w:tcW w:w="1030" w:type="dxa"/>
          </w:tcPr>
          <w:p w:rsidR="00B4377F" w:rsidRDefault="00B4377F"/>
        </w:tc>
        <w:tc>
          <w:tcPr>
            <w:tcW w:w="954" w:type="dxa"/>
          </w:tcPr>
          <w:p w:rsidR="00B4377F" w:rsidRDefault="00D7291E">
            <w:pPr>
              <w:pStyle w:val="TableParagraph"/>
              <w:ind w:left="75" w:right="56" w:firstLine="214"/>
              <w:jc w:val="left"/>
              <w:rPr>
                <w:sz w:val="16"/>
              </w:rPr>
            </w:pPr>
            <w:r>
              <w:rPr>
                <w:sz w:val="16"/>
              </w:rPr>
              <w:t>Total Admissions</w:t>
            </w:r>
          </w:p>
        </w:tc>
        <w:tc>
          <w:tcPr>
            <w:tcW w:w="1143" w:type="dxa"/>
          </w:tcPr>
          <w:p w:rsidR="00B4377F" w:rsidRDefault="00D7291E">
            <w:pPr>
              <w:pStyle w:val="TableParagraph"/>
              <w:ind w:left="194" w:right="192" w:firstLine="1"/>
              <w:rPr>
                <w:sz w:val="16"/>
              </w:rPr>
            </w:pPr>
            <w:r>
              <w:rPr>
                <w:sz w:val="16"/>
              </w:rPr>
              <w:t>Acute Treatment Services</w:t>
            </w:r>
          </w:p>
        </w:tc>
        <w:tc>
          <w:tcPr>
            <w:tcW w:w="1085" w:type="dxa"/>
          </w:tcPr>
          <w:p w:rsidR="00B4377F" w:rsidRDefault="00D7291E">
            <w:pPr>
              <w:pStyle w:val="TableParagraph"/>
              <w:ind w:left="75" w:right="55" w:firstLine="289"/>
              <w:jc w:val="left"/>
              <w:rPr>
                <w:sz w:val="16"/>
              </w:rPr>
            </w:pPr>
            <w:r>
              <w:rPr>
                <w:sz w:val="16"/>
              </w:rPr>
              <w:t>Case Management</w:t>
            </w:r>
          </w:p>
        </w:tc>
        <w:tc>
          <w:tcPr>
            <w:tcW w:w="964" w:type="dxa"/>
          </w:tcPr>
          <w:p w:rsidR="00B4377F" w:rsidRDefault="00D7291E">
            <w:pPr>
              <w:pStyle w:val="TableParagraph"/>
              <w:ind w:left="75" w:right="55" w:firstLine="149"/>
              <w:jc w:val="left"/>
              <w:rPr>
                <w:sz w:val="16"/>
              </w:rPr>
            </w:pPr>
            <w:r>
              <w:rPr>
                <w:sz w:val="16"/>
              </w:rPr>
              <w:t>County Corrections</w:t>
            </w:r>
          </w:p>
        </w:tc>
        <w:tc>
          <w:tcPr>
            <w:tcW w:w="1677" w:type="dxa"/>
          </w:tcPr>
          <w:p w:rsidR="00B4377F" w:rsidRDefault="00D7291E">
            <w:pPr>
              <w:pStyle w:val="TableParagraph"/>
              <w:ind w:left="259" w:right="257" w:hanging="1"/>
              <w:rPr>
                <w:sz w:val="16"/>
              </w:rPr>
            </w:pPr>
            <w:r>
              <w:rPr>
                <w:sz w:val="16"/>
              </w:rPr>
              <w:t>Engagement, Assessment and Referral</w:t>
            </w:r>
          </w:p>
        </w:tc>
        <w:tc>
          <w:tcPr>
            <w:tcW w:w="1034" w:type="dxa"/>
          </w:tcPr>
          <w:p w:rsidR="00B4377F" w:rsidRDefault="00D7291E">
            <w:pPr>
              <w:pStyle w:val="TableParagraph"/>
              <w:ind w:left="55" w:right="55"/>
              <w:rPr>
                <w:sz w:val="16"/>
              </w:rPr>
            </w:pPr>
            <w:r>
              <w:rPr>
                <w:sz w:val="16"/>
              </w:rPr>
              <w:t>Intervention</w:t>
            </w:r>
          </w:p>
        </w:tc>
        <w:tc>
          <w:tcPr>
            <w:tcW w:w="1349" w:type="dxa"/>
          </w:tcPr>
          <w:p w:rsidR="00B4377F" w:rsidRDefault="00D7291E">
            <w:pPr>
              <w:pStyle w:val="TableParagraph"/>
              <w:ind w:left="285" w:right="282"/>
              <w:rPr>
                <w:sz w:val="16"/>
              </w:rPr>
            </w:pPr>
            <w:r>
              <w:rPr>
                <w:sz w:val="16"/>
              </w:rPr>
              <w:t>Medication Assisted Treatment</w:t>
            </w:r>
          </w:p>
        </w:tc>
        <w:tc>
          <w:tcPr>
            <w:tcW w:w="916" w:type="dxa"/>
          </w:tcPr>
          <w:p w:rsidR="00B4377F" w:rsidRDefault="00D7291E">
            <w:pPr>
              <w:pStyle w:val="TableParagraph"/>
              <w:ind w:left="55" w:right="55"/>
              <w:rPr>
                <w:sz w:val="16"/>
              </w:rPr>
            </w:pPr>
            <w:r>
              <w:rPr>
                <w:sz w:val="16"/>
              </w:rPr>
              <w:t>Outpatient</w:t>
            </w:r>
          </w:p>
        </w:tc>
        <w:tc>
          <w:tcPr>
            <w:tcW w:w="1059" w:type="dxa"/>
          </w:tcPr>
          <w:p w:rsidR="00B4377F" w:rsidRDefault="00D7291E">
            <w:pPr>
              <w:pStyle w:val="TableParagraph"/>
              <w:ind w:left="95" w:right="78" w:firstLine="42"/>
              <w:jc w:val="left"/>
              <w:rPr>
                <w:sz w:val="16"/>
              </w:rPr>
            </w:pPr>
            <w:r>
              <w:rPr>
                <w:sz w:val="16"/>
              </w:rPr>
              <w:t>Post Detox Stabilization</w:t>
            </w:r>
          </w:p>
        </w:tc>
        <w:tc>
          <w:tcPr>
            <w:tcW w:w="980" w:type="dxa"/>
          </w:tcPr>
          <w:p w:rsidR="00B4377F" w:rsidRDefault="00D7291E">
            <w:pPr>
              <w:pStyle w:val="TableParagraph"/>
              <w:ind w:left="156" w:right="154"/>
              <w:rPr>
                <w:sz w:val="16"/>
              </w:rPr>
            </w:pPr>
            <w:r>
              <w:rPr>
                <w:sz w:val="16"/>
              </w:rPr>
              <w:t>Recovery High School</w:t>
            </w:r>
          </w:p>
        </w:tc>
        <w:tc>
          <w:tcPr>
            <w:tcW w:w="817" w:type="dxa"/>
          </w:tcPr>
          <w:p w:rsidR="00B4377F" w:rsidRDefault="00D7291E">
            <w:pPr>
              <w:pStyle w:val="TableParagraph"/>
              <w:ind w:left="121" w:right="56" w:hanging="46"/>
              <w:jc w:val="left"/>
              <w:rPr>
                <w:sz w:val="16"/>
              </w:rPr>
            </w:pPr>
            <w:r>
              <w:rPr>
                <w:sz w:val="16"/>
              </w:rPr>
              <w:t>Recovery Support</w:t>
            </w:r>
          </w:p>
        </w:tc>
        <w:tc>
          <w:tcPr>
            <w:tcW w:w="934" w:type="dxa"/>
          </w:tcPr>
          <w:p w:rsidR="00B4377F" w:rsidRDefault="00D7291E">
            <w:pPr>
              <w:pStyle w:val="TableParagraph"/>
              <w:ind w:left="55" w:right="55"/>
              <w:rPr>
                <w:sz w:val="16"/>
              </w:rPr>
            </w:pPr>
            <w:r>
              <w:rPr>
                <w:sz w:val="16"/>
              </w:rPr>
              <w:t>Residential</w:t>
            </w:r>
          </w:p>
        </w:tc>
      </w:tr>
      <w:tr w:rsidR="00B4377F">
        <w:trPr>
          <w:trHeight w:hRule="exact" w:val="304"/>
        </w:trPr>
        <w:tc>
          <w:tcPr>
            <w:tcW w:w="1030" w:type="dxa"/>
          </w:tcPr>
          <w:p w:rsidR="00B4377F" w:rsidRDefault="00D7291E">
            <w:pPr>
              <w:pStyle w:val="TableParagraph"/>
              <w:ind w:left="197" w:right="197"/>
              <w:rPr>
                <w:sz w:val="16"/>
              </w:rPr>
            </w:pPr>
            <w:r>
              <w:rPr>
                <w:sz w:val="16"/>
              </w:rPr>
              <w:t>FY 2008</w:t>
            </w:r>
          </w:p>
        </w:tc>
        <w:tc>
          <w:tcPr>
            <w:tcW w:w="954" w:type="dxa"/>
          </w:tcPr>
          <w:p w:rsidR="00B4377F" w:rsidRDefault="00D7291E">
            <w:pPr>
              <w:pStyle w:val="TableParagraph"/>
              <w:ind w:left="204" w:right="204"/>
              <w:rPr>
                <w:sz w:val="16"/>
              </w:rPr>
            </w:pPr>
            <w:r>
              <w:rPr>
                <w:sz w:val="16"/>
              </w:rPr>
              <w:t>26,428</w:t>
            </w:r>
          </w:p>
        </w:tc>
        <w:tc>
          <w:tcPr>
            <w:tcW w:w="1143" w:type="dxa"/>
          </w:tcPr>
          <w:p w:rsidR="00B4377F" w:rsidRDefault="00D7291E">
            <w:pPr>
              <w:pStyle w:val="TableParagraph"/>
              <w:ind w:left="308" w:right="308"/>
              <w:rPr>
                <w:sz w:val="16"/>
              </w:rPr>
            </w:pPr>
            <w:r>
              <w:rPr>
                <w:sz w:val="16"/>
              </w:rPr>
              <w:t>33.5%</w:t>
            </w:r>
          </w:p>
        </w:tc>
        <w:tc>
          <w:tcPr>
            <w:tcW w:w="1085" w:type="dxa"/>
          </w:tcPr>
          <w:p w:rsidR="00B4377F" w:rsidRDefault="00D7291E">
            <w:pPr>
              <w:pStyle w:val="TableParagraph"/>
              <w:ind w:left="322" w:right="323"/>
              <w:rPr>
                <w:sz w:val="16"/>
              </w:rPr>
            </w:pPr>
            <w:r>
              <w:rPr>
                <w:sz w:val="16"/>
              </w:rPr>
              <w:t>3.8%</w:t>
            </w:r>
          </w:p>
        </w:tc>
        <w:tc>
          <w:tcPr>
            <w:tcW w:w="964" w:type="dxa"/>
          </w:tcPr>
          <w:p w:rsidR="00B4377F" w:rsidRDefault="00D7291E">
            <w:pPr>
              <w:pStyle w:val="TableParagraph"/>
              <w:ind w:left="281"/>
              <w:jc w:val="left"/>
              <w:rPr>
                <w:sz w:val="16"/>
              </w:rPr>
            </w:pPr>
            <w:r>
              <w:rPr>
                <w:sz w:val="16"/>
              </w:rPr>
              <w:t>3.0%</w:t>
            </w:r>
          </w:p>
        </w:tc>
        <w:tc>
          <w:tcPr>
            <w:tcW w:w="1677" w:type="dxa"/>
          </w:tcPr>
          <w:p w:rsidR="00B4377F" w:rsidRDefault="00D7291E">
            <w:pPr>
              <w:pStyle w:val="TableParagraph"/>
              <w:ind w:left="618" w:right="619"/>
              <w:rPr>
                <w:sz w:val="16"/>
              </w:rPr>
            </w:pPr>
            <w:r>
              <w:rPr>
                <w:sz w:val="16"/>
              </w:rPr>
              <w:t>0.0%</w:t>
            </w:r>
          </w:p>
        </w:tc>
        <w:tc>
          <w:tcPr>
            <w:tcW w:w="1034" w:type="dxa"/>
          </w:tcPr>
          <w:p w:rsidR="00B4377F" w:rsidRDefault="00D7291E">
            <w:pPr>
              <w:pStyle w:val="TableParagraph"/>
              <w:ind w:left="55" w:right="55"/>
              <w:rPr>
                <w:sz w:val="16"/>
              </w:rPr>
            </w:pPr>
            <w:r>
              <w:rPr>
                <w:sz w:val="16"/>
              </w:rPr>
              <w:t>0.0%</w:t>
            </w:r>
          </w:p>
        </w:tc>
        <w:tc>
          <w:tcPr>
            <w:tcW w:w="1349" w:type="dxa"/>
          </w:tcPr>
          <w:p w:rsidR="00B4377F" w:rsidRDefault="00D7291E">
            <w:pPr>
              <w:pStyle w:val="TableParagraph"/>
              <w:ind w:left="473"/>
              <w:jc w:val="left"/>
              <w:rPr>
                <w:sz w:val="16"/>
              </w:rPr>
            </w:pPr>
            <w:r>
              <w:rPr>
                <w:sz w:val="16"/>
              </w:rPr>
              <w:t>6.6%</w:t>
            </w:r>
          </w:p>
        </w:tc>
        <w:tc>
          <w:tcPr>
            <w:tcW w:w="916" w:type="dxa"/>
          </w:tcPr>
          <w:p w:rsidR="00B4377F" w:rsidRDefault="00D7291E">
            <w:pPr>
              <w:pStyle w:val="TableParagraph"/>
              <w:ind w:left="54" w:right="55"/>
              <w:rPr>
                <w:sz w:val="16"/>
              </w:rPr>
            </w:pPr>
            <w:r>
              <w:rPr>
                <w:sz w:val="16"/>
              </w:rPr>
              <w:t>40.4%</w:t>
            </w:r>
          </w:p>
        </w:tc>
        <w:tc>
          <w:tcPr>
            <w:tcW w:w="1059" w:type="dxa"/>
          </w:tcPr>
          <w:p w:rsidR="00B4377F" w:rsidRDefault="00D7291E">
            <w:pPr>
              <w:pStyle w:val="TableParagraph"/>
              <w:ind w:left="265" w:right="266"/>
              <w:rPr>
                <w:sz w:val="16"/>
              </w:rPr>
            </w:pPr>
            <w:r>
              <w:rPr>
                <w:sz w:val="16"/>
              </w:rPr>
              <w:t>5.3%</w:t>
            </w:r>
          </w:p>
        </w:tc>
        <w:tc>
          <w:tcPr>
            <w:tcW w:w="980" w:type="dxa"/>
          </w:tcPr>
          <w:p w:rsidR="00B4377F" w:rsidRDefault="00D7291E">
            <w:pPr>
              <w:pStyle w:val="TableParagraph"/>
              <w:ind w:right="288"/>
              <w:jc w:val="right"/>
              <w:rPr>
                <w:sz w:val="16"/>
              </w:rPr>
            </w:pPr>
            <w:r>
              <w:rPr>
                <w:sz w:val="16"/>
              </w:rPr>
              <w:t>0.0%</w:t>
            </w:r>
          </w:p>
        </w:tc>
        <w:tc>
          <w:tcPr>
            <w:tcW w:w="817" w:type="dxa"/>
          </w:tcPr>
          <w:p w:rsidR="00B4377F" w:rsidRDefault="00D7291E">
            <w:pPr>
              <w:pStyle w:val="TableParagraph"/>
              <w:ind w:left="149" w:right="150"/>
              <w:rPr>
                <w:sz w:val="16"/>
              </w:rPr>
            </w:pPr>
            <w:r>
              <w:rPr>
                <w:sz w:val="16"/>
              </w:rPr>
              <w:t>0.0%</w:t>
            </w:r>
          </w:p>
        </w:tc>
        <w:tc>
          <w:tcPr>
            <w:tcW w:w="934" w:type="dxa"/>
          </w:tcPr>
          <w:p w:rsidR="00B4377F" w:rsidRDefault="00D7291E">
            <w:pPr>
              <w:pStyle w:val="TableParagraph"/>
              <w:ind w:left="55" w:right="55"/>
              <w:rPr>
                <w:sz w:val="16"/>
              </w:rPr>
            </w:pPr>
            <w:r>
              <w:rPr>
                <w:sz w:val="16"/>
              </w:rPr>
              <w:t>7.5%</w:t>
            </w:r>
          </w:p>
        </w:tc>
      </w:tr>
      <w:tr w:rsidR="00B4377F">
        <w:trPr>
          <w:trHeight w:hRule="exact" w:val="304"/>
        </w:trPr>
        <w:tc>
          <w:tcPr>
            <w:tcW w:w="1030" w:type="dxa"/>
          </w:tcPr>
          <w:p w:rsidR="00B4377F" w:rsidRDefault="00D7291E">
            <w:pPr>
              <w:pStyle w:val="TableParagraph"/>
              <w:ind w:left="197" w:right="197"/>
              <w:rPr>
                <w:sz w:val="16"/>
              </w:rPr>
            </w:pPr>
            <w:r>
              <w:rPr>
                <w:sz w:val="16"/>
              </w:rPr>
              <w:t>FY 2009</w:t>
            </w:r>
          </w:p>
        </w:tc>
        <w:tc>
          <w:tcPr>
            <w:tcW w:w="954" w:type="dxa"/>
          </w:tcPr>
          <w:p w:rsidR="00B4377F" w:rsidRDefault="00D7291E">
            <w:pPr>
              <w:pStyle w:val="TableParagraph"/>
              <w:ind w:left="204" w:right="204"/>
              <w:rPr>
                <w:sz w:val="16"/>
              </w:rPr>
            </w:pPr>
            <w:r>
              <w:rPr>
                <w:sz w:val="16"/>
              </w:rPr>
              <w:t>25,390</w:t>
            </w:r>
          </w:p>
        </w:tc>
        <w:tc>
          <w:tcPr>
            <w:tcW w:w="1143" w:type="dxa"/>
          </w:tcPr>
          <w:p w:rsidR="00B4377F" w:rsidRDefault="00D7291E">
            <w:pPr>
              <w:pStyle w:val="TableParagraph"/>
              <w:ind w:left="308" w:right="308"/>
              <w:rPr>
                <w:sz w:val="16"/>
              </w:rPr>
            </w:pPr>
            <w:r>
              <w:rPr>
                <w:sz w:val="16"/>
              </w:rPr>
              <w:t>35.8%</w:t>
            </w:r>
          </w:p>
        </w:tc>
        <w:tc>
          <w:tcPr>
            <w:tcW w:w="1085" w:type="dxa"/>
          </w:tcPr>
          <w:p w:rsidR="00B4377F" w:rsidRDefault="00D7291E">
            <w:pPr>
              <w:pStyle w:val="TableParagraph"/>
              <w:ind w:left="322" w:right="323"/>
              <w:rPr>
                <w:sz w:val="16"/>
              </w:rPr>
            </w:pPr>
            <w:r>
              <w:rPr>
                <w:sz w:val="16"/>
              </w:rPr>
              <w:t>3.5%</w:t>
            </w:r>
          </w:p>
        </w:tc>
        <w:tc>
          <w:tcPr>
            <w:tcW w:w="964" w:type="dxa"/>
          </w:tcPr>
          <w:p w:rsidR="00B4377F" w:rsidRDefault="00D7291E">
            <w:pPr>
              <w:pStyle w:val="TableParagraph"/>
              <w:ind w:left="281"/>
              <w:jc w:val="left"/>
              <w:rPr>
                <w:sz w:val="16"/>
              </w:rPr>
            </w:pPr>
            <w:r>
              <w:rPr>
                <w:sz w:val="16"/>
              </w:rPr>
              <w:t>2.5%</w:t>
            </w:r>
          </w:p>
        </w:tc>
        <w:tc>
          <w:tcPr>
            <w:tcW w:w="1677" w:type="dxa"/>
          </w:tcPr>
          <w:p w:rsidR="00B4377F" w:rsidRDefault="00D7291E">
            <w:pPr>
              <w:pStyle w:val="TableParagraph"/>
              <w:ind w:left="618" w:right="619"/>
              <w:rPr>
                <w:sz w:val="16"/>
              </w:rPr>
            </w:pPr>
            <w:r>
              <w:rPr>
                <w:sz w:val="16"/>
              </w:rPr>
              <w:t>0.0%</w:t>
            </w:r>
          </w:p>
        </w:tc>
        <w:tc>
          <w:tcPr>
            <w:tcW w:w="1034" w:type="dxa"/>
          </w:tcPr>
          <w:p w:rsidR="00B4377F" w:rsidRDefault="00D7291E">
            <w:pPr>
              <w:pStyle w:val="TableParagraph"/>
              <w:ind w:left="55" w:right="55"/>
              <w:rPr>
                <w:sz w:val="16"/>
              </w:rPr>
            </w:pPr>
            <w:r>
              <w:rPr>
                <w:sz w:val="16"/>
              </w:rPr>
              <w:t>0.0%</w:t>
            </w:r>
          </w:p>
        </w:tc>
        <w:tc>
          <w:tcPr>
            <w:tcW w:w="1349" w:type="dxa"/>
          </w:tcPr>
          <w:p w:rsidR="00B4377F" w:rsidRDefault="00D7291E">
            <w:pPr>
              <w:pStyle w:val="TableParagraph"/>
              <w:ind w:left="473"/>
              <w:jc w:val="left"/>
              <w:rPr>
                <w:sz w:val="16"/>
              </w:rPr>
            </w:pPr>
            <w:r>
              <w:rPr>
                <w:sz w:val="16"/>
              </w:rPr>
              <w:t>7.7%</w:t>
            </w:r>
          </w:p>
        </w:tc>
        <w:tc>
          <w:tcPr>
            <w:tcW w:w="916" w:type="dxa"/>
          </w:tcPr>
          <w:p w:rsidR="00B4377F" w:rsidRDefault="00D7291E">
            <w:pPr>
              <w:pStyle w:val="TableParagraph"/>
              <w:ind w:left="54" w:right="55"/>
              <w:rPr>
                <w:sz w:val="16"/>
              </w:rPr>
            </w:pPr>
            <w:r>
              <w:rPr>
                <w:sz w:val="16"/>
              </w:rPr>
              <w:t>34.2%</w:t>
            </w:r>
          </w:p>
        </w:tc>
        <w:tc>
          <w:tcPr>
            <w:tcW w:w="1059" w:type="dxa"/>
          </w:tcPr>
          <w:p w:rsidR="00B4377F" w:rsidRDefault="00D7291E">
            <w:pPr>
              <w:pStyle w:val="TableParagraph"/>
              <w:ind w:left="265" w:right="266"/>
              <w:rPr>
                <w:sz w:val="16"/>
              </w:rPr>
            </w:pPr>
            <w:r>
              <w:rPr>
                <w:sz w:val="16"/>
              </w:rPr>
              <w:t>8.3%</w:t>
            </w:r>
          </w:p>
        </w:tc>
        <w:tc>
          <w:tcPr>
            <w:tcW w:w="980" w:type="dxa"/>
          </w:tcPr>
          <w:p w:rsidR="00B4377F" w:rsidRDefault="00D7291E">
            <w:pPr>
              <w:pStyle w:val="TableParagraph"/>
              <w:ind w:right="288"/>
              <w:jc w:val="right"/>
              <w:rPr>
                <w:sz w:val="16"/>
              </w:rPr>
            </w:pPr>
            <w:r>
              <w:rPr>
                <w:sz w:val="16"/>
              </w:rPr>
              <w:t>0.0%</w:t>
            </w:r>
          </w:p>
        </w:tc>
        <w:tc>
          <w:tcPr>
            <w:tcW w:w="817" w:type="dxa"/>
          </w:tcPr>
          <w:p w:rsidR="00B4377F" w:rsidRDefault="00D7291E">
            <w:pPr>
              <w:pStyle w:val="TableParagraph"/>
              <w:ind w:right="1"/>
              <w:rPr>
                <w:sz w:val="16"/>
              </w:rPr>
            </w:pPr>
            <w:r>
              <w:rPr>
                <w:sz w:val="16"/>
              </w:rPr>
              <w:t>*</w:t>
            </w:r>
          </w:p>
        </w:tc>
        <w:tc>
          <w:tcPr>
            <w:tcW w:w="934" w:type="dxa"/>
          </w:tcPr>
          <w:p w:rsidR="00B4377F" w:rsidRDefault="00D7291E">
            <w:pPr>
              <w:pStyle w:val="TableParagraph"/>
              <w:ind w:left="55" w:right="55"/>
              <w:rPr>
                <w:sz w:val="16"/>
              </w:rPr>
            </w:pPr>
            <w:r>
              <w:rPr>
                <w:sz w:val="16"/>
              </w:rPr>
              <w:t>8.0%</w:t>
            </w:r>
          </w:p>
        </w:tc>
      </w:tr>
      <w:tr w:rsidR="00B4377F">
        <w:trPr>
          <w:trHeight w:hRule="exact" w:val="304"/>
        </w:trPr>
        <w:tc>
          <w:tcPr>
            <w:tcW w:w="1030" w:type="dxa"/>
          </w:tcPr>
          <w:p w:rsidR="00B4377F" w:rsidRDefault="00D7291E">
            <w:pPr>
              <w:pStyle w:val="TableParagraph"/>
              <w:ind w:left="197" w:right="197"/>
              <w:rPr>
                <w:sz w:val="16"/>
              </w:rPr>
            </w:pPr>
            <w:r>
              <w:rPr>
                <w:sz w:val="16"/>
              </w:rPr>
              <w:t>FY 2010</w:t>
            </w:r>
          </w:p>
        </w:tc>
        <w:tc>
          <w:tcPr>
            <w:tcW w:w="954" w:type="dxa"/>
          </w:tcPr>
          <w:p w:rsidR="00B4377F" w:rsidRDefault="00D7291E">
            <w:pPr>
              <w:pStyle w:val="TableParagraph"/>
              <w:ind w:left="204" w:right="204"/>
              <w:rPr>
                <w:sz w:val="16"/>
              </w:rPr>
            </w:pPr>
            <w:r>
              <w:rPr>
                <w:sz w:val="16"/>
              </w:rPr>
              <w:t>26,258</w:t>
            </w:r>
          </w:p>
        </w:tc>
        <w:tc>
          <w:tcPr>
            <w:tcW w:w="1143" w:type="dxa"/>
          </w:tcPr>
          <w:p w:rsidR="00B4377F" w:rsidRDefault="00D7291E">
            <w:pPr>
              <w:pStyle w:val="TableParagraph"/>
              <w:ind w:left="308" w:right="308"/>
              <w:rPr>
                <w:sz w:val="16"/>
              </w:rPr>
            </w:pPr>
            <w:r>
              <w:rPr>
                <w:sz w:val="16"/>
              </w:rPr>
              <w:t>37.6%</w:t>
            </w:r>
          </w:p>
        </w:tc>
        <w:tc>
          <w:tcPr>
            <w:tcW w:w="1085" w:type="dxa"/>
          </w:tcPr>
          <w:p w:rsidR="00B4377F" w:rsidRDefault="00D7291E">
            <w:pPr>
              <w:pStyle w:val="TableParagraph"/>
              <w:ind w:left="322" w:right="323"/>
              <w:rPr>
                <w:sz w:val="16"/>
              </w:rPr>
            </w:pPr>
            <w:r>
              <w:rPr>
                <w:sz w:val="16"/>
              </w:rPr>
              <w:t>3.5%</w:t>
            </w:r>
          </w:p>
        </w:tc>
        <w:tc>
          <w:tcPr>
            <w:tcW w:w="964" w:type="dxa"/>
          </w:tcPr>
          <w:p w:rsidR="00B4377F" w:rsidRDefault="00D7291E">
            <w:pPr>
              <w:pStyle w:val="TableParagraph"/>
              <w:ind w:left="281"/>
              <w:jc w:val="left"/>
              <w:rPr>
                <w:sz w:val="16"/>
              </w:rPr>
            </w:pPr>
            <w:r>
              <w:rPr>
                <w:sz w:val="16"/>
              </w:rPr>
              <w:t>2.1%</w:t>
            </w:r>
          </w:p>
        </w:tc>
        <w:tc>
          <w:tcPr>
            <w:tcW w:w="1677" w:type="dxa"/>
          </w:tcPr>
          <w:p w:rsidR="00B4377F" w:rsidRDefault="00D7291E">
            <w:pPr>
              <w:pStyle w:val="TableParagraph"/>
              <w:ind w:left="618" w:right="619"/>
              <w:rPr>
                <w:sz w:val="16"/>
              </w:rPr>
            </w:pPr>
            <w:r>
              <w:rPr>
                <w:sz w:val="16"/>
              </w:rPr>
              <w:t>0.0%</w:t>
            </w:r>
          </w:p>
        </w:tc>
        <w:tc>
          <w:tcPr>
            <w:tcW w:w="1034" w:type="dxa"/>
          </w:tcPr>
          <w:p w:rsidR="00B4377F" w:rsidRDefault="00D7291E">
            <w:pPr>
              <w:pStyle w:val="TableParagraph"/>
              <w:ind w:left="55" w:right="55"/>
              <w:rPr>
                <w:sz w:val="16"/>
              </w:rPr>
            </w:pPr>
            <w:r>
              <w:rPr>
                <w:sz w:val="16"/>
              </w:rPr>
              <w:t>0.0%</w:t>
            </w:r>
          </w:p>
        </w:tc>
        <w:tc>
          <w:tcPr>
            <w:tcW w:w="1349" w:type="dxa"/>
          </w:tcPr>
          <w:p w:rsidR="00B4377F" w:rsidRDefault="00D7291E">
            <w:pPr>
              <w:pStyle w:val="TableParagraph"/>
              <w:ind w:left="473"/>
              <w:jc w:val="left"/>
              <w:rPr>
                <w:sz w:val="16"/>
              </w:rPr>
            </w:pPr>
            <w:r>
              <w:rPr>
                <w:sz w:val="16"/>
              </w:rPr>
              <w:t>7.3%</w:t>
            </w:r>
          </w:p>
        </w:tc>
        <w:tc>
          <w:tcPr>
            <w:tcW w:w="916" w:type="dxa"/>
          </w:tcPr>
          <w:p w:rsidR="00B4377F" w:rsidRDefault="00D7291E">
            <w:pPr>
              <w:pStyle w:val="TableParagraph"/>
              <w:ind w:left="54" w:right="55"/>
              <w:rPr>
                <w:sz w:val="16"/>
              </w:rPr>
            </w:pPr>
            <w:r>
              <w:rPr>
                <w:sz w:val="16"/>
              </w:rPr>
              <w:t>30.2%</w:t>
            </w:r>
          </w:p>
        </w:tc>
        <w:tc>
          <w:tcPr>
            <w:tcW w:w="1059" w:type="dxa"/>
          </w:tcPr>
          <w:p w:rsidR="00B4377F" w:rsidRDefault="00D7291E">
            <w:pPr>
              <w:pStyle w:val="TableParagraph"/>
              <w:ind w:left="266" w:right="266"/>
              <w:rPr>
                <w:sz w:val="16"/>
              </w:rPr>
            </w:pPr>
            <w:r>
              <w:rPr>
                <w:sz w:val="16"/>
              </w:rPr>
              <w:t>10.9%</w:t>
            </w:r>
          </w:p>
        </w:tc>
        <w:tc>
          <w:tcPr>
            <w:tcW w:w="980" w:type="dxa"/>
          </w:tcPr>
          <w:p w:rsidR="00B4377F" w:rsidRDefault="00D7291E">
            <w:pPr>
              <w:pStyle w:val="TableParagraph"/>
              <w:ind w:right="288"/>
              <w:jc w:val="right"/>
              <w:rPr>
                <w:sz w:val="16"/>
              </w:rPr>
            </w:pPr>
            <w:r>
              <w:rPr>
                <w:sz w:val="16"/>
              </w:rPr>
              <w:t>0.0%</w:t>
            </w:r>
          </w:p>
        </w:tc>
        <w:tc>
          <w:tcPr>
            <w:tcW w:w="817" w:type="dxa"/>
          </w:tcPr>
          <w:p w:rsidR="00B4377F" w:rsidRDefault="00D7291E">
            <w:pPr>
              <w:pStyle w:val="TableParagraph"/>
              <w:ind w:left="149" w:right="150"/>
              <w:rPr>
                <w:sz w:val="16"/>
              </w:rPr>
            </w:pPr>
            <w:r>
              <w:rPr>
                <w:sz w:val="16"/>
              </w:rPr>
              <w:t>0.8%</w:t>
            </w:r>
          </w:p>
        </w:tc>
        <w:tc>
          <w:tcPr>
            <w:tcW w:w="934" w:type="dxa"/>
          </w:tcPr>
          <w:p w:rsidR="00B4377F" w:rsidRDefault="00D7291E">
            <w:pPr>
              <w:pStyle w:val="TableParagraph"/>
              <w:ind w:left="55" w:right="55"/>
              <w:rPr>
                <w:sz w:val="16"/>
              </w:rPr>
            </w:pPr>
            <w:r>
              <w:rPr>
                <w:sz w:val="16"/>
              </w:rPr>
              <w:t>7.5%</w:t>
            </w:r>
          </w:p>
        </w:tc>
      </w:tr>
      <w:tr w:rsidR="00B4377F">
        <w:trPr>
          <w:trHeight w:hRule="exact" w:val="304"/>
        </w:trPr>
        <w:tc>
          <w:tcPr>
            <w:tcW w:w="1030" w:type="dxa"/>
          </w:tcPr>
          <w:p w:rsidR="00B4377F" w:rsidRDefault="00D7291E">
            <w:pPr>
              <w:pStyle w:val="TableParagraph"/>
              <w:ind w:left="197" w:right="197"/>
              <w:rPr>
                <w:sz w:val="16"/>
              </w:rPr>
            </w:pPr>
            <w:r>
              <w:rPr>
                <w:sz w:val="16"/>
              </w:rPr>
              <w:t>FY 2011</w:t>
            </w:r>
          </w:p>
        </w:tc>
        <w:tc>
          <w:tcPr>
            <w:tcW w:w="954" w:type="dxa"/>
          </w:tcPr>
          <w:p w:rsidR="00B4377F" w:rsidRDefault="00D7291E">
            <w:pPr>
              <w:pStyle w:val="TableParagraph"/>
              <w:ind w:left="204" w:right="204"/>
              <w:rPr>
                <w:sz w:val="16"/>
              </w:rPr>
            </w:pPr>
            <w:r>
              <w:rPr>
                <w:sz w:val="16"/>
              </w:rPr>
              <w:t>25,125</w:t>
            </w:r>
          </w:p>
        </w:tc>
        <w:tc>
          <w:tcPr>
            <w:tcW w:w="1143" w:type="dxa"/>
          </w:tcPr>
          <w:p w:rsidR="00B4377F" w:rsidRDefault="00D7291E">
            <w:pPr>
              <w:pStyle w:val="TableParagraph"/>
              <w:ind w:left="308" w:right="308"/>
              <w:rPr>
                <w:sz w:val="16"/>
              </w:rPr>
            </w:pPr>
            <w:r>
              <w:rPr>
                <w:sz w:val="16"/>
              </w:rPr>
              <w:t>39.1%</w:t>
            </w:r>
          </w:p>
        </w:tc>
        <w:tc>
          <w:tcPr>
            <w:tcW w:w="1085" w:type="dxa"/>
          </w:tcPr>
          <w:p w:rsidR="00B4377F" w:rsidRDefault="00D7291E">
            <w:pPr>
              <w:pStyle w:val="TableParagraph"/>
              <w:ind w:left="322" w:right="323"/>
              <w:rPr>
                <w:sz w:val="16"/>
              </w:rPr>
            </w:pPr>
            <w:r>
              <w:rPr>
                <w:sz w:val="16"/>
              </w:rPr>
              <w:t>3.0%</w:t>
            </w:r>
          </w:p>
        </w:tc>
        <w:tc>
          <w:tcPr>
            <w:tcW w:w="964" w:type="dxa"/>
          </w:tcPr>
          <w:p w:rsidR="00B4377F" w:rsidRDefault="00D7291E">
            <w:pPr>
              <w:pStyle w:val="TableParagraph"/>
              <w:ind w:left="281"/>
              <w:jc w:val="left"/>
              <w:rPr>
                <w:sz w:val="16"/>
              </w:rPr>
            </w:pPr>
            <w:r>
              <w:rPr>
                <w:sz w:val="16"/>
              </w:rPr>
              <w:t>2.1%</w:t>
            </w:r>
          </w:p>
        </w:tc>
        <w:tc>
          <w:tcPr>
            <w:tcW w:w="1677" w:type="dxa"/>
          </w:tcPr>
          <w:p w:rsidR="00B4377F" w:rsidRDefault="00D7291E">
            <w:pPr>
              <w:pStyle w:val="TableParagraph"/>
              <w:ind w:left="618" w:right="619"/>
              <w:rPr>
                <w:sz w:val="16"/>
              </w:rPr>
            </w:pPr>
            <w:r>
              <w:rPr>
                <w:sz w:val="16"/>
              </w:rPr>
              <w:t>0.0%</w:t>
            </w:r>
          </w:p>
        </w:tc>
        <w:tc>
          <w:tcPr>
            <w:tcW w:w="1034" w:type="dxa"/>
          </w:tcPr>
          <w:p w:rsidR="00B4377F" w:rsidRDefault="00D7291E">
            <w:pPr>
              <w:pStyle w:val="TableParagraph"/>
              <w:ind w:left="55" w:right="55"/>
              <w:rPr>
                <w:sz w:val="16"/>
              </w:rPr>
            </w:pPr>
            <w:r>
              <w:rPr>
                <w:sz w:val="16"/>
              </w:rPr>
              <w:t>0.0%</w:t>
            </w:r>
          </w:p>
        </w:tc>
        <w:tc>
          <w:tcPr>
            <w:tcW w:w="1349" w:type="dxa"/>
          </w:tcPr>
          <w:p w:rsidR="00B4377F" w:rsidRDefault="00D7291E">
            <w:pPr>
              <w:pStyle w:val="TableParagraph"/>
              <w:ind w:left="473"/>
              <w:jc w:val="left"/>
              <w:rPr>
                <w:sz w:val="16"/>
              </w:rPr>
            </w:pPr>
            <w:r>
              <w:rPr>
                <w:sz w:val="16"/>
              </w:rPr>
              <w:t>6.1%</w:t>
            </w:r>
          </w:p>
        </w:tc>
        <w:tc>
          <w:tcPr>
            <w:tcW w:w="916" w:type="dxa"/>
          </w:tcPr>
          <w:p w:rsidR="00B4377F" w:rsidRDefault="00D7291E">
            <w:pPr>
              <w:pStyle w:val="TableParagraph"/>
              <w:ind w:left="54" w:right="55"/>
              <w:rPr>
                <w:sz w:val="16"/>
              </w:rPr>
            </w:pPr>
            <w:r>
              <w:rPr>
                <w:sz w:val="16"/>
              </w:rPr>
              <w:t>29.1%</w:t>
            </w:r>
          </w:p>
        </w:tc>
        <w:tc>
          <w:tcPr>
            <w:tcW w:w="1059" w:type="dxa"/>
          </w:tcPr>
          <w:p w:rsidR="00B4377F" w:rsidRDefault="00D7291E">
            <w:pPr>
              <w:pStyle w:val="TableParagraph"/>
              <w:ind w:left="266" w:right="266"/>
              <w:rPr>
                <w:sz w:val="16"/>
              </w:rPr>
            </w:pPr>
            <w:r>
              <w:rPr>
                <w:sz w:val="16"/>
              </w:rPr>
              <w:t>12.0%</w:t>
            </w:r>
          </w:p>
        </w:tc>
        <w:tc>
          <w:tcPr>
            <w:tcW w:w="980" w:type="dxa"/>
          </w:tcPr>
          <w:p w:rsidR="00B4377F" w:rsidRDefault="00D7291E">
            <w:pPr>
              <w:pStyle w:val="TableParagraph"/>
              <w:ind w:right="288"/>
              <w:jc w:val="right"/>
              <w:rPr>
                <w:sz w:val="16"/>
              </w:rPr>
            </w:pPr>
            <w:r>
              <w:rPr>
                <w:sz w:val="16"/>
              </w:rPr>
              <w:t>0.0%</w:t>
            </w:r>
          </w:p>
        </w:tc>
        <w:tc>
          <w:tcPr>
            <w:tcW w:w="817" w:type="dxa"/>
          </w:tcPr>
          <w:p w:rsidR="00B4377F" w:rsidRDefault="00D7291E">
            <w:pPr>
              <w:pStyle w:val="TableParagraph"/>
              <w:ind w:left="149" w:right="150"/>
              <w:rPr>
                <w:sz w:val="16"/>
              </w:rPr>
            </w:pPr>
            <w:r>
              <w:rPr>
                <w:sz w:val="16"/>
              </w:rPr>
              <w:t>0.6%</w:t>
            </w:r>
          </w:p>
        </w:tc>
        <w:tc>
          <w:tcPr>
            <w:tcW w:w="934" w:type="dxa"/>
          </w:tcPr>
          <w:p w:rsidR="00B4377F" w:rsidRDefault="00D7291E">
            <w:pPr>
              <w:pStyle w:val="TableParagraph"/>
              <w:ind w:left="55" w:right="55"/>
              <w:rPr>
                <w:sz w:val="16"/>
              </w:rPr>
            </w:pPr>
            <w:r>
              <w:rPr>
                <w:sz w:val="16"/>
              </w:rPr>
              <w:t>8.0%</w:t>
            </w:r>
          </w:p>
        </w:tc>
      </w:tr>
      <w:tr w:rsidR="00B4377F">
        <w:trPr>
          <w:trHeight w:hRule="exact" w:val="304"/>
        </w:trPr>
        <w:tc>
          <w:tcPr>
            <w:tcW w:w="1030" w:type="dxa"/>
          </w:tcPr>
          <w:p w:rsidR="00B4377F" w:rsidRDefault="00D7291E">
            <w:pPr>
              <w:pStyle w:val="TableParagraph"/>
              <w:ind w:left="197" w:right="197"/>
              <w:rPr>
                <w:sz w:val="16"/>
              </w:rPr>
            </w:pPr>
            <w:r>
              <w:rPr>
                <w:sz w:val="16"/>
              </w:rPr>
              <w:t>FY 2012</w:t>
            </w:r>
          </w:p>
        </w:tc>
        <w:tc>
          <w:tcPr>
            <w:tcW w:w="954" w:type="dxa"/>
          </w:tcPr>
          <w:p w:rsidR="00B4377F" w:rsidRDefault="00D7291E">
            <w:pPr>
              <w:pStyle w:val="TableParagraph"/>
              <w:ind w:left="204" w:right="204"/>
              <w:rPr>
                <w:sz w:val="16"/>
              </w:rPr>
            </w:pPr>
            <w:r>
              <w:rPr>
                <w:sz w:val="16"/>
              </w:rPr>
              <w:t>25,660</w:t>
            </w:r>
          </w:p>
        </w:tc>
        <w:tc>
          <w:tcPr>
            <w:tcW w:w="1143" w:type="dxa"/>
          </w:tcPr>
          <w:p w:rsidR="00B4377F" w:rsidRDefault="00D7291E">
            <w:pPr>
              <w:pStyle w:val="TableParagraph"/>
              <w:ind w:left="308" w:right="308"/>
              <w:rPr>
                <w:sz w:val="16"/>
              </w:rPr>
            </w:pPr>
            <w:r>
              <w:rPr>
                <w:sz w:val="16"/>
              </w:rPr>
              <w:t>39.2%</w:t>
            </w:r>
          </w:p>
        </w:tc>
        <w:tc>
          <w:tcPr>
            <w:tcW w:w="1085" w:type="dxa"/>
          </w:tcPr>
          <w:p w:rsidR="00B4377F" w:rsidRDefault="00D7291E">
            <w:pPr>
              <w:pStyle w:val="TableParagraph"/>
              <w:ind w:left="322" w:right="323"/>
              <w:rPr>
                <w:sz w:val="16"/>
              </w:rPr>
            </w:pPr>
            <w:r>
              <w:rPr>
                <w:sz w:val="16"/>
              </w:rPr>
              <w:t>2.6%</w:t>
            </w:r>
          </w:p>
        </w:tc>
        <w:tc>
          <w:tcPr>
            <w:tcW w:w="964" w:type="dxa"/>
          </w:tcPr>
          <w:p w:rsidR="00B4377F" w:rsidRDefault="00D7291E">
            <w:pPr>
              <w:pStyle w:val="TableParagraph"/>
              <w:ind w:left="281"/>
              <w:jc w:val="left"/>
              <w:rPr>
                <w:sz w:val="16"/>
              </w:rPr>
            </w:pPr>
            <w:r>
              <w:rPr>
                <w:sz w:val="16"/>
              </w:rPr>
              <w:t>1.9%</w:t>
            </w:r>
          </w:p>
        </w:tc>
        <w:tc>
          <w:tcPr>
            <w:tcW w:w="1677" w:type="dxa"/>
          </w:tcPr>
          <w:p w:rsidR="00B4377F" w:rsidRDefault="00D7291E">
            <w:pPr>
              <w:pStyle w:val="TableParagraph"/>
              <w:ind w:left="618" w:right="619"/>
              <w:rPr>
                <w:sz w:val="16"/>
              </w:rPr>
            </w:pPr>
            <w:r>
              <w:rPr>
                <w:sz w:val="16"/>
              </w:rPr>
              <w:t>0.0%</w:t>
            </w:r>
          </w:p>
        </w:tc>
        <w:tc>
          <w:tcPr>
            <w:tcW w:w="1034" w:type="dxa"/>
          </w:tcPr>
          <w:p w:rsidR="00B4377F" w:rsidRDefault="00D7291E">
            <w:pPr>
              <w:pStyle w:val="TableParagraph"/>
              <w:ind w:left="55" w:right="55"/>
              <w:rPr>
                <w:sz w:val="16"/>
              </w:rPr>
            </w:pPr>
            <w:r>
              <w:rPr>
                <w:sz w:val="16"/>
              </w:rPr>
              <w:t>0.0%</w:t>
            </w:r>
          </w:p>
        </w:tc>
        <w:tc>
          <w:tcPr>
            <w:tcW w:w="1349" w:type="dxa"/>
          </w:tcPr>
          <w:p w:rsidR="00B4377F" w:rsidRDefault="00D7291E">
            <w:pPr>
              <w:pStyle w:val="TableParagraph"/>
              <w:ind w:left="473"/>
              <w:jc w:val="left"/>
              <w:rPr>
                <w:sz w:val="16"/>
              </w:rPr>
            </w:pPr>
            <w:r>
              <w:rPr>
                <w:sz w:val="16"/>
              </w:rPr>
              <w:t>6.4%</w:t>
            </w:r>
          </w:p>
        </w:tc>
        <w:tc>
          <w:tcPr>
            <w:tcW w:w="916" w:type="dxa"/>
          </w:tcPr>
          <w:p w:rsidR="00B4377F" w:rsidRDefault="00D7291E">
            <w:pPr>
              <w:pStyle w:val="TableParagraph"/>
              <w:ind w:left="54" w:right="55"/>
              <w:rPr>
                <w:sz w:val="16"/>
              </w:rPr>
            </w:pPr>
            <w:r>
              <w:rPr>
                <w:sz w:val="16"/>
              </w:rPr>
              <w:t>28.3%</w:t>
            </w:r>
          </w:p>
        </w:tc>
        <w:tc>
          <w:tcPr>
            <w:tcW w:w="1059" w:type="dxa"/>
          </w:tcPr>
          <w:p w:rsidR="00B4377F" w:rsidRDefault="00D7291E">
            <w:pPr>
              <w:pStyle w:val="TableParagraph"/>
              <w:ind w:left="266" w:right="266"/>
              <w:rPr>
                <w:sz w:val="16"/>
              </w:rPr>
            </w:pPr>
            <w:r>
              <w:rPr>
                <w:sz w:val="16"/>
              </w:rPr>
              <w:t>12.0%</w:t>
            </w:r>
          </w:p>
        </w:tc>
        <w:tc>
          <w:tcPr>
            <w:tcW w:w="980" w:type="dxa"/>
          </w:tcPr>
          <w:p w:rsidR="00B4377F" w:rsidRDefault="00D7291E">
            <w:pPr>
              <w:pStyle w:val="TableParagraph"/>
              <w:ind w:right="288"/>
              <w:jc w:val="right"/>
              <w:rPr>
                <w:sz w:val="16"/>
              </w:rPr>
            </w:pPr>
            <w:r>
              <w:rPr>
                <w:sz w:val="16"/>
              </w:rPr>
              <w:t>0.1%</w:t>
            </w:r>
          </w:p>
        </w:tc>
        <w:tc>
          <w:tcPr>
            <w:tcW w:w="817" w:type="dxa"/>
          </w:tcPr>
          <w:p w:rsidR="00B4377F" w:rsidRDefault="00D7291E">
            <w:pPr>
              <w:pStyle w:val="TableParagraph"/>
              <w:ind w:left="149" w:right="150"/>
              <w:rPr>
                <w:sz w:val="16"/>
              </w:rPr>
            </w:pPr>
            <w:r>
              <w:rPr>
                <w:sz w:val="16"/>
              </w:rPr>
              <w:t>0.6%</w:t>
            </w:r>
          </w:p>
        </w:tc>
        <w:tc>
          <w:tcPr>
            <w:tcW w:w="934" w:type="dxa"/>
          </w:tcPr>
          <w:p w:rsidR="00B4377F" w:rsidRDefault="00D7291E">
            <w:pPr>
              <w:pStyle w:val="TableParagraph"/>
              <w:ind w:left="55" w:right="55"/>
              <w:rPr>
                <w:sz w:val="16"/>
              </w:rPr>
            </w:pPr>
            <w:r>
              <w:rPr>
                <w:sz w:val="16"/>
              </w:rPr>
              <w:t>8.8%</w:t>
            </w:r>
          </w:p>
        </w:tc>
      </w:tr>
      <w:tr w:rsidR="00B4377F">
        <w:trPr>
          <w:trHeight w:hRule="exact" w:val="304"/>
        </w:trPr>
        <w:tc>
          <w:tcPr>
            <w:tcW w:w="1030" w:type="dxa"/>
          </w:tcPr>
          <w:p w:rsidR="00B4377F" w:rsidRDefault="00D7291E">
            <w:pPr>
              <w:pStyle w:val="TableParagraph"/>
              <w:ind w:left="197" w:right="197"/>
              <w:rPr>
                <w:sz w:val="16"/>
              </w:rPr>
            </w:pPr>
            <w:r>
              <w:rPr>
                <w:sz w:val="16"/>
              </w:rPr>
              <w:t>FY 2013</w:t>
            </w:r>
          </w:p>
        </w:tc>
        <w:tc>
          <w:tcPr>
            <w:tcW w:w="954" w:type="dxa"/>
          </w:tcPr>
          <w:p w:rsidR="00B4377F" w:rsidRDefault="00D7291E">
            <w:pPr>
              <w:pStyle w:val="TableParagraph"/>
              <w:ind w:left="204" w:right="204"/>
              <w:rPr>
                <w:sz w:val="16"/>
              </w:rPr>
            </w:pPr>
            <w:r>
              <w:rPr>
                <w:sz w:val="16"/>
              </w:rPr>
              <w:t>24,245</w:t>
            </w:r>
          </w:p>
        </w:tc>
        <w:tc>
          <w:tcPr>
            <w:tcW w:w="1143" w:type="dxa"/>
          </w:tcPr>
          <w:p w:rsidR="00B4377F" w:rsidRDefault="00D7291E">
            <w:pPr>
              <w:pStyle w:val="TableParagraph"/>
              <w:ind w:left="308" w:right="308"/>
              <w:rPr>
                <w:sz w:val="16"/>
              </w:rPr>
            </w:pPr>
            <w:r>
              <w:rPr>
                <w:sz w:val="16"/>
              </w:rPr>
              <w:t>40.5%</w:t>
            </w:r>
          </w:p>
        </w:tc>
        <w:tc>
          <w:tcPr>
            <w:tcW w:w="1085" w:type="dxa"/>
          </w:tcPr>
          <w:p w:rsidR="00B4377F" w:rsidRDefault="00D7291E">
            <w:pPr>
              <w:pStyle w:val="TableParagraph"/>
              <w:ind w:left="322" w:right="323"/>
              <w:rPr>
                <w:sz w:val="16"/>
              </w:rPr>
            </w:pPr>
            <w:r>
              <w:rPr>
                <w:sz w:val="16"/>
              </w:rPr>
              <w:t>2.6%</w:t>
            </w:r>
          </w:p>
        </w:tc>
        <w:tc>
          <w:tcPr>
            <w:tcW w:w="964" w:type="dxa"/>
          </w:tcPr>
          <w:p w:rsidR="00B4377F" w:rsidRDefault="00D7291E">
            <w:pPr>
              <w:pStyle w:val="TableParagraph"/>
              <w:ind w:left="281"/>
              <w:jc w:val="left"/>
              <w:rPr>
                <w:sz w:val="16"/>
              </w:rPr>
            </w:pPr>
            <w:r>
              <w:rPr>
                <w:sz w:val="16"/>
              </w:rPr>
              <w:t>1.9%</w:t>
            </w:r>
          </w:p>
        </w:tc>
        <w:tc>
          <w:tcPr>
            <w:tcW w:w="1677" w:type="dxa"/>
          </w:tcPr>
          <w:p w:rsidR="00B4377F" w:rsidRDefault="00D7291E">
            <w:pPr>
              <w:pStyle w:val="TableParagraph"/>
              <w:ind w:left="618" w:right="619"/>
              <w:rPr>
                <w:sz w:val="16"/>
              </w:rPr>
            </w:pPr>
            <w:r>
              <w:rPr>
                <w:sz w:val="16"/>
              </w:rPr>
              <w:t>0.0%</w:t>
            </w:r>
          </w:p>
        </w:tc>
        <w:tc>
          <w:tcPr>
            <w:tcW w:w="1034" w:type="dxa"/>
          </w:tcPr>
          <w:p w:rsidR="00B4377F" w:rsidRDefault="00D7291E">
            <w:pPr>
              <w:pStyle w:val="TableParagraph"/>
              <w:ind w:left="55" w:right="55"/>
              <w:rPr>
                <w:sz w:val="16"/>
              </w:rPr>
            </w:pPr>
            <w:r>
              <w:rPr>
                <w:sz w:val="16"/>
              </w:rPr>
              <w:t>0.0%</w:t>
            </w:r>
          </w:p>
        </w:tc>
        <w:tc>
          <w:tcPr>
            <w:tcW w:w="1349" w:type="dxa"/>
          </w:tcPr>
          <w:p w:rsidR="00B4377F" w:rsidRDefault="00D7291E">
            <w:pPr>
              <w:pStyle w:val="TableParagraph"/>
              <w:ind w:left="473"/>
              <w:jc w:val="left"/>
              <w:rPr>
                <w:sz w:val="16"/>
              </w:rPr>
            </w:pPr>
            <w:r>
              <w:rPr>
                <w:sz w:val="16"/>
              </w:rPr>
              <w:t>6.7%</w:t>
            </w:r>
          </w:p>
        </w:tc>
        <w:tc>
          <w:tcPr>
            <w:tcW w:w="916" w:type="dxa"/>
          </w:tcPr>
          <w:p w:rsidR="00B4377F" w:rsidRDefault="00D7291E">
            <w:pPr>
              <w:pStyle w:val="TableParagraph"/>
              <w:ind w:left="54" w:right="55"/>
              <w:rPr>
                <w:sz w:val="16"/>
              </w:rPr>
            </w:pPr>
            <w:r>
              <w:rPr>
                <w:sz w:val="16"/>
              </w:rPr>
              <w:t>28.0%</w:t>
            </w:r>
          </w:p>
        </w:tc>
        <w:tc>
          <w:tcPr>
            <w:tcW w:w="1059" w:type="dxa"/>
          </w:tcPr>
          <w:p w:rsidR="00B4377F" w:rsidRDefault="00D7291E">
            <w:pPr>
              <w:pStyle w:val="TableParagraph"/>
              <w:ind w:left="266" w:right="266"/>
              <w:rPr>
                <w:sz w:val="16"/>
              </w:rPr>
            </w:pPr>
            <w:r>
              <w:rPr>
                <w:sz w:val="16"/>
              </w:rPr>
              <w:t>11.1%</w:t>
            </w:r>
          </w:p>
        </w:tc>
        <w:tc>
          <w:tcPr>
            <w:tcW w:w="980" w:type="dxa"/>
          </w:tcPr>
          <w:p w:rsidR="00B4377F" w:rsidRDefault="00D7291E">
            <w:pPr>
              <w:pStyle w:val="TableParagraph"/>
              <w:ind w:right="288"/>
              <w:jc w:val="right"/>
              <w:rPr>
                <w:sz w:val="16"/>
              </w:rPr>
            </w:pPr>
            <w:r>
              <w:rPr>
                <w:sz w:val="16"/>
              </w:rPr>
              <w:t>0.1%</w:t>
            </w:r>
          </w:p>
        </w:tc>
        <w:tc>
          <w:tcPr>
            <w:tcW w:w="817" w:type="dxa"/>
          </w:tcPr>
          <w:p w:rsidR="00B4377F" w:rsidRDefault="00D7291E">
            <w:pPr>
              <w:pStyle w:val="TableParagraph"/>
              <w:ind w:left="149" w:right="150"/>
              <w:rPr>
                <w:sz w:val="16"/>
              </w:rPr>
            </w:pPr>
            <w:r>
              <w:rPr>
                <w:sz w:val="16"/>
              </w:rPr>
              <w:t>0.4%</w:t>
            </w:r>
          </w:p>
        </w:tc>
        <w:tc>
          <w:tcPr>
            <w:tcW w:w="934" w:type="dxa"/>
          </w:tcPr>
          <w:p w:rsidR="00B4377F" w:rsidRDefault="00D7291E">
            <w:pPr>
              <w:pStyle w:val="TableParagraph"/>
              <w:ind w:left="55" w:right="55"/>
              <w:rPr>
                <w:sz w:val="16"/>
              </w:rPr>
            </w:pPr>
            <w:r>
              <w:rPr>
                <w:sz w:val="16"/>
              </w:rPr>
              <w:t>8.7%</w:t>
            </w:r>
          </w:p>
        </w:tc>
      </w:tr>
      <w:tr w:rsidR="00B4377F">
        <w:trPr>
          <w:trHeight w:hRule="exact" w:val="304"/>
        </w:trPr>
        <w:tc>
          <w:tcPr>
            <w:tcW w:w="1030" w:type="dxa"/>
          </w:tcPr>
          <w:p w:rsidR="00B4377F" w:rsidRDefault="00D7291E">
            <w:pPr>
              <w:pStyle w:val="TableParagraph"/>
              <w:ind w:left="197" w:right="197"/>
              <w:rPr>
                <w:sz w:val="16"/>
              </w:rPr>
            </w:pPr>
            <w:r>
              <w:rPr>
                <w:sz w:val="16"/>
              </w:rPr>
              <w:t>FY 2014</w:t>
            </w:r>
          </w:p>
        </w:tc>
        <w:tc>
          <w:tcPr>
            <w:tcW w:w="954" w:type="dxa"/>
          </w:tcPr>
          <w:p w:rsidR="00B4377F" w:rsidRDefault="00D7291E">
            <w:pPr>
              <w:pStyle w:val="TableParagraph"/>
              <w:ind w:left="204" w:right="204"/>
              <w:rPr>
                <w:sz w:val="16"/>
              </w:rPr>
            </w:pPr>
            <w:r>
              <w:rPr>
                <w:sz w:val="16"/>
              </w:rPr>
              <w:t>23,554</w:t>
            </w:r>
          </w:p>
        </w:tc>
        <w:tc>
          <w:tcPr>
            <w:tcW w:w="1143" w:type="dxa"/>
          </w:tcPr>
          <w:p w:rsidR="00B4377F" w:rsidRDefault="00D7291E">
            <w:pPr>
              <w:pStyle w:val="TableParagraph"/>
              <w:ind w:left="308" w:right="308"/>
              <w:rPr>
                <w:sz w:val="16"/>
              </w:rPr>
            </w:pPr>
            <w:r>
              <w:rPr>
                <w:sz w:val="16"/>
              </w:rPr>
              <w:t>42.5%</w:t>
            </w:r>
          </w:p>
        </w:tc>
        <w:tc>
          <w:tcPr>
            <w:tcW w:w="1085" w:type="dxa"/>
          </w:tcPr>
          <w:p w:rsidR="00B4377F" w:rsidRDefault="00D7291E">
            <w:pPr>
              <w:pStyle w:val="TableParagraph"/>
              <w:ind w:left="322" w:right="323"/>
              <w:rPr>
                <w:sz w:val="16"/>
              </w:rPr>
            </w:pPr>
            <w:r>
              <w:rPr>
                <w:sz w:val="16"/>
              </w:rPr>
              <w:t>2.2%</w:t>
            </w:r>
          </w:p>
        </w:tc>
        <w:tc>
          <w:tcPr>
            <w:tcW w:w="964" w:type="dxa"/>
          </w:tcPr>
          <w:p w:rsidR="00B4377F" w:rsidRDefault="00D7291E">
            <w:pPr>
              <w:pStyle w:val="TableParagraph"/>
              <w:ind w:left="281"/>
              <w:jc w:val="left"/>
              <w:rPr>
                <w:sz w:val="16"/>
              </w:rPr>
            </w:pPr>
            <w:r>
              <w:rPr>
                <w:sz w:val="16"/>
              </w:rPr>
              <w:t>1.7%</w:t>
            </w:r>
          </w:p>
        </w:tc>
        <w:tc>
          <w:tcPr>
            <w:tcW w:w="1677" w:type="dxa"/>
          </w:tcPr>
          <w:p w:rsidR="00B4377F" w:rsidRDefault="00D7291E">
            <w:pPr>
              <w:pStyle w:val="TableParagraph"/>
              <w:ind w:left="618" w:right="619"/>
              <w:rPr>
                <w:sz w:val="16"/>
              </w:rPr>
            </w:pPr>
            <w:r>
              <w:rPr>
                <w:sz w:val="16"/>
              </w:rPr>
              <w:t>0.0%</w:t>
            </w:r>
          </w:p>
        </w:tc>
        <w:tc>
          <w:tcPr>
            <w:tcW w:w="1034" w:type="dxa"/>
          </w:tcPr>
          <w:p w:rsidR="00B4377F" w:rsidRDefault="00D7291E">
            <w:pPr>
              <w:pStyle w:val="TableParagraph"/>
              <w:ind w:left="55" w:right="55"/>
              <w:rPr>
                <w:sz w:val="16"/>
              </w:rPr>
            </w:pPr>
            <w:r>
              <w:rPr>
                <w:sz w:val="16"/>
              </w:rPr>
              <w:t>0.0%</w:t>
            </w:r>
          </w:p>
        </w:tc>
        <w:tc>
          <w:tcPr>
            <w:tcW w:w="1349" w:type="dxa"/>
          </w:tcPr>
          <w:p w:rsidR="00B4377F" w:rsidRDefault="00D7291E">
            <w:pPr>
              <w:pStyle w:val="TableParagraph"/>
              <w:ind w:left="473"/>
              <w:jc w:val="left"/>
              <w:rPr>
                <w:sz w:val="16"/>
              </w:rPr>
            </w:pPr>
            <w:r>
              <w:rPr>
                <w:sz w:val="16"/>
              </w:rPr>
              <w:t>7.1%</w:t>
            </w:r>
          </w:p>
        </w:tc>
        <w:tc>
          <w:tcPr>
            <w:tcW w:w="916" w:type="dxa"/>
          </w:tcPr>
          <w:p w:rsidR="00B4377F" w:rsidRDefault="00D7291E">
            <w:pPr>
              <w:pStyle w:val="TableParagraph"/>
              <w:ind w:left="54" w:right="55"/>
              <w:rPr>
                <w:sz w:val="16"/>
              </w:rPr>
            </w:pPr>
            <w:r>
              <w:rPr>
                <w:sz w:val="16"/>
              </w:rPr>
              <w:t>24.7%</w:t>
            </w:r>
          </w:p>
        </w:tc>
        <w:tc>
          <w:tcPr>
            <w:tcW w:w="1059" w:type="dxa"/>
          </w:tcPr>
          <w:p w:rsidR="00B4377F" w:rsidRDefault="00D7291E">
            <w:pPr>
              <w:pStyle w:val="TableParagraph"/>
              <w:ind w:left="266" w:right="266"/>
              <w:rPr>
                <w:sz w:val="16"/>
              </w:rPr>
            </w:pPr>
            <w:r>
              <w:rPr>
                <w:sz w:val="16"/>
              </w:rPr>
              <w:t>11.9%</w:t>
            </w:r>
          </w:p>
        </w:tc>
        <w:tc>
          <w:tcPr>
            <w:tcW w:w="980" w:type="dxa"/>
          </w:tcPr>
          <w:p w:rsidR="00B4377F" w:rsidRDefault="00D7291E">
            <w:pPr>
              <w:pStyle w:val="TableParagraph"/>
              <w:ind w:right="288"/>
              <w:jc w:val="right"/>
              <w:rPr>
                <w:sz w:val="16"/>
              </w:rPr>
            </w:pPr>
            <w:r>
              <w:rPr>
                <w:sz w:val="16"/>
              </w:rPr>
              <w:t>0.1%</w:t>
            </w:r>
          </w:p>
        </w:tc>
        <w:tc>
          <w:tcPr>
            <w:tcW w:w="817" w:type="dxa"/>
          </w:tcPr>
          <w:p w:rsidR="00B4377F" w:rsidRDefault="00D7291E">
            <w:pPr>
              <w:pStyle w:val="TableParagraph"/>
              <w:ind w:left="149" w:right="150"/>
              <w:rPr>
                <w:sz w:val="16"/>
              </w:rPr>
            </w:pPr>
            <w:r>
              <w:rPr>
                <w:sz w:val="16"/>
              </w:rPr>
              <w:t>0.5%</w:t>
            </w:r>
          </w:p>
        </w:tc>
        <w:tc>
          <w:tcPr>
            <w:tcW w:w="934" w:type="dxa"/>
          </w:tcPr>
          <w:p w:rsidR="00B4377F" w:rsidRDefault="00D7291E">
            <w:pPr>
              <w:pStyle w:val="TableParagraph"/>
              <w:ind w:left="55" w:right="55"/>
              <w:rPr>
                <w:sz w:val="16"/>
              </w:rPr>
            </w:pPr>
            <w:r>
              <w:rPr>
                <w:sz w:val="16"/>
              </w:rPr>
              <w:t>9.3%</w:t>
            </w:r>
          </w:p>
        </w:tc>
      </w:tr>
      <w:tr w:rsidR="00B4377F">
        <w:trPr>
          <w:trHeight w:hRule="exact" w:val="304"/>
        </w:trPr>
        <w:tc>
          <w:tcPr>
            <w:tcW w:w="1030" w:type="dxa"/>
          </w:tcPr>
          <w:p w:rsidR="00B4377F" w:rsidRDefault="00D7291E">
            <w:pPr>
              <w:pStyle w:val="TableParagraph"/>
              <w:ind w:left="197" w:right="197"/>
              <w:rPr>
                <w:sz w:val="16"/>
              </w:rPr>
            </w:pPr>
            <w:r>
              <w:rPr>
                <w:sz w:val="16"/>
              </w:rPr>
              <w:t>FY 2015</w:t>
            </w:r>
          </w:p>
        </w:tc>
        <w:tc>
          <w:tcPr>
            <w:tcW w:w="954" w:type="dxa"/>
          </w:tcPr>
          <w:p w:rsidR="00B4377F" w:rsidRDefault="00D7291E">
            <w:pPr>
              <w:pStyle w:val="TableParagraph"/>
              <w:ind w:left="204" w:right="204"/>
              <w:rPr>
                <w:sz w:val="16"/>
              </w:rPr>
            </w:pPr>
            <w:r>
              <w:rPr>
                <w:sz w:val="16"/>
              </w:rPr>
              <w:t>21,028</w:t>
            </w:r>
          </w:p>
        </w:tc>
        <w:tc>
          <w:tcPr>
            <w:tcW w:w="1143" w:type="dxa"/>
          </w:tcPr>
          <w:p w:rsidR="00B4377F" w:rsidRDefault="00D7291E">
            <w:pPr>
              <w:pStyle w:val="TableParagraph"/>
              <w:ind w:left="308" w:right="308"/>
              <w:rPr>
                <w:sz w:val="16"/>
              </w:rPr>
            </w:pPr>
            <w:r>
              <w:rPr>
                <w:sz w:val="16"/>
              </w:rPr>
              <w:t>42.9%</w:t>
            </w:r>
          </w:p>
        </w:tc>
        <w:tc>
          <w:tcPr>
            <w:tcW w:w="1085" w:type="dxa"/>
          </w:tcPr>
          <w:p w:rsidR="00B4377F" w:rsidRDefault="00D7291E">
            <w:pPr>
              <w:pStyle w:val="TableParagraph"/>
              <w:ind w:left="322" w:right="323"/>
              <w:rPr>
                <w:sz w:val="16"/>
              </w:rPr>
            </w:pPr>
            <w:r>
              <w:rPr>
                <w:sz w:val="16"/>
              </w:rPr>
              <w:t>2.3%</w:t>
            </w:r>
          </w:p>
        </w:tc>
        <w:tc>
          <w:tcPr>
            <w:tcW w:w="964" w:type="dxa"/>
          </w:tcPr>
          <w:p w:rsidR="00B4377F" w:rsidRDefault="00D7291E">
            <w:pPr>
              <w:pStyle w:val="TableParagraph"/>
              <w:ind w:left="281"/>
              <w:jc w:val="left"/>
              <w:rPr>
                <w:sz w:val="16"/>
              </w:rPr>
            </w:pPr>
            <w:r>
              <w:rPr>
                <w:sz w:val="16"/>
              </w:rPr>
              <w:t>1.8%</w:t>
            </w:r>
          </w:p>
        </w:tc>
        <w:tc>
          <w:tcPr>
            <w:tcW w:w="1677" w:type="dxa"/>
          </w:tcPr>
          <w:p w:rsidR="00B4377F" w:rsidRDefault="00D7291E">
            <w:pPr>
              <w:pStyle w:val="TableParagraph"/>
              <w:ind w:left="618" w:right="619"/>
              <w:rPr>
                <w:sz w:val="16"/>
              </w:rPr>
            </w:pPr>
            <w:r>
              <w:rPr>
                <w:sz w:val="16"/>
              </w:rPr>
              <w:t>0.0%</w:t>
            </w:r>
          </w:p>
        </w:tc>
        <w:tc>
          <w:tcPr>
            <w:tcW w:w="1034" w:type="dxa"/>
          </w:tcPr>
          <w:p w:rsidR="00B4377F" w:rsidRDefault="00D7291E">
            <w:pPr>
              <w:pStyle w:val="TableParagraph"/>
              <w:ind w:left="55" w:right="55"/>
              <w:rPr>
                <w:sz w:val="16"/>
              </w:rPr>
            </w:pPr>
            <w:r>
              <w:rPr>
                <w:sz w:val="16"/>
              </w:rPr>
              <w:t>0.0%</w:t>
            </w:r>
          </w:p>
        </w:tc>
        <w:tc>
          <w:tcPr>
            <w:tcW w:w="1349" w:type="dxa"/>
          </w:tcPr>
          <w:p w:rsidR="00B4377F" w:rsidRDefault="00D7291E">
            <w:pPr>
              <w:pStyle w:val="TableParagraph"/>
              <w:ind w:left="473"/>
              <w:jc w:val="left"/>
              <w:rPr>
                <w:sz w:val="16"/>
              </w:rPr>
            </w:pPr>
            <w:r>
              <w:rPr>
                <w:sz w:val="16"/>
              </w:rPr>
              <w:t>6.3%</w:t>
            </w:r>
          </w:p>
        </w:tc>
        <w:tc>
          <w:tcPr>
            <w:tcW w:w="916" w:type="dxa"/>
          </w:tcPr>
          <w:p w:rsidR="00B4377F" w:rsidRDefault="00D7291E">
            <w:pPr>
              <w:pStyle w:val="TableParagraph"/>
              <w:ind w:left="54" w:right="55"/>
              <w:rPr>
                <w:sz w:val="16"/>
              </w:rPr>
            </w:pPr>
            <w:r>
              <w:rPr>
                <w:sz w:val="16"/>
              </w:rPr>
              <w:t>25.5%</w:t>
            </w:r>
          </w:p>
        </w:tc>
        <w:tc>
          <w:tcPr>
            <w:tcW w:w="1059" w:type="dxa"/>
          </w:tcPr>
          <w:p w:rsidR="00B4377F" w:rsidRDefault="00D7291E">
            <w:pPr>
              <w:pStyle w:val="TableParagraph"/>
              <w:ind w:left="266" w:right="266"/>
              <w:rPr>
                <w:sz w:val="16"/>
              </w:rPr>
            </w:pPr>
            <w:r>
              <w:rPr>
                <w:sz w:val="16"/>
              </w:rPr>
              <w:t>11.6%</w:t>
            </w:r>
          </w:p>
        </w:tc>
        <w:tc>
          <w:tcPr>
            <w:tcW w:w="980" w:type="dxa"/>
          </w:tcPr>
          <w:p w:rsidR="00B4377F" w:rsidRDefault="00D7291E">
            <w:pPr>
              <w:pStyle w:val="TableParagraph"/>
              <w:ind w:right="288"/>
              <w:jc w:val="right"/>
              <w:rPr>
                <w:sz w:val="16"/>
              </w:rPr>
            </w:pPr>
            <w:r>
              <w:rPr>
                <w:sz w:val="16"/>
              </w:rPr>
              <w:t>0.1%</w:t>
            </w:r>
          </w:p>
        </w:tc>
        <w:tc>
          <w:tcPr>
            <w:tcW w:w="817" w:type="dxa"/>
          </w:tcPr>
          <w:p w:rsidR="00B4377F" w:rsidRDefault="00D7291E">
            <w:pPr>
              <w:pStyle w:val="TableParagraph"/>
              <w:ind w:left="149" w:right="150"/>
              <w:rPr>
                <w:sz w:val="16"/>
              </w:rPr>
            </w:pPr>
            <w:r>
              <w:rPr>
                <w:sz w:val="16"/>
              </w:rPr>
              <w:t>0.4%</w:t>
            </w:r>
          </w:p>
        </w:tc>
        <w:tc>
          <w:tcPr>
            <w:tcW w:w="934" w:type="dxa"/>
          </w:tcPr>
          <w:p w:rsidR="00B4377F" w:rsidRDefault="00D7291E">
            <w:pPr>
              <w:pStyle w:val="TableParagraph"/>
              <w:ind w:left="55" w:right="55"/>
              <w:rPr>
                <w:sz w:val="16"/>
              </w:rPr>
            </w:pPr>
            <w:r>
              <w:rPr>
                <w:sz w:val="16"/>
              </w:rPr>
              <w:t>9.1%</w:t>
            </w:r>
          </w:p>
        </w:tc>
      </w:tr>
      <w:tr w:rsidR="00B4377F">
        <w:trPr>
          <w:trHeight w:hRule="exact" w:val="304"/>
        </w:trPr>
        <w:tc>
          <w:tcPr>
            <w:tcW w:w="1030" w:type="dxa"/>
          </w:tcPr>
          <w:p w:rsidR="00B4377F" w:rsidRDefault="00D7291E">
            <w:pPr>
              <w:pStyle w:val="TableParagraph"/>
              <w:ind w:left="197" w:right="197"/>
              <w:rPr>
                <w:sz w:val="16"/>
              </w:rPr>
            </w:pPr>
            <w:r>
              <w:rPr>
                <w:sz w:val="16"/>
              </w:rPr>
              <w:t>FY 2016</w:t>
            </w:r>
          </w:p>
        </w:tc>
        <w:tc>
          <w:tcPr>
            <w:tcW w:w="954" w:type="dxa"/>
          </w:tcPr>
          <w:p w:rsidR="00B4377F" w:rsidRDefault="00D7291E">
            <w:pPr>
              <w:pStyle w:val="TableParagraph"/>
              <w:ind w:left="204" w:right="204"/>
              <w:rPr>
                <w:sz w:val="16"/>
              </w:rPr>
            </w:pPr>
            <w:r>
              <w:rPr>
                <w:sz w:val="16"/>
              </w:rPr>
              <w:t>19,225</w:t>
            </w:r>
          </w:p>
        </w:tc>
        <w:tc>
          <w:tcPr>
            <w:tcW w:w="1143" w:type="dxa"/>
          </w:tcPr>
          <w:p w:rsidR="00B4377F" w:rsidRDefault="00D7291E">
            <w:pPr>
              <w:pStyle w:val="TableParagraph"/>
              <w:ind w:left="308" w:right="308"/>
              <w:rPr>
                <w:sz w:val="16"/>
              </w:rPr>
            </w:pPr>
            <w:r>
              <w:rPr>
                <w:sz w:val="16"/>
              </w:rPr>
              <w:t>40.4%</w:t>
            </w:r>
          </w:p>
        </w:tc>
        <w:tc>
          <w:tcPr>
            <w:tcW w:w="1085" w:type="dxa"/>
          </w:tcPr>
          <w:p w:rsidR="00B4377F" w:rsidRDefault="00D7291E">
            <w:pPr>
              <w:pStyle w:val="TableParagraph"/>
              <w:ind w:left="322" w:right="323"/>
              <w:rPr>
                <w:sz w:val="16"/>
              </w:rPr>
            </w:pPr>
            <w:r>
              <w:rPr>
                <w:sz w:val="16"/>
              </w:rPr>
              <w:t>2.2%</w:t>
            </w:r>
          </w:p>
        </w:tc>
        <w:tc>
          <w:tcPr>
            <w:tcW w:w="964" w:type="dxa"/>
          </w:tcPr>
          <w:p w:rsidR="00B4377F" w:rsidRDefault="00D7291E">
            <w:pPr>
              <w:pStyle w:val="TableParagraph"/>
              <w:ind w:left="281"/>
              <w:jc w:val="left"/>
              <w:rPr>
                <w:sz w:val="16"/>
              </w:rPr>
            </w:pPr>
            <w:r>
              <w:rPr>
                <w:sz w:val="16"/>
              </w:rPr>
              <w:t>1.8%</w:t>
            </w:r>
          </w:p>
        </w:tc>
        <w:tc>
          <w:tcPr>
            <w:tcW w:w="1677" w:type="dxa"/>
          </w:tcPr>
          <w:p w:rsidR="00B4377F" w:rsidRDefault="00D7291E">
            <w:pPr>
              <w:pStyle w:val="TableParagraph"/>
              <w:ind w:left="618" w:right="619"/>
              <w:rPr>
                <w:sz w:val="16"/>
              </w:rPr>
            </w:pPr>
            <w:r>
              <w:rPr>
                <w:sz w:val="16"/>
              </w:rPr>
              <w:t>0.0%</w:t>
            </w:r>
          </w:p>
        </w:tc>
        <w:tc>
          <w:tcPr>
            <w:tcW w:w="1034" w:type="dxa"/>
          </w:tcPr>
          <w:p w:rsidR="00B4377F" w:rsidRDefault="00D7291E">
            <w:pPr>
              <w:pStyle w:val="TableParagraph"/>
              <w:ind w:left="55" w:right="55"/>
              <w:rPr>
                <w:sz w:val="16"/>
              </w:rPr>
            </w:pPr>
            <w:r>
              <w:rPr>
                <w:sz w:val="16"/>
              </w:rPr>
              <w:t>0.0%</w:t>
            </w:r>
          </w:p>
        </w:tc>
        <w:tc>
          <w:tcPr>
            <w:tcW w:w="1349" w:type="dxa"/>
          </w:tcPr>
          <w:p w:rsidR="00B4377F" w:rsidRDefault="00D7291E">
            <w:pPr>
              <w:pStyle w:val="TableParagraph"/>
              <w:ind w:left="473"/>
              <w:jc w:val="left"/>
              <w:rPr>
                <w:sz w:val="16"/>
              </w:rPr>
            </w:pPr>
            <w:r>
              <w:rPr>
                <w:sz w:val="16"/>
              </w:rPr>
              <w:t>7.1%</w:t>
            </w:r>
          </w:p>
        </w:tc>
        <w:tc>
          <w:tcPr>
            <w:tcW w:w="916" w:type="dxa"/>
          </w:tcPr>
          <w:p w:rsidR="00B4377F" w:rsidRDefault="00D7291E">
            <w:pPr>
              <w:pStyle w:val="TableParagraph"/>
              <w:ind w:left="54" w:right="55"/>
              <w:rPr>
                <w:sz w:val="16"/>
              </w:rPr>
            </w:pPr>
            <w:r>
              <w:rPr>
                <w:sz w:val="16"/>
              </w:rPr>
              <w:t>26.3%</w:t>
            </w:r>
          </w:p>
        </w:tc>
        <w:tc>
          <w:tcPr>
            <w:tcW w:w="1059" w:type="dxa"/>
          </w:tcPr>
          <w:p w:rsidR="00B4377F" w:rsidRDefault="00D7291E">
            <w:pPr>
              <w:pStyle w:val="TableParagraph"/>
              <w:ind w:left="266" w:right="266"/>
              <w:rPr>
                <w:sz w:val="16"/>
              </w:rPr>
            </w:pPr>
            <w:r>
              <w:rPr>
                <w:sz w:val="16"/>
              </w:rPr>
              <w:t>11.6%</w:t>
            </w:r>
          </w:p>
        </w:tc>
        <w:tc>
          <w:tcPr>
            <w:tcW w:w="980" w:type="dxa"/>
          </w:tcPr>
          <w:p w:rsidR="00B4377F" w:rsidRDefault="00D7291E">
            <w:pPr>
              <w:pStyle w:val="TableParagraph"/>
              <w:ind w:right="288"/>
              <w:jc w:val="right"/>
              <w:rPr>
                <w:sz w:val="16"/>
              </w:rPr>
            </w:pPr>
            <w:r>
              <w:rPr>
                <w:sz w:val="16"/>
              </w:rPr>
              <w:t>0.1%</w:t>
            </w:r>
          </w:p>
        </w:tc>
        <w:tc>
          <w:tcPr>
            <w:tcW w:w="817" w:type="dxa"/>
          </w:tcPr>
          <w:p w:rsidR="00B4377F" w:rsidRDefault="00D7291E">
            <w:pPr>
              <w:pStyle w:val="TableParagraph"/>
              <w:ind w:left="149" w:right="150"/>
              <w:rPr>
                <w:sz w:val="16"/>
              </w:rPr>
            </w:pPr>
            <w:r>
              <w:rPr>
                <w:sz w:val="16"/>
              </w:rPr>
              <w:t>1.3%</w:t>
            </w:r>
          </w:p>
        </w:tc>
        <w:tc>
          <w:tcPr>
            <w:tcW w:w="934" w:type="dxa"/>
          </w:tcPr>
          <w:p w:rsidR="00B4377F" w:rsidRDefault="00D7291E">
            <w:pPr>
              <w:pStyle w:val="TableParagraph"/>
              <w:ind w:left="55" w:right="55"/>
              <w:rPr>
                <w:sz w:val="16"/>
              </w:rPr>
            </w:pPr>
            <w:r>
              <w:rPr>
                <w:sz w:val="16"/>
              </w:rPr>
              <w:t>9.4%</w:t>
            </w:r>
          </w:p>
        </w:tc>
      </w:tr>
      <w:tr w:rsidR="00B4377F">
        <w:trPr>
          <w:trHeight w:hRule="exact" w:val="304"/>
        </w:trPr>
        <w:tc>
          <w:tcPr>
            <w:tcW w:w="1030" w:type="dxa"/>
          </w:tcPr>
          <w:p w:rsidR="00B4377F" w:rsidRDefault="00D7291E">
            <w:pPr>
              <w:pStyle w:val="TableParagraph"/>
              <w:ind w:left="197" w:right="197"/>
              <w:rPr>
                <w:sz w:val="16"/>
              </w:rPr>
            </w:pPr>
            <w:r>
              <w:rPr>
                <w:sz w:val="16"/>
              </w:rPr>
              <w:t>FY 2017</w:t>
            </w:r>
          </w:p>
        </w:tc>
        <w:tc>
          <w:tcPr>
            <w:tcW w:w="954" w:type="dxa"/>
          </w:tcPr>
          <w:p w:rsidR="00B4377F" w:rsidRDefault="00D7291E">
            <w:pPr>
              <w:pStyle w:val="TableParagraph"/>
              <w:ind w:left="204" w:right="204"/>
              <w:rPr>
                <w:sz w:val="16"/>
              </w:rPr>
            </w:pPr>
            <w:r>
              <w:rPr>
                <w:sz w:val="16"/>
              </w:rPr>
              <w:t>16,566</w:t>
            </w:r>
          </w:p>
        </w:tc>
        <w:tc>
          <w:tcPr>
            <w:tcW w:w="1143" w:type="dxa"/>
          </w:tcPr>
          <w:p w:rsidR="00B4377F" w:rsidRDefault="00D7291E">
            <w:pPr>
              <w:pStyle w:val="TableParagraph"/>
              <w:ind w:left="308" w:right="308"/>
              <w:rPr>
                <w:sz w:val="16"/>
              </w:rPr>
            </w:pPr>
            <w:r>
              <w:rPr>
                <w:sz w:val="16"/>
              </w:rPr>
              <w:t>37.6%</w:t>
            </w:r>
          </w:p>
        </w:tc>
        <w:tc>
          <w:tcPr>
            <w:tcW w:w="1085" w:type="dxa"/>
          </w:tcPr>
          <w:p w:rsidR="00B4377F" w:rsidRDefault="00D7291E">
            <w:pPr>
              <w:pStyle w:val="TableParagraph"/>
              <w:ind w:left="322" w:right="323"/>
              <w:rPr>
                <w:sz w:val="16"/>
              </w:rPr>
            </w:pPr>
            <w:r>
              <w:rPr>
                <w:sz w:val="16"/>
              </w:rPr>
              <w:t>2.0%</w:t>
            </w:r>
          </w:p>
        </w:tc>
        <w:tc>
          <w:tcPr>
            <w:tcW w:w="964" w:type="dxa"/>
          </w:tcPr>
          <w:p w:rsidR="00B4377F" w:rsidRDefault="00D7291E">
            <w:pPr>
              <w:pStyle w:val="TableParagraph"/>
              <w:ind w:left="281"/>
              <w:jc w:val="left"/>
              <w:rPr>
                <w:sz w:val="16"/>
              </w:rPr>
            </w:pPr>
            <w:r>
              <w:rPr>
                <w:sz w:val="16"/>
              </w:rPr>
              <w:t>1.8%</w:t>
            </w:r>
          </w:p>
        </w:tc>
        <w:tc>
          <w:tcPr>
            <w:tcW w:w="1677" w:type="dxa"/>
          </w:tcPr>
          <w:p w:rsidR="00B4377F" w:rsidRDefault="00D7291E">
            <w:pPr>
              <w:pStyle w:val="TableParagraph"/>
              <w:ind w:left="618" w:right="619"/>
              <w:rPr>
                <w:sz w:val="16"/>
              </w:rPr>
            </w:pPr>
            <w:r>
              <w:rPr>
                <w:sz w:val="16"/>
              </w:rPr>
              <w:t>2.3%</w:t>
            </w:r>
          </w:p>
        </w:tc>
        <w:tc>
          <w:tcPr>
            <w:tcW w:w="1034" w:type="dxa"/>
          </w:tcPr>
          <w:p w:rsidR="00B4377F" w:rsidRDefault="00D7291E">
            <w:pPr>
              <w:pStyle w:val="TableParagraph"/>
              <w:ind w:left="55" w:right="55"/>
              <w:rPr>
                <w:sz w:val="16"/>
              </w:rPr>
            </w:pPr>
            <w:r>
              <w:rPr>
                <w:sz w:val="16"/>
              </w:rPr>
              <w:t>0.0%</w:t>
            </w:r>
          </w:p>
        </w:tc>
        <w:tc>
          <w:tcPr>
            <w:tcW w:w="1349" w:type="dxa"/>
          </w:tcPr>
          <w:p w:rsidR="00B4377F" w:rsidRDefault="00D7291E">
            <w:pPr>
              <w:pStyle w:val="TableParagraph"/>
              <w:ind w:left="473"/>
              <w:jc w:val="left"/>
              <w:rPr>
                <w:sz w:val="16"/>
              </w:rPr>
            </w:pPr>
            <w:r>
              <w:rPr>
                <w:sz w:val="16"/>
              </w:rPr>
              <w:t>7.2%</w:t>
            </w:r>
          </w:p>
        </w:tc>
        <w:tc>
          <w:tcPr>
            <w:tcW w:w="916" w:type="dxa"/>
          </w:tcPr>
          <w:p w:rsidR="00B4377F" w:rsidRDefault="00D7291E">
            <w:pPr>
              <w:pStyle w:val="TableParagraph"/>
              <w:ind w:left="54" w:right="55"/>
              <w:rPr>
                <w:sz w:val="16"/>
              </w:rPr>
            </w:pPr>
            <w:r>
              <w:rPr>
                <w:sz w:val="16"/>
              </w:rPr>
              <w:t>26.4%</w:t>
            </w:r>
          </w:p>
        </w:tc>
        <w:tc>
          <w:tcPr>
            <w:tcW w:w="1059" w:type="dxa"/>
          </w:tcPr>
          <w:p w:rsidR="00B4377F" w:rsidRDefault="00D7291E">
            <w:pPr>
              <w:pStyle w:val="TableParagraph"/>
              <w:ind w:left="266" w:right="266"/>
              <w:rPr>
                <w:sz w:val="16"/>
              </w:rPr>
            </w:pPr>
            <w:r>
              <w:rPr>
                <w:sz w:val="16"/>
              </w:rPr>
              <w:t>11.4%</w:t>
            </w:r>
          </w:p>
        </w:tc>
        <w:tc>
          <w:tcPr>
            <w:tcW w:w="980" w:type="dxa"/>
          </w:tcPr>
          <w:p w:rsidR="00B4377F" w:rsidRDefault="00D7291E">
            <w:pPr>
              <w:pStyle w:val="TableParagraph"/>
              <w:ind w:right="288"/>
              <w:jc w:val="right"/>
              <w:rPr>
                <w:sz w:val="16"/>
              </w:rPr>
            </w:pPr>
            <w:r>
              <w:rPr>
                <w:sz w:val="16"/>
              </w:rPr>
              <w:t>0.2%</w:t>
            </w:r>
          </w:p>
        </w:tc>
        <w:tc>
          <w:tcPr>
            <w:tcW w:w="817" w:type="dxa"/>
          </w:tcPr>
          <w:p w:rsidR="00B4377F" w:rsidRDefault="00D7291E">
            <w:pPr>
              <w:pStyle w:val="TableParagraph"/>
              <w:ind w:left="149" w:right="150"/>
              <w:rPr>
                <w:sz w:val="16"/>
              </w:rPr>
            </w:pPr>
            <w:r>
              <w:rPr>
                <w:sz w:val="16"/>
              </w:rPr>
              <w:t>2.3%</w:t>
            </w:r>
          </w:p>
        </w:tc>
        <w:tc>
          <w:tcPr>
            <w:tcW w:w="934" w:type="dxa"/>
          </w:tcPr>
          <w:p w:rsidR="00B4377F" w:rsidRDefault="00D7291E">
            <w:pPr>
              <w:pStyle w:val="TableParagraph"/>
              <w:ind w:left="55" w:right="55"/>
              <w:rPr>
                <w:sz w:val="16"/>
              </w:rPr>
            </w:pPr>
            <w:r>
              <w:rPr>
                <w:sz w:val="16"/>
              </w:rPr>
              <w:t>8.8%</w:t>
            </w:r>
          </w:p>
        </w:tc>
      </w:tr>
    </w:tbl>
    <w:p w:rsidR="00B4377F" w:rsidRDefault="00650F6A">
      <w:pPr>
        <w:pStyle w:val="ListParagraph"/>
        <w:numPr>
          <w:ilvl w:val="0"/>
          <w:numId w:val="2"/>
        </w:numPr>
        <w:tabs>
          <w:tab w:val="left" w:pos="284"/>
        </w:tabs>
        <w:spacing w:before="75"/>
        <w:ind w:firstLine="0"/>
        <w:rPr>
          <w:i/>
          <w:sz w:val="16"/>
        </w:rPr>
      </w:pPr>
      <w:r>
        <w:pict>
          <v:group id="_x0000_s1032" style="position:absolute;left:0;text-align:left;margin-left:36pt;margin-top:36pt;width:705.6pt;height:91.5pt;z-index:-44608;mso-position-horizontal-relative:page;mso-position-vertical-relative:page" coordorigin="720,720" coordsize="14112,1830">
            <v:shape id="_x0000_s1036" type="#_x0000_t75" style="position:absolute;left:960;top:810;width:1619;height:1650">
              <v:imagedata r:id="rId8" o:title=""/>
            </v:shape>
            <v:shape id="_x0000_s1035" type="#_x0000_t75" style="position:absolute;left:11892;top:810;width:2850;height:1650">
              <v:imagedata r:id="rId9" o:title=""/>
            </v:shape>
            <v:rect id="_x0000_s1034" style="position:absolute;left:788;top:787;width:13977;height:1695" filled="f" strokecolor="navy" strokeweight="2.25pt"/>
            <v:rect id="_x0000_s1033" style="position:absolute;left:743;top:742;width:14067;height:1785" filled="f" strokecolor="green" strokeweight="2.25pt"/>
            <w10:wrap anchorx="page" anchory="page"/>
          </v:group>
        </w:pict>
      </w:r>
      <w:r w:rsidR="00D7291E">
        <w:rPr>
          <w:i/>
          <w:sz w:val="16"/>
        </w:rPr>
        <w:t>The</w:t>
      </w:r>
      <w:r w:rsidR="00D7291E">
        <w:rPr>
          <w:i/>
          <w:spacing w:val="-2"/>
          <w:sz w:val="16"/>
        </w:rPr>
        <w:t xml:space="preserve"> </w:t>
      </w:r>
      <w:r w:rsidR="00D7291E">
        <w:rPr>
          <w:i/>
          <w:sz w:val="16"/>
        </w:rPr>
        <w:t>total</w:t>
      </w:r>
      <w:r w:rsidR="00D7291E">
        <w:rPr>
          <w:i/>
          <w:spacing w:val="-2"/>
          <w:sz w:val="16"/>
        </w:rPr>
        <w:t xml:space="preserve"> </w:t>
      </w:r>
      <w:r w:rsidR="00D7291E">
        <w:rPr>
          <w:i/>
          <w:sz w:val="16"/>
        </w:rPr>
        <w:t>admissions</w:t>
      </w:r>
      <w:r w:rsidR="00D7291E">
        <w:rPr>
          <w:i/>
          <w:spacing w:val="-3"/>
          <w:sz w:val="16"/>
        </w:rPr>
        <w:t xml:space="preserve"> </w:t>
      </w:r>
      <w:r w:rsidR="00D7291E">
        <w:rPr>
          <w:i/>
          <w:sz w:val="16"/>
        </w:rPr>
        <w:t>reported</w:t>
      </w:r>
      <w:r w:rsidR="00D7291E">
        <w:rPr>
          <w:i/>
          <w:spacing w:val="-2"/>
          <w:sz w:val="16"/>
        </w:rPr>
        <w:t xml:space="preserve"> </w:t>
      </w:r>
      <w:r w:rsidR="00D7291E">
        <w:rPr>
          <w:i/>
          <w:sz w:val="16"/>
        </w:rPr>
        <w:t>in</w:t>
      </w:r>
      <w:r w:rsidR="00D7291E">
        <w:rPr>
          <w:i/>
          <w:spacing w:val="-2"/>
          <w:sz w:val="16"/>
        </w:rPr>
        <w:t xml:space="preserve"> </w:t>
      </w:r>
      <w:r w:rsidR="00D7291E">
        <w:rPr>
          <w:i/>
          <w:sz w:val="16"/>
        </w:rPr>
        <w:t>this</w:t>
      </w:r>
      <w:r w:rsidR="00D7291E">
        <w:rPr>
          <w:i/>
          <w:spacing w:val="-2"/>
          <w:sz w:val="16"/>
        </w:rPr>
        <w:t xml:space="preserve"> </w:t>
      </w:r>
      <w:r w:rsidR="00D7291E">
        <w:rPr>
          <w:i/>
          <w:sz w:val="16"/>
        </w:rPr>
        <w:t>table</w:t>
      </w:r>
      <w:r w:rsidR="00D7291E">
        <w:rPr>
          <w:i/>
          <w:spacing w:val="-2"/>
          <w:sz w:val="16"/>
        </w:rPr>
        <w:t xml:space="preserve"> </w:t>
      </w:r>
      <w:r w:rsidR="00D7291E">
        <w:rPr>
          <w:i/>
          <w:sz w:val="16"/>
        </w:rPr>
        <w:t>may</w:t>
      </w:r>
      <w:r w:rsidR="00D7291E">
        <w:rPr>
          <w:i/>
          <w:spacing w:val="-2"/>
          <w:sz w:val="16"/>
        </w:rPr>
        <w:t xml:space="preserve"> </w:t>
      </w:r>
      <w:r w:rsidR="00D7291E">
        <w:rPr>
          <w:i/>
          <w:sz w:val="16"/>
        </w:rPr>
        <w:t>vary</w:t>
      </w:r>
      <w:r w:rsidR="00D7291E">
        <w:rPr>
          <w:i/>
          <w:spacing w:val="-2"/>
          <w:sz w:val="16"/>
        </w:rPr>
        <w:t xml:space="preserve"> </w:t>
      </w:r>
      <w:r w:rsidR="00D7291E">
        <w:rPr>
          <w:i/>
          <w:sz w:val="16"/>
        </w:rPr>
        <w:t>from</w:t>
      </w:r>
      <w:r w:rsidR="00D7291E">
        <w:rPr>
          <w:i/>
          <w:spacing w:val="-2"/>
          <w:sz w:val="16"/>
        </w:rPr>
        <w:t xml:space="preserve"> </w:t>
      </w:r>
      <w:r w:rsidR="00D7291E">
        <w:rPr>
          <w:i/>
          <w:sz w:val="16"/>
        </w:rPr>
        <w:t>the</w:t>
      </w:r>
      <w:r w:rsidR="00D7291E">
        <w:rPr>
          <w:i/>
          <w:spacing w:val="-2"/>
          <w:sz w:val="16"/>
        </w:rPr>
        <w:t xml:space="preserve"> </w:t>
      </w:r>
      <w:r w:rsidR="00D7291E">
        <w:rPr>
          <w:i/>
          <w:sz w:val="16"/>
        </w:rPr>
        <w:t>total</w:t>
      </w:r>
      <w:r w:rsidR="00D7291E">
        <w:rPr>
          <w:i/>
          <w:spacing w:val="-2"/>
          <w:sz w:val="16"/>
        </w:rPr>
        <w:t xml:space="preserve"> </w:t>
      </w:r>
      <w:r w:rsidR="00D7291E">
        <w:rPr>
          <w:i/>
          <w:sz w:val="16"/>
        </w:rPr>
        <w:t>admissions</w:t>
      </w:r>
      <w:r w:rsidR="00D7291E">
        <w:rPr>
          <w:i/>
          <w:spacing w:val="-3"/>
          <w:sz w:val="16"/>
        </w:rPr>
        <w:t xml:space="preserve"> </w:t>
      </w:r>
      <w:r w:rsidR="00D7291E">
        <w:rPr>
          <w:i/>
          <w:sz w:val="16"/>
        </w:rPr>
        <w:t>for</w:t>
      </w:r>
      <w:r w:rsidR="00D7291E">
        <w:rPr>
          <w:i/>
          <w:spacing w:val="-3"/>
          <w:sz w:val="16"/>
        </w:rPr>
        <w:t xml:space="preserve"> </w:t>
      </w:r>
      <w:r w:rsidR="00D7291E">
        <w:rPr>
          <w:i/>
          <w:sz w:val="16"/>
        </w:rPr>
        <w:t>young</w:t>
      </w:r>
      <w:r w:rsidR="00D7291E">
        <w:rPr>
          <w:i/>
          <w:spacing w:val="-2"/>
          <w:sz w:val="16"/>
        </w:rPr>
        <w:t xml:space="preserve"> </w:t>
      </w:r>
      <w:r w:rsidR="00D7291E">
        <w:rPr>
          <w:i/>
          <w:sz w:val="16"/>
        </w:rPr>
        <w:t>adults;</w:t>
      </w:r>
      <w:r w:rsidR="00D7291E">
        <w:rPr>
          <w:i/>
          <w:spacing w:val="-2"/>
          <w:sz w:val="16"/>
        </w:rPr>
        <w:t xml:space="preserve"> </w:t>
      </w:r>
      <w:r w:rsidR="00D7291E">
        <w:rPr>
          <w:i/>
          <w:sz w:val="16"/>
        </w:rPr>
        <w:t>for</w:t>
      </w:r>
      <w:r w:rsidR="00D7291E">
        <w:rPr>
          <w:i/>
          <w:spacing w:val="-2"/>
          <w:sz w:val="16"/>
        </w:rPr>
        <w:t xml:space="preserve"> </w:t>
      </w:r>
      <w:r w:rsidR="00D7291E">
        <w:rPr>
          <w:i/>
          <w:sz w:val="16"/>
        </w:rPr>
        <w:t>additional</w:t>
      </w:r>
      <w:r w:rsidR="00D7291E">
        <w:rPr>
          <w:i/>
          <w:spacing w:val="-2"/>
          <w:sz w:val="16"/>
        </w:rPr>
        <w:t xml:space="preserve"> </w:t>
      </w:r>
      <w:r w:rsidR="00D7291E">
        <w:rPr>
          <w:i/>
          <w:sz w:val="16"/>
        </w:rPr>
        <w:t>information,</w:t>
      </w:r>
      <w:r w:rsidR="00D7291E">
        <w:rPr>
          <w:i/>
          <w:spacing w:val="-4"/>
          <w:sz w:val="16"/>
        </w:rPr>
        <w:t xml:space="preserve"> </w:t>
      </w:r>
      <w:r w:rsidR="00D7291E">
        <w:rPr>
          <w:i/>
          <w:sz w:val="16"/>
        </w:rPr>
        <w:t>please</w:t>
      </w:r>
      <w:r w:rsidR="00D7291E">
        <w:rPr>
          <w:i/>
          <w:spacing w:val="-3"/>
          <w:sz w:val="16"/>
        </w:rPr>
        <w:t xml:space="preserve"> </w:t>
      </w:r>
      <w:r w:rsidR="00D7291E">
        <w:rPr>
          <w:i/>
          <w:sz w:val="16"/>
        </w:rPr>
        <w:t>refer</w:t>
      </w:r>
      <w:r w:rsidR="00D7291E">
        <w:rPr>
          <w:i/>
          <w:spacing w:val="-2"/>
          <w:sz w:val="16"/>
        </w:rPr>
        <w:t xml:space="preserve"> </w:t>
      </w:r>
      <w:r w:rsidR="00D7291E">
        <w:rPr>
          <w:i/>
          <w:sz w:val="16"/>
        </w:rPr>
        <w:t>to</w:t>
      </w:r>
      <w:r w:rsidR="00D7291E">
        <w:rPr>
          <w:i/>
          <w:spacing w:val="-2"/>
          <w:sz w:val="16"/>
        </w:rPr>
        <w:t xml:space="preserve"> </w:t>
      </w:r>
      <w:r w:rsidR="00D7291E">
        <w:rPr>
          <w:i/>
          <w:sz w:val="16"/>
        </w:rPr>
        <w:t>the</w:t>
      </w:r>
      <w:r w:rsidR="00D7291E">
        <w:rPr>
          <w:i/>
          <w:spacing w:val="-2"/>
          <w:sz w:val="16"/>
        </w:rPr>
        <w:t xml:space="preserve"> </w:t>
      </w:r>
      <w:r w:rsidR="00D7291E">
        <w:rPr>
          <w:i/>
          <w:sz w:val="16"/>
        </w:rPr>
        <w:t>appendix.</w:t>
      </w:r>
    </w:p>
    <w:p w:rsidR="00B4377F" w:rsidRDefault="00D7291E">
      <w:pPr>
        <w:pStyle w:val="ListParagraph"/>
        <w:numPr>
          <w:ilvl w:val="0"/>
          <w:numId w:val="2"/>
        </w:numPr>
        <w:tabs>
          <w:tab w:val="left" w:pos="284"/>
        </w:tabs>
        <w:spacing w:before="1"/>
        <w:ind w:right="666" w:firstLine="0"/>
        <w:rPr>
          <w:i/>
          <w:sz w:val="16"/>
        </w:rPr>
      </w:pPr>
      <w:r>
        <w:rPr>
          <w:i/>
          <w:sz w:val="16"/>
        </w:rPr>
        <w:t>Service types are classified into service categories based on setting. Youth/young adults are served within programs specifically tailored for these age groups, but also have access to the full continuum of</w:t>
      </w:r>
      <w:r>
        <w:rPr>
          <w:i/>
          <w:spacing w:val="-12"/>
          <w:sz w:val="16"/>
        </w:rPr>
        <w:t xml:space="preserve"> </w:t>
      </w:r>
      <w:r>
        <w:rPr>
          <w:i/>
          <w:sz w:val="16"/>
        </w:rPr>
        <w:t>care.</w:t>
      </w:r>
    </w:p>
    <w:p w:rsidR="00B4377F" w:rsidRDefault="00D7291E">
      <w:pPr>
        <w:pStyle w:val="ListParagraph"/>
        <w:numPr>
          <w:ilvl w:val="0"/>
          <w:numId w:val="2"/>
        </w:numPr>
        <w:tabs>
          <w:tab w:val="left" w:pos="284"/>
        </w:tabs>
        <w:spacing w:before="1"/>
        <w:ind w:left="283" w:hanging="108"/>
        <w:rPr>
          <w:i/>
          <w:sz w:val="16"/>
        </w:rPr>
      </w:pPr>
      <w:r>
        <w:rPr>
          <w:i/>
          <w:sz w:val="16"/>
        </w:rPr>
        <w:t>Engagement, Assessment and Referral includes opioid urgent care</w:t>
      </w:r>
      <w:r>
        <w:rPr>
          <w:i/>
          <w:spacing w:val="-15"/>
          <w:sz w:val="16"/>
        </w:rPr>
        <w:t xml:space="preserve"> </w:t>
      </w:r>
      <w:r>
        <w:rPr>
          <w:i/>
          <w:sz w:val="16"/>
        </w:rPr>
        <w:t>centers</w:t>
      </w:r>
    </w:p>
    <w:p w:rsidR="00B4377F" w:rsidRDefault="00D7291E">
      <w:pPr>
        <w:pStyle w:val="ListParagraph"/>
        <w:numPr>
          <w:ilvl w:val="0"/>
          <w:numId w:val="2"/>
        </w:numPr>
        <w:tabs>
          <w:tab w:val="left" w:pos="284"/>
        </w:tabs>
        <w:spacing w:before="1"/>
        <w:ind w:left="283" w:hanging="108"/>
        <w:rPr>
          <w:i/>
          <w:sz w:val="16"/>
        </w:rPr>
      </w:pPr>
      <w:r>
        <w:rPr>
          <w:i/>
          <w:sz w:val="16"/>
        </w:rPr>
        <w:t>Medication</w:t>
      </w:r>
      <w:r>
        <w:rPr>
          <w:i/>
          <w:spacing w:val="-5"/>
          <w:sz w:val="16"/>
        </w:rPr>
        <w:t xml:space="preserve"> </w:t>
      </w:r>
      <w:r>
        <w:rPr>
          <w:i/>
          <w:sz w:val="16"/>
        </w:rPr>
        <w:t>Assisted</w:t>
      </w:r>
      <w:r>
        <w:rPr>
          <w:i/>
          <w:spacing w:val="-4"/>
          <w:sz w:val="16"/>
        </w:rPr>
        <w:t xml:space="preserve"> </w:t>
      </w:r>
      <w:r>
        <w:rPr>
          <w:i/>
          <w:sz w:val="16"/>
        </w:rPr>
        <w:t>Treatment</w:t>
      </w:r>
      <w:r>
        <w:rPr>
          <w:i/>
          <w:spacing w:val="-4"/>
          <w:sz w:val="16"/>
        </w:rPr>
        <w:t xml:space="preserve"> </w:t>
      </w:r>
      <w:r>
        <w:rPr>
          <w:i/>
          <w:sz w:val="16"/>
        </w:rPr>
        <w:t>includes</w:t>
      </w:r>
      <w:r>
        <w:rPr>
          <w:i/>
          <w:spacing w:val="-4"/>
          <w:sz w:val="16"/>
        </w:rPr>
        <w:t xml:space="preserve"> </w:t>
      </w:r>
      <w:r>
        <w:rPr>
          <w:i/>
          <w:sz w:val="16"/>
        </w:rPr>
        <w:t>all</w:t>
      </w:r>
      <w:r>
        <w:rPr>
          <w:i/>
          <w:spacing w:val="-3"/>
          <w:sz w:val="16"/>
        </w:rPr>
        <w:t xml:space="preserve"> </w:t>
      </w:r>
      <w:r>
        <w:rPr>
          <w:i/>
          <w:sz w:val="16"/>
        </w:rPr>
        <w:t>three</w:t>
      </w:r>
      <w:r>
        <w:rPr>
          <w:i/>
          <w:spacing w:val="-3"/>
          <w:sz w:val="16"/>
        </w:rPr>
        <w:t xml:space="preserve"> </w:t>
      </w:r>
      <w:r>
        <w:rPr>
          <w:i/>
          <w:sz w:val="16"/>
        </w:rPr>
        <w:t>FDA-approved</w:t>
      </w:r>
      <w:r>
        <w:rPr>
          <w:i/>
          <w:spacing w:val="-2"/>
          <w:sz w:val="16"/>
        </w:rPr>
        <w:t xml:space="preserve"> </w:t>
      </w:r>
      <w:r>
        <w:rPr>
          <w:i/>
          <w:sz w:val="16"/>
        </w:rPr>
        <w:t>MAT</w:t>
      </w:r>
      <w:r>
        <w:rPr>
          <w:i/>
          <w:spacing w:val="-4"/>
          <w:sz w:val="16"/>
        </w:rPr>
        <w:t xml:space="preserve"> </w:t>
      </w:r>
      <w:r>
        <w:rPr>
          <w:i/>
          <w:sz w:val="16"/>
        </w:rPr>
        <w:t>treatments:</w:t>
      </w:r>
      <w:r>
        <w:rPr>
          <w:i/>
          <w:spacing w:val="-2"/>
          <w:sz w:val="16"/>
        </w:rPr>
        <w:t xml:space="preserve"> </w:t>
      </w:r>
      <w:r>
        <w:rPr>
          <w:i/>
          <w:sz w:val="16"/>
        </w:rPr>
        <w:t>methadone,</w:t>
      </w:r>
      <w:r>
        <w:rPr>
          <w:i/>
          <w:spacing w:val="-4"/>
          <w:sz w:val="16"/>
        </w:rPr>
        <w:t xml:space="preserve"> </w:t>
      </w:r>
      <w:r>
        <w:rPr>
          <w:i/>
          <w:sz w:val="16"/>
        </w:rPr>
        <w:t>buprenorphine</w:t>
      </w:r>
      <w:r>
        <w:rPr>
          <w:i/>
          <w:spacing w:val="-4"/>
          <w:sz w:val="16"/>
        </w:rPr>
        <w:t xml:space="preserve"> </w:t>
      </w:r>
      <w:r>
        <w:rPr>
          <w:i/>
          <w:sz w:val="16"/>
        </w:rPr>
        <w:t>and</w:t>
      </w:r>
      <w:r>
        <w:rPr>
          <w:i/>
          <w:spacing w:val="-3"/>
          <w:sz w:val="16"/>
        </w:rPr>
        <w:t xml:space="preserve"> </w:t>
      </w:r>
      <w:r>
        <w:rPr>
          <w:i/>
          <w:sz w:val="16"/>
        </w:rPr>
        <w:t>extended-release</w:t>
      </w:r>
      <w:r>
        <w:rPr>
          <w:i/>
          <w:spacing w:val="-2"/>
          <w:sz w:val="16"/>
        </w:rPr>
        <w:t xml:space="preserve"> </w:t>
      </w:r>
      <w:r>
        <w:rPr>
          <w:i/>
          <w:sz w:val="16"/>
        </w:rPr>
        <w:t>injectable</w:t>
      </w:r>
      <w:r>
        <w:rPr>
          <w:i/>
          <w:spacing w:val="-5"/>
          <w:sz w:val="16"/>
        </w:rPr>
        <w:t xml:space="preserve"> </w:t>
      </w:r>
      <w:r>
        <w:rPr>
          <w:i/>
          <w:sz w:val="16"/>
        </w:rPr>
        <w:t>naltrexone</w:t>
      </w:r>
    </w:p>
    <w:p w:rsidR="00B4377F" w:rsidRDefault="00D7291E">
      <w:pPr>
        <w:pStyle w:val="ListParagraph"/>
        <w:numPr>
          <w:ilvl w:val="0"/>
          <w:numId w:val="2"/>
        </w:numPr>
        <w:tabs>
          <w:tab w:val="left" w:pos="284"/>
        </w:tabs>
        <w:spacing w:before="1"/>
        <w:ind w:left="283" w:hanging="108"/>
        <w:rPr>
          <w:i/>
          <w:sz w:val="16"/>
        </w:rPr>
      </w:pPr>
      <w:r>
        <w:rPr>
          <w:i/>
          <w:sz w:val="16"/>
        </w:rPr>
        <w:t>Acute Treatment Services includes acute treatment services and section</w:t>
      </w:r>
      <w:r>
        <w:rPr>
          <w:i/>
          <w:spacing w:val="-31"/>
          <w:sz w:val="16"/>
        </w:rPr>
        <w:t xml:space="preserve"> </w:t>
      </w:r>
      <w:r>
        <w:rPr>
          <w:i/>
          <w:sz w:val="16"/>
        </w:rPr>
        <w:t>35</w:t>
      </w:r>
    </w:p>
    <w:p w:rsidR="00B4377F" w:rsidRDefault="00B4377F">
      <w:pPr>
        <w:rPr>
          <w:sz w:val="16"/>
        </w:rPr>
        <w:sectPr w:rsidR="00B4377F">
          <w:pgSz w:w="15560" w:h="20020"/>
          <w:pgMar w:top="0" w:right="600" w:bottom="920" w:left="620" w:header="0" w:footer="661" w:gutter="0"/>
          <w:cols w:space="720"/>
        </w:sectPr>
      </w:pPr>
    </w:p>
    <w:p w:rsidR="00B4377F" w:rsidRDefault="00650F6A">
      <w:pPr>
        <w:pStyle w:val="BodyText"/>
        <w:ind w:left="100"/>
        <w:rPr>
          <w:sz w:val="20"/>
        </w:rPr>
      </w:pPr>
      <w:r>
        <w:rPr>
          <w:sz w:val="20"/>
        </w:rPr>
      </w:r>
      <w:r>
        <w:rPr>
          <w:sz w:val="20"/>
        </w:rPr>
        <w:pict>
          <v:group id="_x0000_s1026" style="width:705.6pt;height:91.5pt;mso-position-horizontal-relative:char;mso-position-vertical-relative:line" coordsize="14112,1830">
            <v:shape id="_x0000_s1031" type="#_x0000_t75" style="position:absolute;left:240;top:90;width:1619;height:1650">
              <v:imagedata r:id="rId8" o:title=""/>
            </v:shape>
            <v:shape id="_x0000_s1030" type="#_x0000_t75" style="position:absolute;left:11172;top:90;width:2850;height:1650">
              <v:imagedata r:id="rId9" o:title=""/>
            </v:shape>
            <v:rect id="_x0000_s1029" style="position:absolute;left:68;top:68;width:13977;height:1695" filled="f" strokecolor="navy" strokeweight="2.25pt"/>
            <v:rect id="_x0000_s1028" style="position:absolute;left:23;top:23;width:14067;height:1785" filled="f" strokecolor="green" strokeweight="2.25pt"/>
            <v:shape id="_x0000_s1027" type="#_x0000_t202" style="position:absolute;left:45;top:45;width:14022;height:1740" filled="f" stroked="f">
              <v:textbox inset="0,0,0,0">
                <w:txbxContent>
                  <w:p w:rsidR="00B4377F" w:rsidRDefault="00B4377F">
                    <w:pPr>
                      <w:rPr>
                        <w:i/>
                        <w:sz w:val="36"/>
                      </w:rPr>
                    </w:pPr>
                  </w:p>
                  <w:p w:rsidR="00B4377F" w:rsidRDefault="00D7291E">
                    <w:pPr>
                      <w:ind w:left="5451" w:right="5449"/>
                      <w:jc w:val="center"/>
                      <w:rPr>
                        <w:b/>
                        <w:sz w:val="24"/>
                      </w:rPr>
                    </w:pPr>
                    <w:r>
                      <w:rPr>
                        <w:b/>
                        <w:sz w:val="24"/>
                      </w:rPr>
                      <w:t>Description of Admissions Fact Sheet - Young Adults FY 2017</w:t>
                    </w:r>
                  </w:p>
                </w:txbxContent>
              </v:textbox>
            </v:shape>
            <w10:wrap type="none"/>
            <w10:anchorlock/>
          </v:group>
        </w:pict>
      </w:r>
    </w:p>
    <w:p w:rsidR="00B4377F" w:rsidRDefault="00B4377F">
      <w:pPr>
        <w:pStyle w:val="BodyText"/>
        <w:spacing w:before="5"/>
        <w:rPr>
          <w:i/>
          <w:sz w:val="12"/>
        </w:rPr>
      </w:pPr>
    </w:p>
    <w:p w:rsidR="00B4377F" w:rsidRDefault="00B4377F">
      <w:pPr>
        <w:rPr>
          <w:sz w:val="12"/>
        </w:rPr>
        <w:sectPr w:rsidR="00B4377F">
          <w:pgSz w:w="15560" w:h="20020"/>
          <w:pgMar w:top="720" w:right="600" w:bottom="920" w:left="620" w:header="0" w:footer="661" w:gutter="0"/>
          <w:cols w:space="720"/>
        </w:sectPr>
      </w:pPr>
    </w:p>
    <w:p w:rsidR="00B4377F" w:rsidRDefault="00B4377F">
      <w:pPr>
        <w:pStyle w:val="BodyText"/>
        <w:rPr>
          <w:i/>
          <w:sz w:val="24"/>
        </w:rPr>
      </w:pPr>
    </w:p>
    <w:p w:rsidR="00B4377F" w:rsidRDefault="00B4377F">
      <w:pPr>
        <w:pStyle w:val="BodyText"/>
        <w:spacing w:before="11"/>
        <w:rPr>
          <w:i/>
          <w:sz w:val="30"/>
        </w:rPr>
      </w:pPr>
    </w:p>
    <w:p w:rsidR="00B4377F" w:rsidRDefault="00D7291E">
      <w:pPr>
        <w:pStyle w:val="Heading1"/>
      </w:pPr>
      <w:r>
        <w:rPr>
          <w:u w:val="single"/>
        </w:rPr>
        <w:t>General Notes</w:t>
      </w:r>
    </w:p>
    <w:p w:rsidR="00B4377F" w:rsidRDefault="00D7291E">
      <w:pPr>
        <w:spacing w:before="100"/>
        <w:ind w:left="175"/>
        <w:rPr>
          <w:b/>
          <w:sz w:val="28"/>
        </w:rPr>
      </w:pPr>
      <w:r>
        <w:br w:type="column"/>
      </w:r>
      <w:r>
        <w:rPr>
          <w:b/>
          <w:sz w:val="28"/>
        </w:rPr>
        <w:lastRenderedPageBreak/>
        <w:t>Appendix</w:t>
      </w:r>
    </w:p>
    <w:p w:rsidR="00B4377F" w:rsidRDefault="00B4377F">
      <w:pPr>
        <w:rPr>
          <w:sz w:val="28"/>
        </w:rPr>
        <w:sectPr w:rsidR="00B4377F">
          <w:type w:val="continuous"/>
          <w:pgSz w:w="15560" w:h="20020"/>
          <w:pgMar w:top="0" w:right="600" w:bottom="860" w:left="620" w:header="720" w:footer="720" w:gutter="0"/>
          <w:cols w:num="2" w:space="720" w:equalWidth="0">
            <w:col w:w="1599" w:space="4722"/>
            <w:col w:w="8019"/>
          </w:cols>
        </w:sectPr>
      </w:pPr>
    </w:p>
    <w:p w:rsidR="00B4377F" w:rsidRDefault="00D7291E">
      <w:pPr>
        <w:pStyle w:val="ListParagraph"/>
        <w:numPr>
          <w:ilvl w:val="0"/>
          <w:numId w:val="1"/>
        </w:numPr>
        <w:tabs>
          <w:tab w:val="left" w:pos="297"/>
        </w:tabs>
        <w:spacing w:before="150"/>
        <w:ind w:firstLine="0"/>
        <w:rPr>
          <w:sz w:val="18"/>
        </w:rPr>
      </w:pPr>
      <w:r>
        <w:rPr>
          <w:sz w:val="18"/>
        </w:rPr>
        <w:lastRenderedPageBreak/>
        <w:t>To</w:t>
      </w:r>
      <w:r>
        <w:rPr>
          <w:spacing w:val="-4"/>
          <w:sz w:val="18"/>
        </w:rPr>
        <w:t xml:space="preserve"> </w:t>
      </w:r>
      <w:r>
        <w:rPr>
          <w:sz w:val="18"/>
        </w:rPr>
        <w:t>protect</w:t>
      </w:r>
      <w:r>
        <w:rPr>
          <w:spacing w:val="-5"/>
          <w:sz w:val="18"/>
        </w:rPr>
        <w:t xml:space="preserve"> </w:t>
      </w:r>
      <w:r>
        <w:rPr>
          <w:sz w:val="18"/>
        </w:rPr>
        <w:t>client</w:t>
      </w:r>
      <w:r>
        <w:rPr>
          <w:spacing w:val="-4"/>
          <w:sz w:val="18"/>
        </w:rPr>
        <w:t xml:space="preserve"> </w:t>
      </w:r>
      <w:r>
        <w:rPr>
          <w:sz w:val="18"/>
        </w:rPr>
        <w:t>confidentiality,</w:t>
      </w:r>
      <w:r>
        <w:rPr>
          <w:spacing w:val="-3"/>
          <w:sz w:val="18"/>
        </w:rPr>
        <w:t xml:space="preserve"> </w:t>
      </w:r>
      <w:r>
        <w:rPr>
          <w:sz w:val="18"/>
        </w:rPr>
        <w:t>the</w:t>
      </w:r>
      <w:r>
        <w:rPr>
          <w:spacing w:val="-4"/>
          <w:sz w:val="18"/>
        </w:rPr>
        <w:t xml:space="preserve"> </w:t>
      </w:r>
      <w:r>
        <w:rPr>
          <w:sz w:val="18"/>
        </w:rPr>
        <w:t>data</w:t>
      </w:r>
      <w:r>
        <w:rPr>
          <w:spacing w:val="-5"/>
          <w:sz w:val="18"/>
        </w:rPr>
        <w:t xml:space="preserve"> </w:t>
      </w:r>
      <w:r>
        <w:rPr>
          <w:sz w:val="18"/>
        </w:rPr>
        <w:t>in</w:t>
      </w:r>
      <w:r>
        <w:rPr>
          <w:spacing w:val="-4"/>
          <w:sz w:val="18"/>
        </w:rPr>
        <w:t xml:space="preserve"> </w:t>
      </w:r>
      <w:r>
        <w:rPr>
          <w:sz w:val="18"/>
        </w:rPr>
        <w:t>cells</w:t>
      </w:r>
      <w:r>
        <w:rPr>
          <w:spacing w:val="-4"/>
          <w:sz w:val="18"/>
        </w:rPr>
        <w:t xml:space="preserve"> </w:t>
      </w:r>
      <w:r>
        <w:rPr>
          <w:sz w:val="18"/>
        </w:rPr>
        <w:t>containing</w:t>
      </w:r>
      <w:r>
        <w:rPr>
          <w:spacing w:val="-3"/>
          <w:sz w:val="18"/>
        </w:rPr>
        <w:t xml:space="preserve"> </w:t>
      </w:r>
      <w:r>
        <w:rPr>
          <w:sz w:val="18"/>
        </w:rPr>
        <w:t>5</w:t>
      </w:r>
      <w:r>
        <w:rPr>
          <w:spacing w:val="-4"/>
          <w:sz w:val="18"/>
        </w:rPr>
        <w:t xml:space="preserve"> </w:t>
      </w:r>
      <w:r>
        <w:rPr>
          <w:sz w:val="18"/>
        </w:rPr>
        <w:t>or</w:t>
      </w:r>
      <w:r>
        <w:rPr>
          <w:spacing w:val="-4"/>
          <w:sz w:val="18"/>
        </w:rPr>
        <w:t xml:space="preserve"> </w:t>
      </w:r>
      <w:r>
        <w:rPr>
          <w:sz w:val="18"/>
        </w:rPr>
        <w:t>fewer</w:t>
      </w:r>
      <w:r>
        <w:rPr>
          <w:spacing w:val="-4"/>
          <w:sz w:val="18"/>
        </w:rPr>
        <w:t xml:space="preserve"> </w:t>
      </w:r>
      <w:r>
        <w:rPr>
          <w:sz w:val="18"/>
        </w:rPr>
        <w:t>counts</w:t>
      </w:r>
      <w:r>
        <w:rPr>
          <w:spacing w:val="-4"/>
          <w:sz w:val="18"/>
        </w:rPr>
        <w:t xml:space="preserve"> </w:t>
      </w:r>
      <w:r>
        <w:rPr>
          <w:sz w:val="18"/>
        </w:rPr>
        <w:t>are</w:t>
      </w:r>
      <w:r>
        <w:rPr>
          <w:spacing w:val="-5"/>
          <w:sz w:val="18"/>
        </w:rPr>
        <w:t xml:space="preserve"> </w:t>
      </w:r>
      <w:r>
        <w:rPr>
          <w:sz w:val="18"/>
        </w:rPr>
        <w:t>suppressed.</w:t>
      </w:r>
    </w:p>
    <w:p w:rsidR="00B4377F" w:rsidRDefault="00D7291E">
      <w:pPr>
        <w:pStyle w:val="ListParagraph"/>
        <w:numPr>
          <w:ilvl w:val="0"/>
          <w:numId w:val="1"/>
        </w:numPr>
        <w:tabs>
          <w:tab w:val="left" w:pos="297"/>
        </w:tabs>
        <w:ind w:left="296" w:hanging="121"/>
        <w:rPr>
          <w:sz w:val="18"/>
        </w:rPr>
      </w:pPr>
      <w:r>
        <w:rPr>
          <w:sz w:val="18"/>
        </w:rPr>
        <w:t>Data</w:t>
      </w:r>
      <w:r>
        <w:rPr>
          <w:spacing w:val="-3"/>
          <w:sz w:val="18"/>
        </w:rPr>
        <w:t xml:space="preserve"> </w:t>
      </w:r>
      <w:r>
        <w:rPr>
          <w:sz w:val="18"/>
        </w:rPr>
        <w:t>includes</w:t>
      </w:r>
      <w:r>
        <w:rPr>
          <w:spacing w:val="-4"/>
          <w:sz w:val="18"/>
        </w:rPr>
        <w:t xml:space="preserve"> </w:t>
      </w:r>
      <w:r>
        <w:rPr>
          <w:sz w:val="18"/>
        </w:rPr>
        <w:t>primary</w:t>
      </w:r>
      <w:r>
        <w:rPr>
          <w:spacing w:val="-4"/>
          <w:sz w:val="18"/>
        </w:rPr>
        <w:t xml:space="preserve"> </w:t>
      </w:r>
      <w:r>
        <w:rPr>
          <w:sz w:val="18"/>
        </w:rPr>
        <w:t>clients</w:t>
      </w:r>
      <w:r>
        <w:rPr>
          <w:spacing w:val="-3"/>
          <w:sz w:val="18"/>
        </w:rPr>
        <w:t xml:space="preserve"> </w:t>
      </w:r>
      <w:r>
        <w:rPr>
          <w:sz w:val="18"/>
        </w:rPr>
        <w:t>only;</w:t>
      </w:r>
      <w:r>
        <w:rPr>
          <w:spacing w:val="-3"/>
          <w:sz w:val="18"/>
        </w:rPr>
        <w:t xml:space="preserve"> </w:t>
      </w:r>
      <w:r>
        <w:rPr>
          <w:sz w:val="18"/>
        </w:rPr>
        <w:t>a</w:t>
      </w:r>
      <w:r>
        <w:rPr>
          <w:spacing w:val="-3"/>
          <w:sz w:val="18"/>
        </w:rPr>
        <w:t xml:space="preserve"> </w:t>
      </w:r>
      <w:r>
        <w:rPr>
          <w:sz w:val="18"/>
        </w:rPr>
        <w:t>primary</w:t>
      </w:r>
      <w:r>
        <w:rPr>
          <w:spacing w:val="-4"/>
          <w:sz w:val="18"/>
        </w:rPr>
        <w:t xml:space="preserve"> </w:t>
      </w:r>
      <w:r>
        <w:rPr>
          <w:sz w:val="18"/>
        </w:rPr>
        <w:t>client</w:t>
      </w:r>
      <w:r>
        <w:rPr>
          <w:spacing w:val="-3"/>
          <w:sz w:val="18"/>
        </w:rPr>
        <w:t xml:space="preserve"> </w:t>
      </w:r>
      <w:r>
        <w:rPr>
          <w:sz w:val="18"/>
        </w:rPr>
        <w:t>is</w:t>
      </w:r>
      <w:r>
        <w:rPr>
          <w:spacing w:val="-4"/>
          <w:sz w:val="18"/>
        </w:rPr>
        <w:t xml:space="preserve"> </w:t>
      </w:r>
      <w:r>
        <w:rPr>
          <w:sz w:val="18"/>
        </w:rPr>
        <w:t>defined</w:t>
      </w:r>
      <w:r>
        <w:rPr>
          <w:spacing w:val="-4"/>
          <w:sz w:val="18"/>
        </w:rPr>
        <w:t xml:space="preserve"> </w:t>
      </w:r>
      <w:r>
        <w:rPr>
          <w:sz w:val="18"/>
        </w:rPr>
        <w:t>as</w:t>
      </w:r>
      <w:r>
        <w:rPr>
          <w:spacing w:val="-3"/>
          <w:sz w:val="18"/>
        </w:rPr>
        <w:t xml:space="preserve"> </w:t>
      </w:r>
      <w:r>
        <w:rPr>
          <w:sz w:val="18"/>
        </w:rPr>
        <w:t>a</w:t>
      </w:r>
      <w:r>
        <w:rPr>
          <w:spacing w:val="-3"/>
          <w:sz w:val="18"/>
        </w:rPr>
        <w:t xml:space="preserve"> </w:t>
      </w:r>
      <w:r>
        <w:rPr>
          <w:sz w:val="18"/>
        </w:rPr>
        <w:t>person</w:t>
      </w:r>
      <w:r>
        <w:rPr>
          <w:spacing w:val="-4"/>
          <w:sz w:val="18"/>
        </w:rPr>
        <w:t xml:space="preserve"> </w:t>
      </w:r>
      <w:r>
        <w:rPr>
          <w:sz w:val="18"/>
        </w:rPr>
        <w:t>seeking</w:t>
      </w:r>
      <w:r>
        <w:rPr>
          <w:spacing w:val="-3"/>
          <w:sz w:val="18"/>
        </w:rPr>
        <w:t xml:space="preserve"> </w:t>
      </w:r>
      <w:r>
        <w:rPr>
          <w:sz w:val="18"/>
        </w:rPr>
        <w:t>treatment</w:t>
      </w:r>
      <w:r>
        <w:rPr>
          <w:spacing w:val="-2"/>
          <w:sz w:val="18"/>
        </w:rPr>
        <w:t xml:space="preserve"> </w:t>
      </w:r>
      <w:r>
        <w:rPr>
          <w:sz w:val="18"/>
        </w:rPr>
        <w:t>for</w:t>
      </w:r>
      <w:r>
        <w:rPr>
          <w:spacing w:val="-3"/>
          <w:sz w:val="18"/>
        </w:rPr>
        <w:t xml:space="preserve"> </w:t>
      </w:r>
      <w:r>
        <w:rPr>
          <w:sz w:val="18"/>
        </w:rPr>
        <w:t>their</w:t>
      </w:r>
      <w:r>
        <w:rPr>
          <w:spacing w:val="-3"/>
          <w:sz w:val="18"/>
        </w:rPr>
        <w:t xml:space="preserve"> </w:t>
      </w:r>
      <w:r>
        <w:rPr>
          <w:sz w:val="18"/>
        </w:rPr>
        <w:t>personal</w:t>
      </w:r>
      <w:r>
        <w:rPr>
          <w:spacing w:val="-4"/>
          <w:sz w:val="18"/>
        </w:rPr>
        <w:t xml:space="preserve"> </w:t>
      </w:r>
      <w:r>
        <w:rPr>
          <w:sz w:val="18"/>
        </w:rPr>
        <w:t>substance</w:t>
      </w:r>
      <w:r>
        <w:rPr>
          <w:spacing w:val="-3"/>
          <w:sz w:val="18"/>
        </w:rPr>
        <w:t xml:space="preserve"> </w:t>
      </w:r>
      <w:r>
        <w:rPr>
          <w:sz w:val="18"/>
        </w:rPr>
        <w:t>use</w:t>
      </w:r>
      <w:r>
        <w:rPr>
          <w:spacing w:val="-4"/>
          <w:sz w:val="18"/>
        </w:rPr>
        <w:t xml:space="preserve"> </w:t>
      </w:r>
      <w:r>
        <w:rPr>
          <w:sz w:val="18"/>
        </w:rPr>
        <w:t>problem(s).</w:t>
      </w:r>
    </w:p>
    <w:p w:rsidR="00B4377F" w:rsidRDefault="00D7291E">
      <w:pPr>
        <w:pStyle w:val="ListParagraph"/>
        <w:numPr>
          <w:ilvl w:val="0"/>
          <w:numId w:val="1"/>
        </w:numPr>
        <w:tabs>
          <w:tab w:val="left" w:pos="297"/>
        </w:tabs>
        <w:ind w:right="654" w:firstLine="0"/>
        <w:rPr>
          <w:sz w:val="18"/>
        </w:rPr>
      </w:pPr>
      <w:r>
        <w:rPr>
          <w:sz w:val="18"/>
        </w:rPr>
        <w:t>Missing/unknown/not applicable responses are excluded from the data. Therefore, the number of admissions for each category/table may vary from the total number of admissions.</w:t>
      </w:r>
    </w:p>
    <w:p w:rsidR="00B4377F" w:rsidRDefault="00D7291E">
      <w:pPr>
        <w:pStyle w:val="ListParagraph"/>
        <w:numPr>
          <w:ilvl w:val="0"/>
          <w:numId w:val="1"/>
        </w:numPr>
        <w:tabs>
          <w:tab w:val="left" w:pos="297"/>
        </w:tabs>
        <w:ind w:right="274" w:firstLine="0"/>
        <w:rPr>
          <w:sz w:val="18"/>
        </w:rPr>
      </w:pPr>
      <w:r>
        <w:rPr>
          <w:sz w:val="18"/>
        </w:rPr>
        <w:t>In 2014, a new system of reporting was adopted by some Methadone treatment providers. Due to this system change, the reported enrollment numbers for FY 2014 may be higher</w:t>
      </w:r>
      <w:r>
        <w:rPr>
          <w:spacing w:val="-4"/>
          <w:sz w:val="18"/>
        </w:rPr>
        <w:t xml:space="preserve"> </w:t>
      </w:r>
      <w:r>
        <w:rPr>
          <w:sz w:val="18"/>
        </w:rPr>
        <w:t>than</w:t>
      </w:r>
      <w:r>
        <w:rPr>
          <w:spacing w:val="-3"/>
          <w:sz w:val="18"/>
        </w:rPr>
        <w:t xml:space="preserve"> </w:t>
      </w:r>
      <w:r>
        <w:rPr>
          <w:sz w:val="18"/>
        </w:rPr>
        <w:t>the</w:t>
      </w:r>
      <w:r>
        <w:rPr>
          <w:spacing w:val="-3"/>
          <w:sz w:val="18"/>
        </w:rPr>
        <w:t xml:space="preserve"> </w:t>
      </w:r>
      <w:r>
        <w:rPr>
          <w:sz w:val="18"/>
        </w:rPr>
        <w:t>actual</w:t>
      </w:r>
      <w:r>
        <w:rPr>
          <w:spacing w:val="-4"/>
          <w:sz w:val="18"/>
        </w:rPr>
        <w:t xml:space="preserve"> </w:t>
      </w:r>
      <w:r>
        <w:rPr>
          <w:sz w:val="18"/>
        </w:rPr>
        <w:t>number</w:t>
      </w:r>
      <w:r>
        <w:rPr>
          <w:spacing w:val="-4"/>
          <w:sz w:val="18"/>
        </w:rPr>
        <w:t xml:space="preserve"> </w:t>
      </w:r>
      <w:r>
        <w:rPr>
          <w:sz w:val="18"/>
        </w:rPr>
        <w:t>of</w:t>
      </w:r>
      <w:r>
        <w:rPr>
          <w:spacing w:val="-3"/>
          <w:sz w:val="18"/>
        </w:rPr>
        <w:t xml:space="preserve"> </w:t>
      </w:r>
      <w:r>
        <w:rPr>
          <w:sz w:val="18"/>
        </w:rPr>
        <w:t>enrollments.</w:t>
      </w:r>
      <w:r>
        <w:rPr>
          <w:spacing w:val="-2"/>
          <w:sz w:val="18"/>
        </w:rPr>
        <w:t xml:space="preserve"> </w:t>
      </w:r>
      <w:r>
        <w:rPr>
          <w:sz w:val="18"/>
        </w:rPr>
        <w:t>This</w:t>
      </w:r>
      <w:r>
        <w:rPr>
          <w:spacing w:val="-3"/>
          <w:sz w:val="18"/>
        </w:rPr>
        <w:t xml:space="preserve"> </w:t>
      </w:r>
      <w:r>
        <w:rPr>
          <w:sz w:val="18"/>
        </w:rPr>
        <w:t>also</w:t>
      </w:r>
      <w:r>
        <w:rPr>
          <w:spacing w:val="-3"/>
          <w:sz w:val="18"/>
        </w:rPr>
        <w:t xml:space="preserve"> </w:t>
      </w:r>
      <w:r>
        <w:rPr>
          <w:sz w:val="18"/>
        </w:rPr>
        <w:t>influences</w:t>
      </w:r>
      <w:r>
        <w:rPr>
          <w:spacing w:val="-4"/>
          <w:sz w:val="18"/>
        </w:rPr>
        <w:t xml:space="preserve"> </w:t>
      </w:r>
      <w:r>
        <w:rPr>
          <w:sz w:val="18"/>
        </w:rPr>
        <w:t>any</w:t>
      </w:r>
      <w:r>
        <w:rPr>
          <w:spacing w:val="-3"/>
          <w:sz w:val="18"/>
        </w:rPr>
        <w:t xml:space="preserve"> </w:t>
      </w:r>
      <w:r>
        <w:rPr>
          <w:sz w:val="18"/>
        </w:rPr>
        <w:t>assessment</w:t>
      </w:r>
      <w:r>
        <w:rPr>
          <w:spacing w:val="-4"/>
          <w:sz w:val="18"/>
        </w:rPr>
        <w:t xml:space="preserve"> </w:t>
      </w:r>
      <w:r>
        <w:rPr>
          <w:sz w:val="18"/>
        </w:rPr>
        <w:t>data</w:t>
      </w:r>
      <w:r>
        <w:rPr>
          <w:spacing w:val="-4"/>
          <w:sz w:val="18"/>
        </w:rPr>
        <w:t xml:space="preserve"> </w:t>
      </w:r>
      <w:r>
        <w:rPr>
          <w:sz w:val="18"/>
        </w:rPr>
        <w:t>captured</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trend</w:t>
      </w:r>
      <w:r>
        <w:rPr>
          <w:spacing w:val="-3"/>
          <w:sz w:val="18"/>
        </w:rPr>
        <w:t xml:space="preserve"> </w:t>
      </w:r>
      <w:r>
        <w:rPr>
          <w:sz w:val="18"/>
        </w:rPr>
        <w:t>tables</w:t>
      </w:r>
      <w:r>
        <w:rPr>
          <w:spacing w:val="-3"/>
          <w:sz w:val="18"/>
        </w:rPr>
        <w:t xml:space="preserve"> </w:t>
      </w:r>
      <w:r>
        <w:rPr>
          <w:sz w:val="18"/>
        </w:rPr>
        <w:t>starting</w:t>
      </w:r>
      <w:r>
        <w:rPr>
          <w:spacing w:val="-3"/>
          <w:sz w:val="18"/>
        </w:rPr>
        <w:t xml:space="preserve"> </w:t>
      </w:r>
      <w:r>
        <w:rPr>
          <w:sz w:val="18"/>
        </w:rPr>
        <w:t>from</w:t>
      </w:r>
      <w:r>
        <w:rPr>
          <w:spacing w:val="-3"/>
          <w:sz w:val="18"/>
        </w:rPr>
        <w:t xml:space="preserve"> </w:t>
      </w:r>
      <w:r>
        <w:rPr>
          <w:sz w:val="18"/>
        </w:rPr>
        <w:t>2014</w:t>
      </w:r>
      <w:r>
        <w:rPr>
          <w:spacing w:val="-3"/>
          <w:sz w:val="18"/>
        </w:rPr>
        <w:t xml:space="preserve"> </w:t>
      </w:r>
      <w:r>
        <w:rPr>
          <w:sz w:val="18"/>
        </w:rPr>
        <w:t>onward.</w:t>
      </w:r>
    </w:p>
    <w:p w:rsidR="00B4377F" w:rsidRDefault="00D7291E">
      <w:pPr>
        <w:pStyle w:val="ListParagraph"/>
        <w:numPr>
          <w:ilvl w:val="0"/>
          <w:numId w:val="1"/>
        </w:numPr>
        <w:tabs>
          <w:tab w:val="left" w:pos="297"/>
        </w:tabs>
        <w:ind w:left="296" w:hanging="121"/>
        <w:rPr>
          <w:sz w:val="18"/>
        </w:rPr>
      </w:pPr>
      <w:r>
        <w:rPr>
          <w:sz w:val="18"/>
        </w:rPr>
        <w:t>Homelessness</w:t>
      </w:r>
      <w:r>
        <w:rPr>
          <w:spacing w:val="-3"/>
          <w:sz w:val="18"/>
        </w:rPr>
        <w:t xml:space="preserve"> </w:t>
      </w:r>
      <w:r>
        <w:rPr>
          <w:sz w:val="18"/>
        </w:rPr>
        <w:t>at</w:t>
      </w:r>
      <w:r>
        <w:rPr>
          <w:spacing w:val="-3"/>
          <w:sz w:val="18"/>
        </w:rPr>
        <w:t xml:space="preserve"> </w:t>
      </w:r>
      <w:r>
        <w:rPr>
          <w:sz w:val="18"/>
        </w:rPr>
        <w:t>enrollment</w:t>
      </w:r>
      <w:r>
        <w:rPr>
          <w:spacing w:val="-3"/>
          <w:sz w:val="18"/>
        </w:rPr>
        <w:t xml:space="preserve"> </w:t>
      </w:r>
      <w:r>
        <w:rPr>
          <w:sz w:val="18"/>
        </w:rPr>
        <w:t>is</w:t>
      </w:r>
      <w:r>
        <w:rPr>
          <w:spacing w:val="-4"/>
          <w:sz w:val="18"/>
        </w:rPr>
        <w:t xml:space="preserve"> </w:t>
      </w:r>
      <w:r>
        <w:rPr>
          <w:sz w:val="18"/>
        </w:rPr>
        <w:t>determined</w:t>
      </w:r>
      <w:r>
        <w:rPr>
          <w:spacing w:val="-4"/>
          <w:sz w:val="18"/>
        </w:rPr>
        <w:t xml:space="preserve"> </w:t>
      </w:r>
      <w:r>
        <w:rPr>
          <w:sz w:val="18"/>
        </w:rPr>
        <w:t>based</w:t>
      </w:r>
      <w:r>
        <w:rPr>
          <w:spacing w:val="-4"/>
          <w:sz w:val="18"/>
        </w:rPr>
        <w:t xml:space="preserve"> </w:t>
      </w:r>
      <w:r>
        <w:rPr>
          <w:sz w:val="18"/>
        </w:rPr>
        <w:t>on</w:t>
      </w:r>
      <w:r>
        <w:rPr>
          <w:spacing w:val="-3"/>
          <w:sz w:val="18"/>
        </w:rPr>
        <w:t xml:space="preserve"> </w:t>
      </w:r>
      <w:r>
        <w:rPr>
          <w:sz w:val="18"/>
        </w:rPr>
        <w:t>the</w:t>
      </w:r>
      <w:r>
        <w:rPr>
          <w:spacing w:val="-3"/>
          <w:sz w:val="18"/>
        </w:rPr>
        <w:t xml:space="preserve"> </w:t>
      </w:r>
      <w:r>
        <w:rPr>
          <w:sz w:val="18"/>
        </w:rPr>
        <w:t>client's</w:t>
      </w:r>
      <w:r>
        <w:rPr>
          <w:spacing w:val="-3"/>
          <w:sz w:val="18"/>
        </w:rPr>
        <w:t xml:space="preserve"> </w:t>
      </w:r>
      <w:r>
        <w:rPr>
          <w:sz w:val="18"/>
        </w:rPr>
        <w:t>housing</w:t>
      </w:r>
      <w:r>
        <w:rPr>
          <w:spacing w:val="-4"/>
          <w:sz w:val="18"/>
        </w:rPr>
        <w:t xml:space="preserve"> </w:t>
      </w:r>
      <w:r>
        <w:rPr>
          <w:sz w:val="18"/>
        </w:rPr>
        <w:t>disposition</w:t>
      </w:r>
      <w:r>
        <w:rPr>
          <w:spacing w:val="-4"/>
          <w:sz w:val="18"/>
        </w:rPr>
        <w:t xml:space="preserve"> </w:t>
      </w:r>
      <w:r>
        <w:rPr>
          <w:sz w:val="18"/>
        </w:rPr>
        <w:t>at</w:t>
      </w:r>
      <w:r>
        <w:rPr>
          <w:spacing w:val="-3"/>
          <w:sz w:val="18"/>
        </w:rPr>
        <w:t xml:space="preserve"> </w:t>
      </w:r>
      <w:r>
        <w:rPr>
          <w:sz w:val="18"/>
        </w:rPr>
        <w:t>the</w:t>
      </w:r>
      <w:r>
        <w:rPr>
          <w:spacing w:val="-3"/>
          <w:sz w:val="18"/>
        </w:rPr>
        <w:t xml:space="preserve"> </w:t>
      </w:r>
      <w:r>
        <w:rPr>
          <w:sz w:val="18"/>
        </w:rPr>
        <w:t>time</w:t>
      </w:r>
      <w:r>
        <w:rPr>
          <w:spacing w:val="-3"/>
          <w:sz w:val="18"/>
        </w:rPr>
        <w:t xml:space="preserve"> </w:t>
      </w:r>
      <w:r>
        <w:rPr>
          <w:sz w:val="18"/>
        </w:rPr>
        <w:t>of</w:t>
      </w:r>
      <w:r>
        <w:rPr>
          <w:spacing w:val="-3"/>
          <w:sz w:val="18"/>
        </w:rPr>
        <w:t xml:space="preserve"> </w:t>
      </w:r>
      <w:r>
        <w:rPr>
          <w:sz w:val="18"/>
        </w:rPr>
        <w:t>enrollment.</w:t>
      </w:r>
    </w:p>
    <w:p w:rsidR="00B4377F" w:rsidRDefault="00D7291E">
      <w:pPr>
        <w:pStyle w:val="ListParagraph"/>
        <w:numPr>
          <w:ilvl w:val="0"/>
          <w:numId w:val="1"/>
        </w:numPr>
        <w:tabs>
          <w:tab w:val="left" w:pos="297"/>
        </w:tabs>
        <w:spacing w:line="213" w:lineRule="exact"/>
        <w:ind w:left="296" w:hanging="121"/>
        <w:rPr>
          <w:sz w:val="18"/>
        </w:rPr>
      </w:pPr>
      <w:r>
        <w:rPr>
          <w:sz w:val="18"/>
        </w:rPr>
        <w:t>Due</w:t>
      </w:r>
      <w:r>
        <w:rPr>
          <w:spacing w:val="-2"/>
          <w:sz w:val="18"/>
        </w:rPr>
        <w:t xml:space="preserve"> </w:t>
      </w:r>
      <w:r>
        <w:rPr>
          <w:sz w:val="18"/>
        </w:rPr>
        <w:t>to</w:t>
      </w:r>
      <w:r>
        <w:rPr>
          <w:spacing w:val="-2"/>
          <w:sz w:val="18"/>
        </w:rPr>
        <w:t xml:space="preserve"> </w:t>
      </w:r>
      <w:r>
        <w:rPr>
          <w:sz w:val="18"/>
        </w:rPr>
        <w:t>data</w:t>
      </w:r>
      <w:r>
        <w:rPr>
          <w:spacing w:val="-3"/>
          <w:sz w:val="18"/>
        </w:rPr>
        <w:t xml:space="preserve"> </w:t>
      </w:r>
      <w:r>
        <w:rPr>
          <w:sz w:val="18"/>
        </w:rPr>
        <w:t>updates</w:t>
      </w:r>
      <w:r>
        <w:rPr>
          <w:spacing w:val="-3"/>
          <w:sz w:val="18"/>
        </w:rPr>
        <w:t xml:space="preserve"> </w:t>
      </w:r>
      <w:r>
        <w:rPr>
          <w:sz w:val="18"/>
        </w:rPr>
        <w:t>and</w:t>
      </w:r>
      <w:r>
        <w:rPr>
          <w:spacing w:val="-2"/>
          <w:sz w:val="18"/>
        </w:rPr>
        <w:t xml:space="preserve"> </w:t>
      </w:r>
      <w:r>
        <w:rPr>
          <w:sz w:val="18"/>
        </w:rPr>
        <w:t>changes</w:t>
      </w:r>
      <w:r>
        <w:rPr>
          <w:spacing w:val="-1"/>
          <w:sz w:val="18"/>
        </w:rPr>
        <w:t xml:space="preserve"> </w:t>
      </w:r>
      <w:r>
        <w:rPr>
          <w:sz w:val="18"/>
        </w:rPr>
        <w:t>to</w:t>
      </w:r>
      <w:r>
        <w:rPr>
          <w:spacing w:val="-2"/>
          <w:sz w:val="18"/>
        </w:rPr>
        <w:t xml:space="preserve"> </w:t>
      </w:r>
      <w:r>
        <w:rPr>
          <w:sz w:val="18"/>
        </w:rPr>
        <w:t>definitions,</w:t>
      </w:r>
      <w:r>
        <w:rPr>
          <w:spacing w:val="-3"/>
          <w:sz w:val="18"/>
        </w:rPr>
        <w:t xml:space="preserve"> </w:t>
      </w:r>
      <w:r>
        <w:rPr>
          <w:sz w:val="18"/>
        </w:rPr>
        <w:t>data</w:t>
      </w:r>
      <w:r>
        <w:rPr>
          <w:spacing w:val="-3"/>
          <w:sz w:val="18"/>
        </w:rPr>
        <w:t xml:space="preserve"> </w:t>
      </w:r>
      <w:r>
        <w:rPr>
          <w:sz w:val="18"/>
        </w:rPr>
        <w:t>included</w:t>
      </w:r>
      <w:r>
        <w:rPr>
          <w:spacing w:val="-4"/>
          <w:sz w:val="18"/>
        </w:rPr>
        <w:t xml:space="preserve"> </w:t>
      </w:r>
      <w:r>
        <w:rPr>
          <w:sz w:val="18"/>
        </w:rPr>
        <w:t>in</w:t>
      </w:r>
      <w:r>
        <w:rPr>
          <w:spacing w:val="-2"/>
          <w:sz w:val="18"/>
        </w:rPr>
        <w:t xml:space="preserve"> </w:t>
      </w:r>
      <w:r>
        <w:rPr>
          <w:sz w:val="18"/>
        </w:rPr>
        <w:t>this</w:t>
      </w:r>
      <w:r>
        <w:rPr>
          <w:spacing w:val="-2"/>
          <w:sz w:val="18"/>
        </w:rPr>
        <w:t xml:space="preserve"> </w:t>
      </w:r>
      <w:r>
        <w:rPr>
          <w:sz w:val="18"/>
        </w:rPr>
        <w:t>fact</w:t>
      </w:r>
      <w:r>
        <w:rPr>
          <w:spacing w:val="-2"/>
          <w:sz w:val="18"/>
        </w:rPr>
        <w:t xml:space="preserve"> </w:t>
      </w:r>
      <w:r>
        <w:rPr>
          <w:sz w:val="18"/>
        </w:rPr>
        <w:t>sheet</w:t>
      </w:r>
      <w:r>
        <w:rPr>
          <w:spacing w:val="-3"/>
          <w:sz w:val="18"/>
        </w:rPr>
        <w:t xml:space="preserve"> </w:t>
      </w:r>
      <w:r>
        <w:rPr>
          <w:b/>
          <w:sz w:val="18"/>
        </w:rPr>
        <w:t>should</w:t>
      </w:r>
      <w:r>
        <w:rPr>
          <w:b/>
          <w:spacing w:val="-3"/>
          <w:sz w:val="18"/>
        </w:rPr>
        <w:t xml:space="preserve"> </w:t>
      </w:r>
      <w:r>
        <w:rPr>
          <w:b/>
          <w:sz w:val="18"/>
        </w:rPr>
        <w:t>not</w:t>
      </w:r>
      <w:r>
        <w:rPr>
          <w:b/>
          <w:spacing w:val="-2"/>
          <w:sz w:val="18"/>
        </w:rPr>
        <w:t xml:space="preserve"> </w:t>
      </w:r>
      <w:r>
        <w:rPr>
          <w:b/>
          <w:sz w:val="18"/>
        </w:rPr>
        <w:t>be</w:t>
      </w:r>
      <w:r>
        <w:rPr>
          <w:b/>
          <w:spacing w:val="-2"/>
          <w:sz w:val="18"/>
        </w:rPr>
        <w:t xml:space="preserve"> </w:t>
      </w:r>
      <w:r>
        <w:rPr>
          <w:b/>
          <w:sz w:val="18"/>
        </w:rPr>
        <w:t>compared</w:t>
      </w:r>
      <w:r>
        <w:rPr>
          <w:b/>
          <w:spacing w:val="-1"/>
          <w:sz w:val="18"/>
        </w:rPr>
        <w:t xml:space="preserve"> </w:t>
      </w:r>
      <w:r>
        <w:rPr>
          <w:sz w:val="18"/>
        </w:rPr>
        <w:t>to</w:t>
      </w:r>
      <w:r>
        <w:rPr>
          <w:spacing w:val="-2"/>
          <w:sz w:val="18"/>
        </w:rPr>
        <w:t xml:space="preserve"> </w:t>
      </w:r>
      <w:r>
        <w:rPr>
          <w:sz w:val="18"/>
        </w:rPr>
        <w:t>similar</w:t>
      </w:r>
      <w:r>
        <w:rPr>
          <w:spacing w:val="-2"/>
          <w:sz w:val="18"/>
        </w:rPr>
        <w:t xml:space="preserve"> </w:t>
      </w:r>
      <w:r>
        <w:rPr>
          <w:sz w:val="18"/>
        </w:rPr>
        <w:t>data</w:t>
      </w:r>
      <w:r>
        <w:rPr>
          <w:spacing w:val="-3"/>
          <w:sz w:val="18"/>
        </w:rPr>
        <w:t xml:space="preserve"> </w:t>
      </w:r>
      <w:r>
        <w:rPr>
          <w:sz w:val="18"/>
        </w:rPr>
        <w:t>published</w:t>
      </w:r>
      <w:r>
        <w:rPr>
          <w:spacing w:val="-3"/>
          <w:sz w:val="18"/>
        </w:rPr>
        <w:t xml:space="preserve"> </w:t>
      </w:r>
      <w:r>
        <w:rPr>
          <w:sz w:val="18"/>
        </w:rPr>
        <w:t>in</w:t>
      </w:r>
      <w:r>
        <w:rPr>
          <w:spacing w:val="-2"/>
          <w:sz w:val="18"/>
        </w:rPr>
        <w:t xml:space="preserve"> </w:t>
      </w:r>
      <w:r>
        <w:rPr>
          <w:sz w:val="18"/>
        </w:rPr>
        <w:t>prior</w:t>
      </w:r>
      <w:r>
        <w:rPr>
          <w:spacing w:val="-3"/>
          <w:sz w:val="18"/>
        </w:rPr>
        <w:t xml:space="preserve"> </w:t>
      </w:r>
      <w:r>
        <w:rPr>
          <w:sz w:val="18"/>
        </w:rPr>
        <w:t>years.</w:t>
      </w:r>
    </w:p>
    <w:p w:rsidR="00B4377F" w:rsidRDefault="00D7291E">
      <w:pPr>
        <w:pStyle w:val="ListParagraph"/>
        <w:numPr>
          <w:ilvl w:val="0"/>
          <w:numId w:val="1"/>
        </w:numPr>
        <w:tabs>
          <w:tab w:val="left" w:pos="297"/>
        </w:tabs>
        <w:spacing w:line="219" w:lineRule="exact"/>
        <w:ind w:left="296" w:hanging="121"/>
        <w:rPr>
          <w:sz w:val="16"/>
        </w:rPr>
      </w:pPr>
      <w:r>
        <w:rPr>
          <w:sz w:val="18"/>
        </w:rPr>
        <w:t>Data</w:t>
      </w:r>
      <w:r>
        <w:rPr>
          <w:spacing w:val="-9"/>
          <w:sz w:val="18"/>
        </w:rPr>
        <w:t xml:space="preserve"> </w:t>
      </w:r>
      <w:r>
        <w:rPr>
          <w:sz w:val="18"/>
        </w:rPr>
        <w:t>and</w:t>
      </w:r>
      <w:r>
        <w:rPr>
          <w:spacing w:val="-9"/>
          <w:sz w:val="18"/>
        </w:rPr>
        <w:t xml:space="preserve"> </w:t>
      </w:r>
      <w:r>
        <w:rPr>
          <w:sz w:val="18"/>
        </w:rPr>
        <w:t>definitions</w:t>
      </w:r>
      <w:r>
        <w:rPr>
          <w:spacing w:val="-9"/>
          <w:sz w:val="18"/>
        </w:rPr>
        <w:t xml:space="preserve"> </w:t>
      </w:r>
      <w:r>
        <w:rPr>
          <w:sz w:val="18"/>
        </w:rPr>
        <w:t>used</w:t>
      </w:r>
      <w:r>
        <w:rPr>
          <w:spacing w:val="-9"/>
          <w:sz w:val="18"/>
        </w:rPr>
        <w:t xml:space="preserve"> </w:t>
      </w:r>
      <w:r>
        <w:rPr>
          <w:sz w:val="18"/>
        </w:rPr>
        <w:t>were</w:t>
      </w:r>
      <w:r>
        <w:rPr>
          <w:spacing w:val="-9"/>
          <w:sz w:val="18"/>
        </w:rPr>
        <w:t xml:space="preserve"> </w:t>
      </w:r>
      <w:r>
        <w:rPr>
          <w:sz w:val="18"/>
        </w:rPr>
        <w:t>as</w:t>
      </w:r>
      <w:r>
        <w:rPr>
          <w:spacing w:val="-9"/>
          <w:sz w:val="18"/>
        </w:rPr>
        <w:t xml:space="preserve"> </w:t>
      </w:r>
      <w:r>
        <w:rPr>
          <w:sz w:val="18"/>
        </w:rPr>
        <w:t>of</w:t>
      </w:r>
      <w:r>
        <w:rPr>
          <w:spacing w:val="-9"/>
          <w:sz w:val="18"/>
        </w:rPr>
        <w:t xml:space="preserve"> </w:t>
      </w:r>
      <w:r>
        <w:rPr>
          <w:i/>
          <w:sz w:val="19"/>
        </w:rPr>
        <w:t>August</w:t>
      </w:r>
      <w:r>
        <w:rPr>
          <w:i/>
          <w:spacing w:val="-12"/>
          <w:sz w:val="19"/>
        </w:rPr>
        <w:t xml:space="preserve"> </w:t>
      </w:r>
      <w:r>
        <w:rPr>
          <w:i/>
          <w:sz w:val="19"/>
        </w:rPr>
        <w:t>10,</w:t>
      </w:r>
      <w:r>
        <w:rPr>
          <w:i/>
          <w:spacing w:val="-12"/>
          <w:sz w:val="19"/>
        </w:rPr>
        <w:t xml:space="preserve"> </w:t>
      </w:r>
      <w:r>
        <w:rPr>
          <w:i/>
          <w:sz w:val="19"/>
        </w:rPr>
        <w:t>2018</w:t>
      </w:r>
      <w:r>
        <w:rPr>
          <w:sz w:val="16"/>
        </w:rPr>
        <w:t>.</w:t>
      </w:r>
    </w:p>
    <w:p w:rsidR="00B4377F" w:rsidRDefault="00D7291E">
      <w:pPr>
        <w:pStyle w:val="ListParagraph"/>
        <w:numPr>
          <w:ilvl w:val="0"/>
          <w:numId w:val="1"/>
        </w:numPr>
        <w:tabs>
          <w:tab w:val="left" w:pos="297"/>
        </w:tabs>
        <w:spacing w:line="224" w:lineRule="exact"/>
        <w:ind w:left="296" w:hanging="121"/>
        <w:rPr>
          <w:sz w:val="16"/>
        </w:rPr>
      </w:pPr>
      <w:r>
        <w:rPr>
          <w:sz w:val="18"/>
        </w:rPr>
        <w:t>Prepared</w:t>
      </w:r>
      <w:r>
        <w:rPr>
          <w:spacing w:val="-8"/>
          <w:sz w:val="18"/>
        </w:rPr>
        <w:t xml:space="preserve"> </w:t>
      </w:r>
      <w:r>
        <w:rPr>
          <w:sz w:val="18"/>
        </w:rPr>
        <w:t>by:</w:t>
      </w:r>
      <w:r>
        <w:rPr>
          <w:spacing w:val="-8"/>
          <w:sz w:val="18"/>
        </w:rPr>
        <w:t xml:space="preserve"> </w:t>
      </w:r>
      <w:r>
        <w:rPr>
          <w:sz w:val="18"/>
        </w:rPr>
        <w:t>Massachusetts</w:t>
      </w:r>
      <w:r>
        <w:rPr>
          <w:spacing w:val="-10"/>
          <w:sz w:val="18"/>
        </w:rPr>
        <w:t xml:space="preserve"> </w:t>
      </w:r>
      <w:r>
        <w:rPr>
          <w:sz w:val="18"/>
        </w:rPr>
        <w:t>Department</w:t>
      </w:r>
      <w:r>
        <w:rPr>
          <w:spacing w:val="-8"/>
          <w:sz w:val="18"/>
        </w:rPr>
        <w:t xml:space="preserve"> </w:t>
      </w:r>
      <w:r>
        <w:rPr>
          <w:sz w:val="18"/>
        </w:rPr>
        <w:t>of</w:t>
      </w:r>
      <w:r>
        <w:rPr>
          <w:spacing w:val="-8"/>
          <w:sz w:val="18"/>
        </w:rPr>
        <w:t xml:space="preserve"> </w:t>
      </w:r>
      <w:r>
        <w:rPr>
          <w:sz w:val="18"/>
        </w:rPr>
        <w:t>Public</w:t>
      </w:r>
      <w:r>
        <w:rPr>
          <w:spacing w:val="-8"/>
          <w:sz w:val="18"/>
        </w:rPr>
        <w:t xml:space="preserve"> </w:t>
      </w:r>
      <w:r>
        <w:rPr>
          <w:sz w:val="18"/>
        </w:rPr>
        <w:t>Health,</w:t>
      </w:r>
      <w:r>
        <w:rPr>
          <w:spacing w:val="-8"/>
          <w:sz w:val="18"/>
        </w:rPr>
        <w:t xml:space="preserve"> </w:t>
      </w:r>
      <w:r>
        <w:rPr>
          <w:sz w:val="18"/>
        </w:rPr>
        <w:t>Bureau</w:t>
      </w:r>
      <w:r>
        <w:rPr>
          <w:spacing w:val="-8"/>
          <w:sz w:val="18"/>
        </w:rPr>
        <w:t xml:space="preserve"> </w:t>
      </w:r>
      <w:r>
        <w:rPr>
          <w:sz w:val="18"/>
        </w:rPr>
        <w:t>of</w:t>
      </w:r>
      <w:r>
        <w:rPr>
          <w:spacing w:val="-8"/>
          <w:sz w:val="18"/>
        </w:rPr>
        <w:t xml:space="preserve"> </w:t>
      </w:r>
      <w:r>
        <w:rPr>
          <w:sz w:val="18"/>
        </w:rPr>
        <w:t>Substance</w:t>
      </w:r>
      <w:r>
        <w:rPr>
          <w:spacing w:val="-8"/>
          <w:sz w:val="18"/>
        </w:rPr>
        <w:t xml:space="preserve"> </w:t>
      </w:r>
      <w:r>
        <w:rPr>
          <w:sz w:val="18"/>
        </w:rPr>
        <w:t>Addiction</w:t>
      </w:r>
      <w:r>
        <w:rPr>
          <w:spacing w:val="-9"/>
          <w:sz w:val="18"/>
        </w:rPr>
        <w:t xml:space="preserve"> </w:t>
      </w:r>
      <w:r>
        <w:rPr>
          <w:sz w:val="18"/>
        </w:rPr>
        <w:t>Services,</w:t>
      </w:r>
      <w:r>
        <w:rPr>
          <w:spacing w:val="-8"/>
          <w:sz w:val="18"/>
        </w:rPr>
        <w:t xml:space="preserve"> </w:t>
      </w:r>
      <w:r>
        <w:rPr>
          <w:sz w:val="18"/>
        </w:rPr>
        <w:t>Office</w:t>
      </w:r>
      <w:r>
        <w:rPr>
          <w:spacing w:val="-9"/>
          <w:sz w:val="18"/>
        </w:rPr>
        <w:t xml:space="preserve"> </w:t>
      </w:r>
      <w:r>
        <w:rPr>
          <w:sz w:val="18"/>
        </w:rPr>
        <w:t>of</w:t>
      </w:r>
      <w:r>
        <w:rPr>
          <w:spacing w:val="-8"/>
          <w:sz w:val="18"/>
        </w:rPr>
        <w:t xml:space="preserve"> </w:t>
      </w:r>
      <w:r>
        <w:rPr>
          <w:sz w:val="18"/>
        </w:rPr>
        <w:t>Statistics</w:t>
      </w:r>
      <w:r>
        <w:rPr>
          <w:spacing w:val="-8"/>
          <w:sz w:val="18"/>
        </w:rPr>
        <w:t xml:space="preserve"> </w:t>
      </w:r>
      <w:r>
        <w:rPr>
          <w:sz w:val="18"/>
        </w:rPr>
        <w:t>and</w:t>
      </w:r>
      <w:r>
        <w:rPr>
          <w:spacing w:val="-8"/>
          <w:sz w:val="18"/>
        </w:rPr>
        <w:t xml:space="preserve"> </w:t>
      </w:r>
      <w:r>
        <w:rPr>
          <w:sz w:val="18"/>
        </w:rPr>
        <w:t>Evaluation</w:t>
      </w:r>
      <w:r>
        <w:rPr>
          <w:spacing w:val="-8"/>
          <w:sz w:val="18"/>
        </w:rPr>
        <w:t xml:space="preserve"> </w:t>
      </w:r>
      <w:r>
        <w:rPr>
          <w:sz w:val="18"/>
        </w:rPr>
        <w:t>on</w:t>
      </w:r>
      <w:r>
        <w:rPr>
          <w:spacing w:val="-8"/>
          <w:sz w:val="18"/>
        </w:rPr>
        <w:t xml:space="preserve"> </w:t>
      </w:r>
      <w:r>
        <w:rPr>
          <w:i/>
          <w:sz w:val="19"/>
        </w:rPr>
        <w:t>September</w:t>
      </w:r>
      <w:r>
        <w:rPr>
          <w:i/>
          <w:spacing w:val="-11"/>
          <w:sz w:val="19"/>
        </w:rPr>
        <w:t xml:space="preserve"> </w:t>
      </w:r>
      <w:r>
        <w:rPr>
          <w:i/>
          <w:sz w:val="19"/>
        </w:rPr>
        <w:t>6,</w:t>
      </w:r>
      <w:r>
        <w:rPr>
          <w:i/>
          <w:spacing w:val="-11"/>
          <w:sz w:val="19"/>
        </w:rPr>
        <w:t xml:space="preserve"> </w:t>
      </w:r>
      <w:r>
        <w:rPr>
          <w:i/>
          <w:sz w:val="19"/>
        </w:rPr>
        <w:t>2018</w:t>
      </w:r>
      <w:r>
        <w:rPr>
          <w:sz w:val="16"/>
        </w:rPr>
        <w:t>.</w:t>
      </w:r>
    </w:p>
    <w:p w:rsidR="00B4377F" w:rsidRDefault="00B4377F">
      <w:pPr>
        <w:pStyle w:val="BodyText"/>
        <w:spacing w:before="8"/>
        <w:rPr>
          <w:sz w:val="24"/>
        </w:rPr>
      </w:pPr>
    </w:p>
    <w:p w:rsidR="00B4377F" w:rsidRDefault="00D7291E">
      <w:pPr>
        <w:pStyle w:val="Heading1"/>
      </w:pPr>
      <w:bookmarkStart w:id="1" w:name="_bookmark0"/>
      <w:bookmarkEnd w:id="1"/>
      <w:r>
        <w:rPr>
          <w:u w:val="single"/>
        </w:rPr>
        <w:t>Not Applicable Values</w:t>
      </w:r>
    </w:p>
    <w:p w:rsidR="00B4377F" w:rsidRDefault="00D7291E">
      <w:pPr>
        <w:pStyle w:val="BodyText"/>
        <w:spacing w:before="150"/>
        <w:ind w:left="175" w:right="215"/>
      </w:pPr>
      <w:r>
        <w:t>The table below shows values that reflect a valid response for the element, but were excluded from the percent calculations. Specifically, in the calculation of the % employed, we exclude clients who are not in the labor force and clients who reported an employment status of other.</w:t>
      </w:r>
    </w:p>
    <w:p w:rsidR="00B4377F" w:rsidRDefault="00B4377F">
      <w:pPr>
        <w:pStyle w:val="BodyText"/>
        <w:spacing w:before="6"/>
        <w:rPr>
          <w:sz w:val="19"/>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8"/>
        <w:gridCol w:w="1499"/>
        <w:gridCol w:w="1978"/>
      </w:tblGrid>
      <w:tr w:rsidR="00B4377F" w:rsidTr="00D7291E">
        <w:trPr>
          <w:trHeight w:hRule="exact" w:val="304"/>
        </w:trPr>
        <w:tc>
          <w:tcPr>
            <w:tcW w:w="1048" w:type="dxa"/>
          </w:tcPr>
          <w:p w:rsidR="00B4377F" w:rsidRDefault="00D7291E">
            <w:pPr>
              <w:pStyle w:val="TableParagraph"/>
              <w:ind w:left="64" w:right="56"/>
              <w:rPr>
                <w:b/>
                <w:sz w:val="16"/>
              </w:rPr>
            </w:pPr>
            <w:r>
              <w:rPr>
                <w:b/>
                <w:sz w:val="16"/>
              </w:rPr>
              <w:t>Category</w:t>
            </w:r>
          </w:p>
        </w:tc>
        <w:tc>
          <w:tcPr>
            <w:tcW w:w="1499" w:type="dxa"/>
          </w:tcPr>
          <w:p w:rsidR="00B4377F" w:rsidRDefault="00D7291E">
            <w:pPr>
              <w:pStyle w:val="TableParagraph"/>
              <w:ind w:left="352"/>
              <w:jc w:val="left"/>
              <w:rPr>
                <w:b/>
                <w:sz w:val="16"/>
              </w:rPr>
            </w:pPr>
            <w:r>
              <w:rPr>
                <w:b/>
                <w:sz w:val="16"/>
              </w:rPr>
              <w:t>Response</w:t>
            </w:r>
          </w:p>
        </w:tc>
        <w:tc>
          <w:tcPr>
            <w:tcW w:w="1978" w:type="dxa"/>
          </w:tcPr>
          <w:p w:rsidR="00B4377F" w:rsidRDefault="00D7291E">
            <w:pPr>
              <w:pStyle w:val="TableParagraph"/>
              <w:ind w:left="55" w:right="55"/>
              <w:rPr>
                <w:b/>
                <w:sz w:val="16"/>
              </w:rPr>
            </w:pPr>
            <w:r>
              <w:rPr>
                <w:b/>
                <w:sz w:val="16"/>
              </w:rPr>
              <w:t>% of Total Admissions</w:t>
            </w:r>
          </w:p>
        </w:tc>
      </w:tr>
      <w:tr w:rsidR="00B4377F" w:rsidTr="00D7291E">
        <w:trPr>
          <w:trHeight w:hRule="exact" w:val="304"/>
        </w:trPr>
        <w:tc>
          <w:tcPr>
            <w:tcW w:w="1048" w:type="dxa"/>
          </w:tcPr>
          <w:p w:rsidR="00B4377F" w:rsidRDefault="00D7291E">
            <w:pPr>
              <w:pStyle w:val="TableParagraph"/>
              <w:ind w:left="64" w:right="56"/>
              <w:rPr>
                <w:sz w:val="16"/>
              </w:rPr>
            </w:pPr>
            <w:r>
              <w:rPr>
                <w:sz w:val="16"/>
              </w:rPr>
              <w:t>Employment</w:t>
            </w:r>
          </w:p>
        </w:tc>
        <w:tc>
          <w:tcPr>
            <w:tcW w:w="1499" w:type="dxa"/>
          </w:tcPr>
          <w:p w:rsidR="00B4377F" w:rsidRDefault="00D7291E">
            <w:pPr>
              <w:pStyle w:val="TableParagraph"/>
              <w:ind w:left="75"/>
              <w:jc w:val="left"/>
              <w:rPr>
                <w:sz w:val="16"/>
              </w:rPr>
            </w:pPr>
            <w:r>
              <w:rPr>
                <w:sz w:val="16"/>
              </w:rPr>
              <w:t>Not In Labor Force</w:t>
            </w:r>
          </w:p>
        </w:tc>
        <w:tc>
          <w:tcPr>
            <w:tcW w:w="1978" w:type="dxa"/>
          </w:tcPr>
          <w:p w:rsidR="00B4377F" w:rsidRDefault="00D7291E">
            <w:pPr>
              <w:pStyle w:val="TableParagraph"/>
              <w:ind w:left="54" w:right="55"/>
              <w:rPr>
                <w:sz w:val="16"/>
              </w:rPr>
            </w:pPr>
            <w:r>
              <w:rPr>
                <w:sz w:val="16"/>
              </w:rPr>
              <w:t>43.6%</w:t>
            </w:r>
          </w:p>
        </w:tc>
      </w:tr>
      <w:tr w:rsidR="00B4377F" w:rsidTr="00D7291E">
        <w:trPr>
          <w:trHeight w:hRule="exact" w:val="304"/>
        </w:trPr>
        <w:tc>
          <w:tcPr>
            <w:tcW w:w="1048" w:type="dxa"/>
          </w:tcPr>
          <w:p w:rsidR="00B4377F" w:rsidRDefault="00B4377F"/>
        </w:tc>
        <w:tc>
          <w:tcPr>
            <w:tcW w:w="1499" w:type="dxa"/>
          </w:tcPr>
          <w:p w:rsidR="00B4377F" w:rsidRDefault="00D7291E">
            <w:pPr>
              <w:pStyle w:val="TableParagraph"/>
              <w:ind w:left="75"/>
              <w:jc w:val="left"/>
              <w:rPr>
                <w:sz w:val="16"/>
              </w:rPr>
            </w:pPr>
            <w:r>
              <w:rPr>
                <w:sz w:val="16"/>
              </w:rPr>
              <w:t>Other</w:t>
            </w:r>
          </w:p>
        </w:tc>
        <w:tc>
          <w:tcPr>
            <w:tcW w:w="1978" w:type="dxa"/>
          </w:tcPr>
          <w:p w:rsidR="00B4377F" w:rsidRDefault="00D7291E">
            <w:pPr>
              <w:pStyle w:val="TableParagraph"/>
              <w:ind w:left="55" w:right="55"/>
              <w:rPr>
                <w:sz w:val="16"/>
              </w:rPr>
            </w:pPr>
            <w:r>
              <w:rPr>
                <w:sz w:val="16"/>
              </w:rPr>
              <w:t>0.3%</w:t>
            </w:r>
          </w:p>
        </w:tc>
      </w:tr>
    </w:tbl>
    <w:p w:rsidR="00AB5B4C" w:rsidRDefault="00AB5B4C"/>
    <w:sectPr w:rsidR="00AB5B4C">
      <w:type w:val="continuous"/>
      <w:pgSz w:w="15560" w:h="20020"/>
      <w:pgMar w:top="0" w:right="600" w:bottom="86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B4C" w:rsidRDefault="00D7291E">
      <w:r>
        <w:separator/>
      </w:r>
    </w:p>
  </w:endnote>
  <w:endnote w:type="continuationSeparator" w:id="0">
    <w:p w:rsidR="00AB5B4C" w:rsidRDefault="00D7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7F" w:rsidRDefault="00650F6A">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5pt;margin-top:953.75pt;width:74.95pt;height:12.15pt;z-index:-44728;mso-position-horizontal-relative:page;mso-position-vertical-relative:page" filled="f" stroked="f">
          <v:textbox inset="0,0,0,0">
            <w:txbxContent>
              <w:p w:rsidR="00B4377F" w:rsidRDefault="00D7291E">
                <w:pPr>
                  <w:spacing w:before="27"/>
                  <w:ind w:left="20"/>
                  <w:rPr>
                    <w:i/>
                    <w:sz w:val="16"/>
                  </w:rPr>
                </w:pPr>
                <w:r>
                  <w:rPr>
                    <w:i/>
                    <w:sz w:val="16"/>
                  </w:rPr>
                  <w:t>Run on: Sep 6, 2018</w:t>
                </w:r>
              </w:p>
            </w:txbxContent>
          </v:textbox>
          <w10:wrap anchorx="page" anchory="page"/>
        </v:shape>
      </w:pict>
    </w:r>
    <w:r>
      <w:pict>
        <v:shape id="_x0000_s2050" type="#_x0000_t202" style="position:absolute;margin-left:314.65pt;margin-top:953.75pt;width:93.8pt;height:12.15pt;z-index:-44704;mso-position-horizontal-relative:page;mso-position-vertical-relative:page" filled="f" stroked="f">
          <v:textbox inset="0,0,0,0">
            <w:txbxContent>
              <w:p w:rsidR="00B4377F" w:rsidRDefault="00D7291E">
                <w:pPr>
                  <w:spacing w:before="27"/>
                  <w:ind w:left="20"/>
                  <w:rPr>
                    <w:i/>
                    <w:sz w:val="16"/>
                  </w:rPr>
                </w:pPr>
                <w:r>
                  <w:rPr>
                    <w:i/>
                    <w:sz w:val="16"/>
                  </w:rPr>
                  <w:t>Fact Sheet - Young Adults</w:t>
                </w:r>
              </w:p>
            </w:txbxContent>
          </v:textbox>
          <w10:wrap anchorx="page" anchory="page"/>
        </v:shape>
      </w:pict>
    </w:r>
    <w:r>
      <w:pict>
        <v:shape id="_x0000_s2049" type="#_x0000_t202" style="position:absolute;margin-left:700.2pt;margin-top:953.75pt;width:42.4pt;height:12.15pt;z-index:-44680;mso-position-horizontal-relative:page;mso-position-vertical-relative:page" filled="f" stroked="f">
          <v:textbox inset="0,0,0,0">
            <w:txbxContent>
              <w:p w:rsidR="00B4377F" w:rsidRDefault="00D7291E">
                <w:pPr>
                  <w:spacing w:before="27"/>
                  <w:ind w:left="20"/>
                  <w:rPr>
                    <w:i/>
                    <w:sz w:val="16"/>
                  </w:rPr>
                </w:pPr>
                <w:r>
                  <w:rPr>
                    <w:i/>
                    <w:sz w:val="16"/>
                  </w:rPr>
                  <w:t xml:space="preserve">Page </w:t>
                </w:r>
                <w:r>
                  <w:fldChar w:fldCharType="begin"/>
                </w:r>
                <w:r>
                  <w:rPr>
                    <w:i/>
                    <w:sz w:val="16"/>
                  </w:rPr>
                  <w:instrText xml:space="preserve"> PAGE </w:instrText>
                </w:r>
                <w:r>
                  <w:fldChar w:fldCharType="separate"/>
                </w:r>
                <w:r w:rsidR="00650F6A">
                  <w:rPr>
                    <w:i/>
                    <w:noProof/>
                    <w:sz w:val="16"/>
                  </w:rPr>
                  <w:t>5</w:t>
                </w:r>
                <w:r>
                  <w:fldChar w:fldCharType="end"/>
                </w:r>
                <w:r>
                  <w:rPr>
                    <w:i/>
                    <w:sz w:val="16"/>
                  </w:rPr>
                  <w:t xml:space="preserve"> of 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B4C" w:rsidRDefault="00D7291E">
      <w:r>
        <w:separator/>
      </w:r>
    </w:p>
  </w:footnote>
  <w:footnote w:type="continuationSeparator" w:id="0">
    <w:p w:rsidR="00AB5B4C" w:rsidRDefault="00D72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42900"/>
    <w:multiLevelType w:val="hybridMultilevel"/>
    <w:tmpl w:val="1A98B88A"/>
    <w:lvl w:ilvl="0" w:tplc="24FEAF00">
      <w:numFmt w:val="bullet"/>
      <w:lvlText w:val="-"/>
      <w:lvlJc w:val="left"/>
      <w:pPr>
        <w:ind w:left="125" w:hanging="136"/>
      </w:pPr>
      <w:rPr>
        <w:rFonts w:ascii="Tahoma" w:eastAsia="Tahoma" w:hAnsi="Tahoma" w:cs="Tahoma" w:hint="default"/>
        <w:spacing w:val="-1"/>
        <w:w w:val="100"/>
        <w:sz w:val="20"/>
        <w:szCs w:val="20"/>
      </w:rPr>
    </w:lvl>
    <w:lvl w:ilvl="1" w:tplc="096268E2">
      <w:numFmt w:val="bullet"/>
      <w:lvlText w:val="•"/>
      <w:lvlJc w:val="left"/>
      <w:pPr>
        <w:ind w:left="1502" w:hanging="136"/>
      </w:pPr>
      <w:rPr>
        <w:rFonts w:hint="default"/>
      </w:rPr>
    </w:lvl>
    <w:lvl w:ilvl="2" w:tplc="009CE158">
      <w:numFmt w:val="bullet"/>
      <w:lvlText w:val="•"/>
      <w:lvlJc w:val="left"/>
      <w:pPr>
        <w:ind w:left="2884" w:hanging="136"/>
      </w:pPr>
      <w:rPr>
        <w:rFonts w:hint="default"/>
      </w:rPr>
    </w:lvl>
    <w:lvl w:ilvl="3" w:tplc="869454EC">
      <w:numFmt w:val="bullet"/>
      <w:lvlText w:val="•"/>
      <w:lvlJc w:val="left"/>
      <w:pPr>
        <w:ind w:left="4266" w:hanging="136"/>
      </w:pPr>
      <w:rPr>
        <w:rFonts w:hint="default"/>
      </w:rPr>
    </w:lvl>
    <w:lvl w:ilvl="4" w:tplc="372E3790">
      <w:numFmt w:val="bullet"/>
      <w:lvlText w:val="•"/>
      <w:lvlJc w:val="left"/>
      <w:pPr>
        <w:ind w:left="5648" w:hanging="136"/>
      </w:pPr>
      <w:rPr>
        <w:rFonts w:hint="default"/>
      </w:rPr>
    </w:lvl>
    <w:lvl w:ilvl="5" w:tplc="EE7A855C">
      <w:numFmt w:val="bullet"/>
      <w:lvlText w:val="•"/>
      <w:lvlJc w:val="left"/>
      <w:pPr>
        <w:ind w:left="7031" w:hanging="136"/>
      </w:pPr>
      <w:rPr>
        <w:rFonts w:hint="default"/>
      </w:rPr>
    </w:lvl>
    <w:lvl w:ilvl="6" w:tplc="8214C276">
      <w:numFmt w:val="bullet"/>
      <w:lvlText w:val="•"/>
      <w:lvlJc w:val="left"/>
      <w:pPr>
        <w:ind w:left="8413" w:hanging="136"/>
      </w:pPr>
      <w:rPr>
        <w:rFonts w:hint="default"/>
      </w:rPr>
    </w:lvl>
    <w:lvl w:ilvl="7" w:tplc="D270CB84">
      <w:numFmt w:val="bullet"/>
      <w:lvlText w:val="•"/>
      <w:lvlJc w:val="left"/>
      <w:pPr>
        <w:ind w:left="9795" w:hanging="136"/>
      </w:pPr>
      <w:rPr>
        <w:rFonts w:hint="default"/>
      </w:rPr>
    </w:lvl>
    <w:lvl w:ilvl="8" w:tplc="06CC42E0">
      <w:numFmt w:val="bullet"/>
      <w:lvlText w:val="•"/>
      <w:lvlJc w:val="left"/>
      <w:pPr>
        <w:ind w:left="11177" w:hanging="136"/>
      </w:pPr>
      <w:rPr>
        <w:rFonts w:hint="default"/>
      </w:rPr>
    </w:lvl>
  </w:abstractNum>
  <w:abstractNum w:abstractNumId="1">
    <w:nsid w:val="658145D9"/>
    <w:multiLevelType w:val="hybridMultilevel"/>
    <w:tmpl w:val="B1A495A8"/>
    <w:lvl w:ilvl="0" w:tplc="F1DADB0E">
      <w:numFmt w:val="bullet"/>
      <w:lvlText w:val="-"/>
      <w:lvlJc w:val="left"/>
      <w:pPr>
        <w:ind w:left="175" w:hanging="109"/>
      </w:pPr>
      <w:rPr>
        <w:rFonts w:ascii="Tahoma" w:eastAsia="Tahoma" w:hAnsi="Tahoma" w:cs="Tahoma" w:hint="default"/>
        <w:i/>
        <w:spacing w:val="-2"/>
        <w:w w:val="100"/>
        <w:sz w:val="16"/>
        <w:szCs w:val="16"/>
      </w:rPr>
    </w:lvl>
    <w:lvl w:ilvl="1" w:tplc="4100F474">
      <w:numFmt w:val="bullet"/>
      <w:lvlText w:val="•"/>
      <w:lvlJc w:val="left"/>
      <w:pPr>
        <w:ind w:left="1595" w:hanging="109"/>
      </w:pPr>
      <w:rPr>
        <w:rFonts w:hint="default"/>
      </w:rPr>
    </w:lvl>
    <w:lvl w:ilvl="2" w:tplc="86F840A8">
      <w:numFmt w:val="bullet"/>
      <w:lvlText w:val="•"/>
      <w:lvlJc w:val="left"/>
      <w:pPr>
        <w:ind w:left="3010" w:hanging="109"/>
      </w:pPr>
      <w:rPr>
        <w:rFonts w:hint="default"/>
      </w:rPr>
    </w:lvl>
    <w:lvl w:ilvl="3" w:tplc="ECA04C90">
      <w:numFmt w:val="bullet"/>
      <w:lvlText w:val="•"/>
      <w:lvlJc w:val="left"/>
      <w:pPr>
        <w:ind w:left="4425" w:hanging="109"/>
      </w:pPr>
      <w:rPr>
        <w:rFonts w:hint="default"/>
      </w:rPr>
    </w:lvl>
    <w:lvl w:ilvl="4" w:tplc="BD4E0ECC">
      <w:numFmt w:val="bullet"/>
      <w:lvlText w:val="•"/>
      <w:lvlJc w:val="left"/>
      <w:pPr>
        <w:ind w:left="5840" w:hanging="109"/>
      </w:pPr>
      <w:rPr>
        <w:rFonts w:hint="default"/>
      </w:rPr>
    </w:lvl>
    <w:lvl w:ilvl="5" w:tplc="293A2274">
      <w:numFmt w:val="bullet"/>
      <w:lvlText w:val="•"/>
      <w:lvlJc w:val="left"/>
      <w:pPr>
        <w:ind w:left="7256" w:hanging="109"/>
      </w:pPr>
      <w:rPr>
        <w:rFonts w:hint="default"/>
      </w:rPr>
    </w:lvl>
    <w:lvl w:ilvl="6" w:tplc="FEE2D1F6">
      <w:numFmt w:val="bullet"/>
      <w:lvlText w:val="•"/>
      <w:lvlJc w:val="left"/>
      <w:pPr>
        <w:ind w:left="8671" w:hanging="109"/>
      </w:pPr>
      <w:rPr>
        <w:rFonts w:hint="default"/>
      </w:rPr>
    </w:lvl>
    <w:lvl w:ilvl="7" w:tplc="742E9366">
      <w:numFmt w:val="bullet"/>
      <w:lvlText w:val="•"/>
      <w:lvlJc w:val="left"/>
      <w:pPr>
        <w:ind w:left="10086" w:hanging="109"/>
      </w:pPr>
      <w:rPr>
        <w:rFonts w:hint="default"/>
      </w:rPr>
    </w:lvl>
    <w:lvl w:ilvl="8" w:tplc="325C8374">
      <w:numFmt w:val="bullet"/>
      <w:lvlText w:val="•"/>
      <w:lvlJc w:val="left"/>
      <w:pPr>
        <w:ind w:left="11501" w:hanging="109"/>
      </w:pPr>
      <w:rPr>
        <w:rFonts w:hint="default"/>
      </w:rPr>
    </w:lvl>
  </w:abstractNum>
  <w:abstractNum w:abstractNumId="2">
    <w:nsid w:val="7EA3050B"/>
    <w:multiLevelType w:val="hybridMultilevel"/>
    <w:tmpl w:val="4AA04154"/>
    <w:lvl w:ilvl="0" w:tplc="B20E7296">
      <w:numFmt w:val="bullet"/>
      <w:lvlText w:val="-"/>
      <w:lvlJc w:val="left"/>
      <w:pPr>
        <w:ind w:left="175" w:hanging="122"/>
      </w:pPr>
      <w:rPr>
        <w:rFonts w:ascii="Tahoma" w:eastAsia="Tahoma" w:hAnsi="Tahoma" w:cs="Tahoma" w:hint="default"/>
        <w:spacing w:val="-1"/>
        <w:w w:val="100"/>
        <w:sz w:val="18"/>
        <w:szCs w:val="18"/>
      </w:rPr>
    </w:lvl>
    <w:lvl w:ilvl="1" w:tplc="76E80BC8">
      <w:numFmt w:val="bullet"/>
      <w:lvlText w:val="•"/>
      <w:lvlJc w:val="left"/>
      <w:pPr>
        <w:ind w:left="1595" w:hanging="122"/>
      </w:pPr>
      <w:rPr>
        <w:rFonts w:hint="default"/>
      </w:rPr>
    </w:lvl>
    <w:lvl w:ilvl="2" w:tplc="5B7AAB0C">
      <w:numFmt w:val="bullet"/>
      <w:lvlText w:val="•"/>
      <w:lvlJc w:val="left"/>
      <w:pPr>
        <w:ind w:left="3010" w:hanging="122"/>
      </w:pPr>
      <w:rPr>
        <w:rFonts w:hint="default"/>
      </w:rPr>
    </w:lvl>
    <w:lvl w:ilvl="3" w:tplc="55003246">
      <w:numFmt w:val="bullet"/>
      <w:lvlText w:val="•"/>
      <w:lvlJc w:val="left"/>
      <w:pPr>
        <w:ind w:left="4425" w:hanging="122"/>
      </w:pPr>
      <w:rPr>
        <w:rFonts w:hint="default"/>
      </w:rPr>
    </w:lvl>
    <w:lvl w:ilvl="4" w:tplc="0C5EB57C">
      <w:numFmt w:val="bullet"/>
      <w:lvlText w:val="•"/>
      <w:lvlJc w:val="left"/>
      <w:pPr>
        <w:ind w:left="5840" w:hanging="122"/>
      </w:pPr>
      <w:rPr>
        <w:rFonts w:hint="default"/>
      </w:rPr>
    </w:lvl>
    <w:lvl w:ilvl="5" w:tplc="C3A04C8E">
      <w:numFmt w:val="bullet"/>
      <w:lvlText w:val="•"/>
      <w:lvlJc w:val="left"/>
      <w:pPr>
        <w:ind w:left="7256" w:hanging="122"/>
      </w:pPr>
      <w:rPr>
        <w:rFonts w:hint="default"/>
      </w:rPr>
    </w:lvl>
    <w:lvl w:ilvl="6" w:tplc="7A628A90">
      <w:numFmt w:val="bullet"/>
      <w:lvlText w:val="•"/>
      <w:lvlJc w:val="left"/>
      <w:pPr>
        <w:ind w:left="8671" w:hanging="122"/>
      </w:pPr>
      <w:rPr>
        <w:rFonts w:hint="default"/>
      </w:rPr>
    </w:lvl>
    <w:lvl w:ilvl="7" w:tplc="54584978">
      <w:numFmt w:val="bullet"/>
      <w:lvlText w:val="•"/>
      <w:lvlJc w:val="left"/>
      <w:pPr>
        <w:ind w:left="10086" w:hanging="122"/>
      </w:pPr>
      <w:rPr>
        <w:rFonts w:hint="default"/>
      </w:rPr>
    </w:lvl>
    <w:lvl w:ilvl="8" w:tplc="E0F81908">
      <w:numFmt w:val="bullet"/>
      <w:lvlText w:val="•"/>
      <w:lvlJc w:val="left"/>
      <w:pPr>
        <w:ind w:left="11501" w:hanging="122"/>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4377F"/>
    <w:rsid w:val="00650F6A"/>
    <w:rsid w:val="00AB5B4C"/>
    <w:rsid w:val="00B4377F"/>
    <w:rsid w:val="00D7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7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75" w:hanging="121"/>
    </w:pPr>
  </w:style>
  <w:style w:type="paragraph" w:customStyle="1" w:styleId="TableParagraph">
    <w:name w:val="Table Paragraph"/>
    <w:basedOn w:val="Normal"/>
    <w:uiPriority w:val="1"/>
    <w:qFormat/>
    <w:pPr>
      <w:spacing w:before="45"/>
      <w:jc w:val="center"/>
    </w:pPr>
  </w:style>
  <w:style w:type="paragraph" w:styleId="Header">
    <w:name w:val="header"/>
    <w:basedOn w:val="Normal"/>
    <w:link w:val="HeaderChar"/>
    <w:uiPriority w:val="99"/>
    <w:unhideWhenUsed/>
    <w:rsid w:val="00D7291E"/>
    <w:pPr>
      <w:tabs>
        <w:tab w:val="center" w:pos="4680"/>
        <w:tab w:val="right" w:pos="9360"/>
      </w:tabs>
    </w:pPr>
  </w:style>
  <w:style w:type="character" w:customStyle="1" w:styleId="HeaderChar">
    <w:name w:val="Header Char"/>
    <w:basedOn w:val="DefaultParagraphFont"/>
    <w:link w:val="Header"/>
    <w:uiPriority w:val="99"/>
    <w:rsid w:val="00D7291E"/>
    <w:rPr>
      <w:rFonts w:ascii="Tahoma" w:eastAsia="Tahoma" w:hAnsi="Tahoma" w:cs="Tahoma"/>
    </w:rPr>
  </w:style>
  <w:style w:type="paragraph" w:styleId="Footer">
    <w:name w:val="footer"/>
    <w:basedOn w:val="Normal"/>
    <w:link w:val="FooterChar"/>
    <w:uiPriority w:val="99"/>
    <w:unhideWhenUsed/>
    <w:rsid w:val="00D7291E"/>
    <w:pPr>
      <w:tabs>
        <w:tab w:val="center" w:pos="4680"/>
        <w:tab w:val="right" w:pos="9360"/>
      </w:tabs>
    </w:pPr>
  </w:style>
  <w:style w:type="character" w:customStyle="1" w:styleId="FooterChar">
    <w:name w:val="Footer Char"/>
    <w:basedOn w:val="DefaultParagraphFont"/>
    <w:link w:val="Footer"/>
    <w:uiPriority w:val="99"/>
    <w:rsid w:val="00D7291E"/>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1171</Words>
  <Characters>6677</Characters>
  <Application>Microsoft Office Word</Application>
  <DocSecurity>0</DocSecurity>
  <Lines>55</Lines>
  <Paragraphs>15</Paragraphs>
  <ScaleCrop>false</ScaleCrop>
  <Company>EOHHS</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3</cp:revision>
  <dcterms:created xsi:type="dcterms:W3CDTF">2019-02-12T10:13:00Z</dcterms:created>
  <dcterms:modified xsi:type="dcterms:W3CDTF">2019-02-12T19:57:00Z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2018-09-06T00:00:00Z</vt:filetime>
  </property>
  <property fmtid="{D5CDD505-2E9C-101B-9397-08002B2CF9AE}" pid="3" name="LastSaved">
    <vt:filetime>2018-09-06T00:00:00Z</vt:filetime>
  </property>
</Properties>
</file>