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</w:p>
    <w:p w:rsidR="009E0B89" w:rsidRPr="00B347DB" w:rsidRDefault="00B347DB" w:rsidP="00B347DB">
      <w:pPr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B347DB">
      <w:pPr>
        <w:jc w:val="center"/>
      </w:pPr>
    </w:p>
    <w:p w:rsidR="00B456E6" w:rsidRDefault="00593478" w:rsidP="00B347DB">
      <w:pPr>
        <w:ind w:left="-810"/>
        <w:rPr>
          <w:sz w:val="20"/>
          <w:szCs w:val="20"/>
        </w:rPr>
      </w:pPr>
      <w:r>
        <w:rPr>
          <w:sz w:val="20"/>
          <w:szCs w:val="20"/>
        </w:rPr>
        <w:t xml:space="preserve">Medication: </w:t>
      </w:r>
      <w:r w:rsidRPr="00593478">
        <w:rPr>
          <w:sz w:val="20"/>
          <w:szCs w:val="20"/>
          <w:u w:val="single"/>
        </w:rPr>
        <w:t>Zohydro</w:t>
      </w:r>
      <w:r w:rsidRPr="00593478">
        <w:rPr>
          <w:rFonts w:ascii="Calibri" w:hAnsi="Calibri"/>
          <w:sz w:val="20"/>
          <w:szCs w:val="20"/>
          <w:u w:val="single"/>
        </w:rPr>
        <w:t>®</w:t>
      </w:r>
      <w:r w:rsidRPr="00593478">
        <w:rPr>
          <w:sz w:val="20"/>
          <w:szCs w:val="20"/>
          <w:u w:val="single"/>
        </w:rPr>
        <w:t xml:space="preserve"> (hydrocodone extended-release capsule</w:t>
      </w:r>
      <w:r>
        <w:rPr>
          <w:sz w:val="20"/>
          <w:szCs w:val="20"/>
          <w:u w:val="single"/>
        </w:rPr>
        <w:t>)</w:t>
      </w:r>
    </w:p>
    <w:p w:rsidR="00B456E6" w:rsidRDefault="00B456E6" w:rsidP="00B347DB">
      <w:pPr>
        <w:ind w:left="-810"/>
        <w:rPr>
          <w:sz w:val="20"/>
          <w:szCs w:val="20"/>
        </w:rPr>
      </w:pPr>
    </w:p>
    <w:p w:rsidR="00B347DB" w:rsidRDefault="00B347DB" w:rsidP="00B347DB">
      <w:pPr>
        <w:ind w:left="-81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r w:rsidR="00593478">
        <w:rPr>
          <w:sz w:val="20"/>
          <w:szCs w:val="20"/>
        </w:rPr>
        <w:t xml:space="preserve">: </w:t>
      </w:r>
      <w:r w:rsidR="00123AB9">
        <w:rPr>
          <w:sz w:val="20"/>
          <w:szCs w:val="20"/>
          <w:u w:val="single"/>
        </w:rPr>
        <w:t>06/02</w:t>
      </w:r>
      <w:r w:rsidR="00593478" w:rsidRPr="00593478">
        <w:rPr>
          <w:sz w:val="20"/>
          <w:szCs w:val="20"/>
          <w:u w:val="single"/>
        </w:rPr>
        <w:t>/2016</w:t>
      </w:r>
      <w:r w:rsidR="005A53C6">
        <w:rPr>
          <w:sz w:val="20"/>
          <w:szCs w:val="20"/>
        </w:rPr>
        <w:tab/>
      </w:r>
      <w:r w:rsidR="005A53C6">
        <w:rPr>
          <w:sz w:val="20"/>
          <w:szCs w:val="20"/>
        </w:rPr>
        <w:tab/>
        <w:t xml:space="preserve">Evaluation History: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765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347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sz w:val="20"/>
          <w:szCs w:val="20"/>
        </w:rPr>
        <w:t xml:space="preserve"> Initial </w:t>
      </w:r>
      <w:r w:rsidR="00640A47">
        <w:rPr>
          <w:sz w:val="20"/>
          <w:szCs w:val="20"/>
        </w:rPr>
        <w:t>Version 1.0, or</w:t>
      </w:r>
      <w:r w:rsidR="005A53C6">
        <w:rPr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41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640A47">
        <w:rPr>
          <w:sz w:val="20"/>
          <w:szCs w:val="20"/>
        </w:rPr>
        <w:t xml:space="preserve"> Version _________</w:t>
      </w:r>
    </w:p>
    <w:p w:rsidR="00B347DB" w:rsidRDefault="00B347DB" w:rsidP="00B347DB">
      <w:pPr>
        <w:ind w:left="-810"/>
        <w:rPr>
          <w:sz w:val="20"/>
          <w:szCs w:val="20"/>
        </w:rPr>
      </w:pPr>
    </w:p>
    <w:p w:rsidR="00B347DB" w:rsidRDefault="005F647C" w:rsidP="00B347DB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5A53C6">
        <w:rPr>
          <w:sz w:val="20"/>
          <w:szCs w:val="20"/>
        </w:rPr>
        <w:t xml:space="preserve">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2012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4D2190">
        <w:rPr>
          <w:sz w:val="20"/>
          <w:szCs w:val="20"/>
        </w:rPr>
        <w:t xml:space="preserve">Prior to 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845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proofErr w:type="gramStart"/>
      <w:r w:rsidR="004D2190">
        <w:rPr>
          <w:sz w:val="20"/>
          <w:szCs w:val="20"/>
        </w:rPr>
        <w:t>After</w:t>
      </w:r>
      <w:proofErr w:type="gramEnd"/>
      <w:r w:rsidR="00B347DB">
        <w:rPr>
          <w:sz w:val="20"/>
          <w:szCs w:val="20"/>
        </w:rPr>
        <w:t xml:space="preserve"> publication of FDA Guidance to Industry Document (4/2015)</w:t>
      </w:r>
    </w:p>
    <w:p w:rsidR="00B347DB" w:rsidRDefault="00B347DB" w:rsidP="00B347DB">
      <w:pPr>
        <w:ind w:left="-810" w:right="-810"/>
        <w:rPr>
          <w:sz w:val="20"/>
          <w:szCs w:val="20"/>
        </w:rPr>
      </w:pPr>
    </w:p>
    <w:p w:rsidR="00954E0F" w:rsidRDefault="00954E0F" w:rsidP="00B347DB">
      <w:pPr>
        <w:ind w:left="-810" w:right="-81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18664E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456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47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A01419"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r w:rsidR="00954E0F">
        <w:rPr>
          <w:iCs/>
          <w:sz w:val="20"/>
          <w:szCs w:val="20"/>
        </w:rPr>
        <w:t xml:space="preserve"> product</w:t>
      </w:r>
    </w:p>
    <w:p w:rsidR="00FF50E1" w:rsidRDefault="0018664E" w:rsidP="00FF50E1">
      <w:pPr>
        <w:ind w:right="-810"/>
        <w:rPr>
          <w:rFonts w:eastAsia="MS Gothic" w:cs="Menlo Bold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664499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347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 xml:space="preserve">xisting </w:t>
      </w:r>
      <w:r w:rsidR="00FF50E1"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18664E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330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>xisting product with new/updated labeling</w:t>
      </w:r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18664E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06682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1E4BD8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 w:rsidR="001E4BD8">
        <w:rPr>
          <w:rFonts w:eastAsia="MS Gothic" w:cs="Menlo Bold"/>
          <w:color w:val="000000"/>
          <w:sz w:val="20"/>
          <w:szCs w:val="20"/>
        </w:rPr>
        <w:t>ther: _____________________________________________________________________________________</w:t>
      </w:r>
    </w:p>
    <w:p w:rsidR="00954E0F" w:rsidRPr="00FD794D" w:rsidRDefault="00FF50E1" w:rsidP="00FD794D">
      <w:pPr>
        <w:ind w:left="-810" w:right="-81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954E0F">
      <w:pPr>
        <w:ind w:left="-810" w:right="-81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18664E" w:rsidP="00954E0F">
      <w:pPr>
        <w:ind w:left="-810" w:right="-810" w:firstLine="81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2538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762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18664E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056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18664E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2341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18664E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915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18664E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17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18664E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35102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18664E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9093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954E0F">
      <w:pPr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A37F93">
      <w:pPr>
        <w:ind w:left="-810" w:right="-81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A37F93">
      <w:pPr>
        <w:ind w:left="-810" w:right="-810"/>
        <w:rPr>
          <w:iCs/>
          <w:sz w:val="20"/>
          <w:szCs w:val="20"/>
        </w:rPr>
      </w:pPr>
    </w:p>
    <w:p w:rsidR="00A37F93" w:rsidRPr="00954E0F" w:rsidRDefault="00A37F93" w:rsidP="00A37F93">
      <w:pPr>
        <w:ind w:left="-810" w:right="-81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4D2190">
        <w:rPr>
          <w:iCs/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6603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9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4D2190">
        <w:rPr>
          <w:iCs/>
          <w:sz w:val="20"/>
          <w:szCs w:val="20"/>
        </w:rPr>
        <w:t xml:space="preserve"> Yes</w:t>
      </w:r>
      <w:r w:rsidR="00BF2E2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20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762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4D2190">
        <w:rPr>
          <w:iCs/>
          <w:sz w:val="20"/>
          <w:szCs w:val="20"/>
        </w:rPr>
        <w:t xml:space="preserve"> No</w:t>
      </w:r>
      <w:r w:rsidR="00BF2E2B">
        <w:rPr>
          <w:iCs/>
          <w:sz w:val="20"/>
          <w:szCs w:val="20"/>
        </w:rPr>
        <w:t xml:space="preserve">   Year obtained: ________</w:t>
      </w:r>
    </w:p>
    <w:p w:rsidR="00D37576" w:rsidRDefault="00D3757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765F6" w:rsidRDefault="0075607C" w:rsidP="00BF2E2B">
      <w:pPr>
        <w:widowControl w:val="0"/>
        <w:autoSpaceDE w:val="0"/>
        <w:autoSpaceDN w:val="0"/>
        <w:adjustRightInd w:val="0"/>
        <w:ind w:left="-81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9D7287">
      <w:pPr>
        <w:ind w:left="-810" w:right="-810"/>
        <w:rPr>
          <w:sz w:val="20"/>
          <w:szCs w:val="20"/>
        </w:rPr>
      </w:pPr>
    </w:p>
    <w:p w:rsidR="0075607C" w:rsidRDefault="0018664E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81132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024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410241" w:rsidRDefault="00B456E6" w:rsidP="00D3757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410241">
        <w:rPr>
          <w:sz w:val="20"/>
          <w:szCs w:val="20"/>
        </w:rPr>
        <w:t xml:space="preserve">: </w:t>
      </w:r>
      <w:r w:rsidR="00410241" w:rsidRPr="00250294">
        <w:rPr>
          <w:rFonts w:cs="Arial"/>
          <w:sz w:val="20"/>
          <w:szCs w:val="20"/>
          <w:u w:val="single"/>
        </w:rPr>
        <w:t>the manufacturer was unable to supply any clinical abuse potential studies or</w:t>
      </w:r>
      <w:r w:rsidR="00410241" w:rsidRPr="00410241">
        <w:rPr>
          <w:rFonts w:cs="Arial"/>
          <w:sz w:val="20"/>
          <w:szCs w:val="20"/>
        </w:rPr>
        <w:t xml:space="preserve"> </w:t>
      </w:r>
    </w:p>
    <w:p w:rsidR="00410241" w:rsidRPr="00250294" w:rsidRDefault="00410241" w:rsidP="00D3757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proofErr w:type="gramStart"/>
      <w:r w:rsidRPr="00250294">
        <w:rPr>
          <w:rFonts w:cs="Arial"/>
          <w:i/>
          <w:sz w:val="20"/>
          <w:szCs w:val="20"/>
          <w:u w:val="single"/>
        </w:rPr>
        <w:t>in</w:t>
      </w:r>
      <w:proofErr w:type="gramEnd"/>
      <w:r w:rsidRPr="00250294">
        <w:rPr>
          <w:rFonts w:cs="Arial"/>
          <w:i/>
          <w:sz w:val="20"/>
          <w:szCs w:val="20"/>
          <w:u w:val="single"/>
        </w:rPr>
        <w:t xml:space="preserve"> vitro</w:t>
      </w:r>
      <w:r w:rsidRPr="00250294">
        <w:rPr>
          <w:rFonts w:cs="Arial"/>
          <w:sz w:val="20"/>
          <w:szCs w:val="20"/>
          <w:u w:val="single"/>
        </w:rPr>
        <w:t xml:space="preserve"> laboratory manipulation and extraction studies. Review of the Supplemental New Drug </w:t>
      </w:r>
    </w:p>
    <w:p w:rsidR="00410241" w:rsidRPr="00250294" w:rsidRDefault="00410241" w:rsidP="00D3757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 w:rsidRPr="00250294">
        <w:rPr>
          <w:rFonts w:cs="Arial"/>
          <w:sz w:val="20"/>
          <w:szCs w:val="20"/>
          <w:u w:val="single"/>
        </w:rPr>
        <w:t>Application for reformulated Zohydro ER</w:t>
      </w:r>
      <w:r w:rsidRPr="00250294">
        <w:rPr>
          <w:rFonts w:cs="Arial"/>
          <w:sz w:val="20"/>
          <w:szCs w:val="20"/>
          <w:u w:val="single"/>
          <w:vertAlign w:val="superscript"/>
        </w:rPr>
        <w:t>®</w:t>
      </w:r>
      <w:r w:rsidRPr="00250294">
        <w:rPr>
          <w:rFonts w:cs="Arial"/>
          <w:sz w:val="20"/>
          <w:szCs w:val="20"/>
          <w:u w:val="single"/>
        </w:rPr>
        <w:t xml:space="preserve"> (hydrocodone extended-release) with </w:t>
      </w:r>
      <w:proofErr w:type="spellStart"/>
      <w:r w:rsidRPr="00250294">
        <w:rPr>
          <w:rFonts w:cs="Arial"/>
          <w:sz w:val="20"/>
          <w:szCs w:val="20"/>
          <w:u w:val="single"/>
        </w:rPr>
        <w:t>BeadTek</w:t>
      </w:r>
      <w:r w:rsidRPr="00250294">
        <w:rPr>
          <w:rFonts w:cs="Arial"/>
          <w:sz w:val="20"/>
          <w:szCs w:val="20"/>
          <w:u w:val="single"/>
          <w:vertAlign w:val="superscript"/>
        </w:rPr>
        <w:t>TM</w:t>
      </w:r>
      <w:proofErr w:type="spellEnd"/>
      <w:r w:rsidRPr="00250294">
        <w:rPr>
          <w:rFonts w:cs="Arial"/>
          <w:sz w:val="20"/>
          <w:szCs w:val="20"/>
          <w:u w:val="single"/>
        </w:rPr>
        <w:t xml:space="preserve"> revealed </w:t>
      </w:r>
    </w:p>
    <w:p w:rsidR="00B456E6" w:rsidRPr="00410241" w:rsidRDefault="00410241" w:rsidP="00D3757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proofErr w:type="gramStart"/>
      <w:r w:rsidRPr="00250294">
        <w:rPr>
          <w:rFonts w:cs="Arial"/>
          <w:sz w:val="20"/>
          <w:szCs w:val="20"/>
          <w:u w:val="single"/>
        </w:rPr>
        <w:t>no</w:t>
      </w:r>
      <w:proofErr w:type="gramEnd"/>
      <w:r w:rsidRPr="00250294">
        <w:rPr>
          <w:rFonts w:cs="Arial"/>
          <w:sz w:val="20"/>
          <w:szCs w:val="20"/>
          <w:u w:val="single"/>
        </w:rPr>
        <w:t xml:space="preserve"> information pertinent to the potential abuse-deterrent properties</w:t>
      </w:r>
      <w:r w:rsidR="0018664E">
        <w:rPr>
          <w:rFonts w:cs="Arial"/>
          <w:sz w:val="20"/>
          <w:szCs w:val="20"/>
          <w:u w:val="single"/>
        </w:rPr>
        <w:t>.                                                          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75607C" w:rsidRDefault="0018664E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5063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Default="00B456E6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 w:rsidR="001647A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</w:t>
      </w:r>
    </w:p>
    <w:p w:rsidR="001647A4" w:rsidRPr="0075607C" w:rsidRDefault="001647A4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18664E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4602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1647A4" w:rsidRDefault="00B456E6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 w:rsidR="001647A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</w:t>
      </w:r>
    </w:p>
    <w:p w:rsidR="001647A4" w:rsidRPr="0075607C" w:rsidRDefault="001647A4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18664E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7591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56E6" w:rsidRDefault="0018664E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783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18664E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4645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18664E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88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18664E" w:rsidP="00D3757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66712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75607C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75607C">
        <w:rPr>
          <w:sz w:val="20"/>
          <w:szCs w:val="20"/>
        </w:rPr>
        <w:t>Post market</w:t>
      </w:r>
    </w:p>
    <w:p w:rsidR="009507B8" w:rsidRDefault="0018664E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95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 xml:space="preserve">Formal studies included recommended study design features (see page 19 FDA Guidance </w:t>
      </w:r>
    </w:p>
    <w:p w:rsidR="009507B8" w:rsidRDefault="009507B8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</w:p>
    <w:p w:rsidR="009507B8" w:rsidRDefault="009507B8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</w:p>
    <w:p w:rsidR="009507B8" w:rsidRDefault="009507B8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</w:p>
    <w:p w:rsidR="0075607C" w:rsidRDefault="0075607C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proofErr w:type="gramStart"/>
      <w:r w:rsidRPr="002E2749">
        <w:rPr>
          <w:sz w:val="20"/>
          <w:szCs w:val="20"/>
        </w:rPr>
        <w:t>document</w:t>
      </w:r>
      <w:proofErr w:type="gramEnd"/>
      <w:r w:rsidRPr="002E2749">
        <w:rPr>
          <w:sz w:val="20"/>
          <w:szCs w:val="20"/>
        </w:rPr>
        <w:t>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144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18664E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1354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18664E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172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18664E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7785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18664E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614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18664E" w:rsidP="00D3757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7090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1647A4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18664E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7960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1647A4" w:rsidRPr="002E2749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75607C" w:rsidRDefault="0018664E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50413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1647A4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004CED" w:rsidRPr="00004CED" w:rsidRDefault="0018664E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Apple Symbols" w:eastAsia="MS Gothic" w:hAnsi="Apple Symbols" w:cs="Apple Symbols"/>
            <w:color w:val="000000"/>
            <w:sz w:val="20"/>
            <w:szCs w:val="20"/>
          </w:rPr>
          <w:id w:val="13146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Apple Symbols" w:hint="eastAsia"/>
              <w:color w:val="000000"/>
              <w:sz w:val="20"/>
              <w:szCs w:val="20"/>
            </w:rPr>
            <w:t>☐</w:t>
          </w:r>
        </w:sdtContent>
      </w:sdt>
      <w:r w:rsidR="00004CED"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2E2749">
      <w:pPr>
        <w:widowControl w:val="0"/>
        <w:autoSpaceDE w:val="0"/>
        <w:autoSpaceDN w:val="0"/>
        <w:adjustRightInd w:val="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Pr="00B13B67" w:rsidRDefault="0018664E" w:rsidP="00D518E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15771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762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37F93" w:rsidRPr="00954E0F">
        <w:rPr>
          <w:rFonts w:eastAsia="MS Gothic"/>
          <w:color w:val="000000"/>
          <w:sz w:val="20"/>
          <w:szCs w:val="20"/>
        </w:rPr>
        <w:t xml:space="preserve"> </w:t>
      </w:r>
      <w:r w:rsidR="00A37F93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B13B67">
        <w:t xml:space="preserve"> </w:t>
      </w:r>
      <w:r w:rsidR="00B13B67">
        <w:rPr>
          <w:sz w:val="20"/>
          <w:szCs w:val="20"/>
        </w:rPr>
        <w:t>(Category III)</w:t>
      </w: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Pr="00B13B67" w:rsidRDefault="0018664E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</w:rPr>
          <w:id w:val="-205552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B456E6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B456E6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B456E6" w:rsidRPr="00DE5A89">
        <w:rPr>
          <w:sz w:val="20"/>
          <w:szCs w:val="20"/>
        </w:rPr>
        <w:t>demonstrates a reduction in the abuse</w:t>
      </w:r>
      <w:r w:rsidR="00B456E6" w:rsidRPr="0075607C">
        <w:rPr>
          <w:sz w:val="20"/>
          <w:szCs w:val="20"/>
        </w:rPr>
        <w:t xml:space="preserve"> of the product in the community setting compared to levels of abuse, overdose, and</w:t>
      </w:r>
      <w:r w:rsidR="00B456E6">
        <w:t xml:space="preserve"> </w:t>
      </w:r>
      <w:r w:rsidR="00B456E6" w:rsidRPr="0075607C">
        <w:rPr>
          <w:sz w:val="20"/>
          <w:szCs w:val="20"/>
        </w:rPr>
        <w:t>death that occurred when only formulations of the same opioid without-abuse-deterrent properties were available</w:t>
      </w:r>
      <w:r w:rsidR="00B456E6">
        <w:t xml:space="preserve"> </w:t>
      </w:r>
      <w:r w:rsidR="00B13B67">
        <w:rPr>
          <w:sz w:val="20"/>
          <w:szCs w:val="20"/>
        </w:rPr>
        <w:t>(Category II)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B13B67" w:rsidRDefault="0018664E" w:rsidP="00D518EB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0288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F2E2B">
        <w:rPr>
          <w:rFonts w:eastAsia="MS Gothic"/>
          <w:color w:val="000000"/>
          <w:sz w:val="20"/>
          <w:szCs w:val="20"/>
        </w:rPr>
        <w:t xml:space="preserve"> </w:t>
      </w:r>
      <w:r w:rsidR="00DE5A89" w:rsidRPr="00BF2E2B">
        <w:rPr>
          <w:rFonts w:eastAsia="MS Gothic"/>
          <w:color w:val="000000"/>
          <w:sz w:val="20"/>
          <w:szCs w:val="20"/>
          <w:u w:val="single"/>
        </w:rPr>
        <w:t>There</w:t>
      </w:r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 w:rsidR="00DE5A89"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 w:rsidR="00DE5A89"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  <w:r w:rsidR="00B13B67">
        <w:rPr>
          <w:sz w:val="20"/>
          <w:szCs w:val="20"/>
        </w:rPr>
        <w:t>(Category I)</w:t>
      </w:r>
    </w:p>
    <w:p w:rsidR="0075607C" w:rsidRPr="00B347DB" w:rsidRDefault="0075607C" w:rsidP="00B347DB">
      <w:pPr>
        <w:ind w:left="-810" w:right="-810"/>
        <w:rPr>
          <w:sz w:val="20"/>
          <w:szCs w:val="20"/>
        </w:rPr>
      </w:pPr>
    </w:p>
    <w:sectPr w:rsidR="0075607C" w:rsidRPr="00B347DB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208C7"/>
    <w:rsid w:val="000D7626"/>
    <w:rsid w:val="00123AB9"/>
    <w:rsid w:val="001647A4"/>
    <w:rsid w:val="0018664E"/>
    <w:rsid w:val="001C5224"/>
    <w:rsid w:val="001E4BD8"/>
    <w:rsid w:val="00250294"/>
    <w:rsid w:val="00272DE9"/>
    <w:rsid w:val="002E1B0E"/>
    <w:rsid w:val="002E2749"/>
    <w:rsid w:val="00410241"/>
    <w:rsid w:val="004D2190"/>
    <w:rsid w:val="00564E0D"/>
    <w:rsid w:val="00593478"/>
    <w:rsid w:val="005A53C6"/>
    <w:rsid w:val="005F647C"/>
    <w:rsid w:val="00640A47"/>
    <w:rsid w:val="00646D33"/>
    <w:rsid w:val="0075607C"/>
    <w:rsid w:val="00791C61"/>
    <w:rsid w:val="009507B8"/>
    <w:rsid w:val="00954E0F"/>
    <w:rsid w:val="009D7287"/>
    <w:rsid w:val="009E0B89"/>
    <w:rsid w:val="00A01419"/>
    <w:rsid w:val="00A37F93"/>
    <w:rsid w:val="00AE1ED2"/>
    <w:rsid w:val="00B13B67"/>
    <w:rsid w:val="00B347DB"/>
    <w:rsid w:val="00B36119"/>
    <w:rsid w:val="00B456E6"/>
    <w:rsid w:val="00B8713A"/>
    <w:rsid w:val="00BF2E2B"/>
    <w:rsid w:val="00C31EE1"/>
    <w:rsid w:val="00D37576"/>
    <w:rsid w:val="00D518EB"/>
    <w:rsid w:val="00DE5A89"/>
    <w:rsid w:val="00E87047"/>
    <w:rsid w:val="00F765F6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2016-05-06T13:36:00Z</dcterms:created>
  <dc:creator>Stephen Feldman</dc:creator>
  <lastModifiedBy>UmassUser</lastModifiedBy>
  <lastPrinted>2016-03-07T12:15:00Z</lastPrinted>
  <dcterms:modified xsi:type="dcterms:W3CDTF">2016-05-23T15:08:00Z</dcterms:modified>
  <revision>4</revision>
</coreProperties>
</file>