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F2" w:rsidRPr="0044122B" w:rsidRDefault="00F12B1C" w:rsidP="00896B92">
      <w:pPr>
        <w:pStyle w:val="NoSpacing"/>
        <w:jc w:val="center"/>
        <w:rPr>
          <w:rFonts w:ascii="Arial" w:hAnsi="Arial" w:cs="Arial"/>
          <w:b/>
          <w:i/>
          <w:sz w:val="24"/>
          <w:szCs w:val="24"/>
        </w:rPr>
      </w:pPr>
      <w:bookmarkStart w:id="0" w:name="_GoBack"/>
      <w:bookmarkEnd w:id="0"/>
      <w:r>
        <w:rPr>
          <w:rFonts w:ascii="Arial" w:hAnsi="Arial" w:cs="Arial"/>
          <w:b/>
          <w:i/>
          <w:sz w:val="24"/>
          <w:szCs w:val="24"/>
        </w:rPr>
        <w:t xml:space="preserve">Drug </w:t>
      </w:r>
      <w:r w:rsidR="0009633C">
        <w:rPr>
          <w:rFonts w:ascii="Arial" w:hAnsi="Arial" w:cs="Arial"/>
          <w:b/>
          <w:i/>
          <w:sz w:val="24"/>
          <w:szCs w:val="24"/>
        </w:rPr>
        <w:t>Monograph</w:t>
      </w:r>
    </w:p>
    <w:p w:rsidR="009F5A3B" w:rsidRPr="0044122B" w:rsidRDefault="009F5A3B" w:rsidP="004920E8">
      <w:pPr>
        <w:pStyle w:val="NoSpacing"/>
        <w:jc w:val="center"/>
        <w:rPr>
          <w:rFonts w:ascii="Arial" w:hAnsi="Arial" w:cs="Arial"/>
          <w:sz w:val="20"/>
          <w:szCs w:val="20"/>
        </w:rPr>
      </w:pPr>
    </w:p>
    <w:p w:rsidR="009F5A3B" w:rsidRPr="0044122B" w:rsidRDefault="009F5A3B" w:rsidP="004920E8">
      <w:pPr>
        <w:pStyle w:val="NoSpacing"/>
        <w:rPr>
          <w:rFonts w:ascii="Arial" w:hAnsi="Arial" w:cs="Arial"/>
          <w:sz w:val="20"/>
          <w:szCs w:val="20"/>
        </w:rPr>
      </w:pPr>
      <w:r w:rsidRPr="0044122B">
        <w:rPr>
          <w:rFonts w:ascii="Arial" w:hAnsi="Arial" w:cs="Arial"/>
          <w:b/>
          <w:sz w:val="20"/>
          <w:szCs w:val="20"/>
        </w:rPr>
        <w:t>Generic Name</w:t>
      </w:r>
      <w:r w:rsidRPr="00896B92">
        <w:rPr>
          <w:rFonts w:ascii="Arial" w:hAnsi="Arial" w:cs="Arial"/>
          <w:sz w:val="20"/>
          <w:szCs w:val="20"/>
        </w:rPr>
        <w:t>:</w:t>
      </w:r>
      <w:r w:rsidR="00730BE7" w:rsidRPr="00896B92">
        <w:rPr>
          <w:rFonts w:ascii="Arial" w:hAnsi="Arial" w:cs="Arial"/>
          <w:sz w:val="20"/>
          <w:szCs w:val="20"/>
        </w:rPr>
        <w:t xml:space="preserve"> </w:t>
      </w:r>
      <w:r w:rsidR="008D34F9">
        <w:rPr>
          <w:rFonts w:ascii="Arial" w:hAnsi="Arial" w:cs="Arial"/>
          <w:sz w:val="20"/>
          <w:szCs w:val="20"/>
        </w:rPr>
        <w:t>hydrocodone extended-release</w:t>
      </w:r>
    </w:p>
    <w:p w:rsidR="009F5A3B" w:rsidRDefault="009F5A3B" w:rsidP="004920E8">
      <w:pPr>
        <w:pStyle w:val="NoSpacing"/>
        <w:rPr>
          <w:rFonts w:ascii="Arial" w:hAnsi="Arial" w:cs="Arial"/>
          <w:sz w:val="20"/>
          <w:szCs w:val="20"/>
          <w:vertAlign w:val="superscript"/>
        </w:rPr>
      </w:pPr>
      <w:r w:rsidRPr="0044122B">
        <w:rPr>
          <w:rFonts w:ascii="Arial" w:hAnsi="Arial" w:cs="Arial"/>
          <w:b/>
          <w:sz w:val="20"/>
          <w:szCs w:val="20"/>
        </w:rPr>
        <w:t>Trade Name</w:t>
      </w:r>
      <w:r w:rsidRPr="0044122B">
        <w:rPr>
          <w:rFonts w:ascii="Arial" w:hAnsi="Arial" w:cs="Arial"/>
          <w:sz w:val="20"/>
          <w:szCs w:val="20"/>
        </w:rPr>
        <w:t>:</w:t>
      </w:r>
      <w:r w:rsidR="00730BE7" w:rsidRPr="0044122B">
        <w:rPr>
          <w:rFonts w:ascii="Arial" w:hAnsi="Arial" w:cs="Arial"/>
          <w:sz w:val="20"/>
          <w:szCs w:val="20"/>
        </w:rPr>
        <w:t xml:space="preserve"> </w:t>
      </w:r>
      <w:proofErr w:type="spellStart"/>
      <w:r w:rsidR="008D34F9">
        <w:rPr>
          <w:rFonts w:ascii="Arial" w:hAnsi="Arial" w:cs="Arial"/>
          <w:sz w:val="20"/>
          <w:szCs w:val="20"/>
        </w:rPr>
        <w:t>Zohydro</w:t>
      </w:r>
      <w:proofErr w:type="spellEnd"/>
      <w:r w:rsidR="008D34F9">
        <w:rPr>
          <w:rFonts w:ascii="Arial" w:hAnsi="Arial" w:cs="Arial"/>
          <w:sz w:val="20"/>
          <w:szCs w:val="20"/>
        </w:rPr>
        <w:t xml:space="preserve"> ER</w:t>
      </w:r>
      <w:r w:rsidR="000B3B40" w:rsidRPr="0044122B">
        <w:rPr>
          <w:rFonts w:ascii="Arial" w:hAnsi="Arial" w:cs="Arial"/>
          <w:sz w:val="20"/>
          <w:szCs w:val="20"/>
          <w:vertAlign w:val="superscript"/>
        </w:rPr>
        <w:t>®</w:t>
      </w:r>
      <w:r w:rsidR="008D34F9">
        <w:rPr>
          <w:rFonts w:ascii="Arial" w:hAnsi="Arial" w:cs="Arial"/>
          <w:sz w:val="20"/>
          <w:szCs w:val="20"/>
        </w:rPr>
        <w:t xml:space="preserve"> </w:t>
      </w:r>
    </w:p>
    <w:p w:rsidR="00D90BD5" w:rsidRDefault="0009633C" w:rsidP="00D90BD5">
      <w:pPr>
        <w:pStyle w:val="NoSpacing"/>
        <w:rPr>
          <w:rFonts w:ascii="Arial" w:hAnsi="Arial" w:cs="Arial"/>
          <w:sz w:val="20"/>
          <w:szCs w:val="20"/>
        </w:rPr>
      </w:pPr>
      <w:r>
        <w:rPr>
          <w:rFonts w:ascii="Arial" w:hAnsi="Arial" w:cs="Arial"/>
          <w:b/>
          <w:bCs/>
          <w:sz w:val="20"/>
          <w:szCs w:val="20"/>
        </w:rPr>
        <w:t>Dosage Form</w:t>
      </w:r>
      <w:r w:rsidR="00D90BD5" w:rsidRPr="00D90BD5">
        <w:rPr>
          <w:rFonts w:ascii="Arial" w:hAnsi="Arial" w:cs="Arial"/>
          <w:bCs/>
          <w:sz w:val="20"/>
          <w:szCs w:val="20"/>
        </w:rPr>
        <w:t>:</w:t>
      </w:r>
      <w:r w:rsidR="00D90BD5">
        <w:rPr>
          <w:rFonts w:ascii="Arial" w:hAnsi="Arial" w:cs="Arial"/>
          <w:b/>
          <w:bCs/>
          <w:color w:val="FF0000"/>
          <w:sz w:val="20"/>
          <w:szCs w:val="20"/>
        </w:rPr>
        <w:t xml:space="preserve"> </w:t>
      </w:r>
      <w:r w:rsidR="008D34F9">
        <w:rPr>
          <w:rFonts w:ascii="Arial" w:hAnsi="Arial" w:cs="Arial"/>
          <w:sz w:val="20"/>
          <w:szCs w:val="20"/>
        </w:rPr>
        <w:t>Extended-release capsules</w:t>
      </w:r>
    </w:p>
    <w:p w:rsidR="0009633C" w:rsidRPr="0009633C" w:rsidRDefault="0009633C" w:rsidP="00D90BD5">
      <w:pPr>
        <w:pStyle w:val="NoSpacing"/>
        <w:rPr>
          <w:rFonts w:ascii="Arial" w:hAnsi="Arial" w:cs="Arial"/>
          <w:bCs/>
          <w:sz w:val="20"/>
          <w:szCs w:val="20"/>
        </w:rPr>
      </w:pPr>
      <w:r>
        <w:rPr>
          <w:rFonts w:ascii="Arial" w:hAnsi="Arial" w:cs="Arial"/>
          <w:b/>
          <w:sz w:val="20"/>
          <w:szCs w:val="20"/>
        </w:rPr>
        <w:t xml:space="preserve">NDCs: </w:t>
      </w:r>
      <w:r w:rsidR="008D34F9" w:rsidRPr="006C7691">
        <w:rPr>
          <w:rFonts w:ascii="Arial" w:hAnsi="Arial" w:cs="Arial"/>
          <w:sz w:val="20"/>
          <w:szCs w:val="20"/>
        </w:rPr>
        <w:t>43376-310-60</w:t>
      </w:r>
      <w:r w:rsidR="008D34F9">
        <w:rPr>
          <w:rFonts w:ascii="Arial" w:hAnsi="Arial" w:cs="Arial"/>
          <w:sz w:val="20"/>
          <w:szCs w:val="20"/>
        </w:rPr>
        <w:t xml:space="preserve">, </w:t>
      </w:r>
      <w:r w:rsidR="008D34F9" w:rsidRPr="006C7691">
        <w:rPr>
          <w:rFonts w:ascii="Arial" w:hAnsi="Arial" w:cs="Arial"/>
          <w:sz w:val="20"/>
          <w:szCs w:val="20"/>
        </w:rPr>
        <w:t>43376-315-60</w:t>
      </w:r>
      <w:r w:rsidR="008D34F9">
        <w:rPr>
          <w:rFonts w:ascii="Arial" w:hAnsi="Arial" w:cs="Arial"/>
          <w:sz w:val="20"/>
          <w:szCs w:val="20"/>
        </w:rPr>
        <w:t xml:space="preserve">, 43376-320-60, 43376-330-60, </w:t>
      </w:r>
      <w:r w:rsidR="008D34F9" w:rsidRPr="006C7691">
        <w:rPr>
          <w:rFonts w:ascii="Arial" w:hAnsi="Arial" w:cs="Arial"/>
          <w:sz w:val="20"/>
          <w:szCs w:val="20"/>
        </w:rPr>
        <w:t>43376-340-60</w:t>
      </w:r>
      <w:r w:rsidR="008D34F9">
        <w:rPr>
          <w:rFonts w:ascii="Arial" w:hAnsi="Arial" w:cs="Arial"/>
          <w:sz w:val="20"/>
          <w:szCs w:val="20"/>
        </w:rPr>
        <w:t xml:space="preserve">, </w:t>
      </w:r>
      <w:r w:rsidR="008D34F9" w:rsidRPr="006C7691">
        <w:rPr>
          <w:rFonts w:ascii="Arial" w:hAnsi="Arial" w:cs="Arial"/>
          <w:sz w:val="20"/>
          <w:szCs w:val="20"/>
        </w:rPr>
        <w:t>43376-350-60</w:t>
      </w:r>
    </w:p>
    <w:p w:rsidR="009F5A3B" w:rsidRPr="0044122B" w:rsidRDefault="009F5A3B" w:rsidP="004920E8">
      <w:pPr>
        <w:pStyle w:val="NoSpacing"/>
        <w:rPr>
          <w:rFonts w:ascii="Arial" w:hAnsi="Arial" w:cs="Arial"/>
          <w:sz w:val="20"/>
          <w:szCs w:val="20"/>
        </w:rPr>
      </w:pPr>
      <w:r w:rsidRPr="0044122B">
        <w:rPr>
          <w:rFonts w:ascii="Arial" w:hAnsi="Arial" w:cs="Arial"/>
          <w:b/>
          <w:sz w:val="20"/>
          <w:szCs w:val="20"/>
        </w:rPr>
        <w:t>Manufacturer</w:t>
      </w:r>
      <w:r w:rsidRPr="0044122B">
        <w:rPr>
          <w:rFonts w:ascii="Arial" w:hAnsi="Arial" w:cs="Arial"/>
          <w:sz w:val="20"/>
          <w:szCs w:val="20"/>
        </w:rPr>
        <w:t>:</w:t>
      </w:r>
      <w:r w:rsidR="00730BE7" w:rsidRPr="0044122B">
        <w:rPr>
          <w:rFonts w:ascii="Arial" w:hAnsi="Arial" w:cs="Arial"/>
          <w:sz w:val="20"/>
          <w:szCs w:val="20"/>
        </w:rPr>
        <w:t xml:space="preserve"> </w:t>
      </w:r>
      <w:proofErr w:type="spellStart"/>
      <w:r w:rsidR="008D34F9" w:rsidRPr="006C7691">
        <w:rPr>
          <w:rFonts w:ascii="Arial" w:hAnsi="Arial" w:cs="Arial"/>
          <w:sz w:val="20"/>
          <w:szCs w:val="20"/>
        </w:rPr>
        <w:t>Pernix</w:t>
      </w:r>
      <w:proofErr w:type="spellEnd"/>
      <w:r w:rsidR="008D34F9" w:rsidRPr="006C7691">
        <w:rPr>
          <w:rFonts w:ascii="Arial" w:hAnsi="Arial" w:cs="Arial"/>
          <w:sz w:val="20"/>
          <w:szCs w:val="20"/>
        </w:rPr>
        <w:t xml:space="preserve"> Ireland Pain Limited</w:t>
      </w:r>
    </w:p>
    <w:p w:rsidR="008D34F9" w:rsidRPr="0009633C" w:rsidRDefault="002F791F" w:rsidP="008D34F9">
      <w:pPr>
        <w:pStyle w:val="NoSpacing"/>
        <w:rPr>
          <w:rFonts w:ascii="Arial" w:hAnsi="Arial" w:cs="Arial"/>
          <w:sz w:val="20"/>
          <w:szCs w:val="20"/>
        </w:rPr>
      </w:pPr>
      <w:r>
        <w:rPr>
          <w:rFonts w:ascii="Arial" w:hAnsi="Arial" w:cs="Arial"/>
          <w:b/>
          <w:sz w:val="20"/>
          <w:szCs w:val="20"/>
        </w:rPr>
        <w:t xml:space="preserve">ADF Product </w:t>
      </w:r>
      <w:r w:rsidR="0009633C">
        <w:rPr>
          <w:rFonts w:ascii="Arial" w:hAnsi="Arial" w:cs="Arial"/>
          <w:b/>
          <w:sz w:val="20"/>
          <w:szCs w:val="20"/>
        </w:rPr>
        <w:t xml:space="preserve">Classification: </w:t>
      </w:r>
      <w:r w:rsidR="00CC346B" w:rsidRPr="00CC346B">
        <w:rPr>
          <w:rFonts w:ascii="Arial" w:hAnsi="Arial" w:cs="Arial"/>
          <w:sz w:val="20"/>
          <w:szCs w:val="20"/>
        </w:rPr>
        <w:t>Not yet determined</w:t>
      </w:r>
    </w:p>
    <w:p w:rsidR="000401E7" w:rsidRPr="0044122B" w:rsidRDefault="000401E7" w:rsidP="004920E8">
      <w:pPr>
        <w:pStyle w:val="NoSpacing"/>
        <w:rPr>
          <w:rFonts w:ascii="Arial" w:hAnsi="Arial" w:cs="Arial"/>
          <w:sz w:val="20"/>
          <w:szCs w:val="20"/>
        </w:rPr>
      </w:pPr>
    </w:p>
    <w:p w:rsidR="009F5A3B" w:rsidRDefault="0009633C" w:rsidP="004920E8">
      <w:pPr>
        <w:pStyle w:val="NoSpacing"/>
        <w:rPr>
          <w:rFonts w:ascii="Arial" w:hAnsi="Arial" w:cs="Arial"/>
          <w:b/>
          <w:sz w:val="20"/>
          <w:szCs w:val="20"/>
          <w:u w:val="single"/>
        </w:rPr>
      </w:pPr>
      <w:r>
        <w:rPr>
          <w:rFonts w:ascii="Arial" w:hAnsi="Arial" w:cs="Arial"/>
          <w:b/>
          <w:sz w:val="20"/>
          <w:szCs w:val="20"/>
          <w:u w:val="single"/>
        </w:rPr>
        <w:t xml:space="preserve">Executive </w:t>
      </w:r>
      <w:r w:rsidR="009F5A3B" w:rsidRPr="0044122B">
        <w:rPr>
          <w:rFonts w:ascii="Arial" w:hAnsi="Arial" w:cs="Arial"/>
          <w:b/>
          <w:sz w:val="20"/>
          <w:szCs w:val="20"/>
          <w:u w:val="single"/>
        </w:rPr>
        <w:t>Summary</w:t>
      </w:r>
    </w:p>
    <w:p w:rsidR="00542A3C" w:rsidRPr="008820B1" w:rsidRDefault="00542A3C" w:rsidP="00542A3C">
      <w:pPr>
        <w:pStyle w:val="NoSpacing"/>
        <w:rPr>
          <w:rFonts w:ascii="Arial" w:hAnsi="Arial" w:cs="Arial"/>
          <w:sz w:val="20"/>
          <w:szCs w:val="20"/>
          <w:highlight w:val="yellow"/>
        </w:rPr>
      </w:pPr>
      <w:proofErr w:type="spellStart"/>
      <w:r>
        <w:rPr>
          <w:rFonts w:ascii="Arial" w:hAnsi="Arial" w:cs="Arial"/>
          <w:sz w:val="20"/>
          <w:szCs w:val="20"/>
        </w:rPr>
        <w:t>Zohydro</w:t>
      </w:r>
      <w:proofErr w:type="spellEnd"/>
      <w:r>
        <w:rPr>
          <w:rFonts w:ascii="Arial" w:hAnsi="Arial" w:cs="Arial"/>
          <w:sz w:val="20"/>
          <w:szCs w:val="20"/>
          <w:vertAlign w:val="superscript"/>
        </w:rPr>
        <w:t xml:space="preserve"> </w:t>
      </w:r>
      <w:r>
        <w:rPr>
          <w:rFonts w:ascii="Arial" w:hAnsi="Arial" w:cs="Arial"/>
          <w:sz w:val="20"/>
          <w:szCs w:val="20"/>
        </w:rPr>
        <w:t>ER</w:t>
      </w:r>
      <w:r w:rsidR="000B3B40">
        <w:rPr>
          <w:rFonts w:ascii="Arial" w:hAnsi="Arial" w:cs="Arial"/>
          <w:sz w:val="20"/>
          <w:szCs w:val="20"/>
          <w:vertAlign w:val="superscript"/>
        </w:rPr>
        <w:t>®</w:t>
      </w:r>
      <w:r>
        <w:rPr>
          <w:rFonts w:ascii="Arial" w:hAnsi="Arial" w:cs="Arial"/>
          <w:sz w:val="20"/>
          <w:szCs w:val="20"/>
          <w:vertAlign w:val="superscript"/>
        </w:rPr>
        <w:t xml:space="preserve"> </w:t>
      </w:r>
      <w:r>
        <w:rPr>
          <w:rFonts w:ascii="Arial" w:hAnsi="Arial" w:cs="Arial"/>
          <w:sz w:val="20"/>
          <w:szCs w:val="20"/>
        </w:rPr>
        <w:t>(hydrocodone extended-release) is an extended-release formulation of hydrocodone</w:t>
      </w:r>
      <w:r w:rsidRPr="00B35AD5">
        <w:rPr>
          <w:rFonts w:ascii="Arial" w:hAnsi="Arial" w:cs="Arial"/>
          <w:sz w:val="20"/>
          <w:szCs w:val="20"/>
        </w:rPr>
        <w:t xml:space="preserve"> that is approved by the Food and Drug Administration</w:t>
      </w:r>
      <w:r>
        <w:rPr>
          <w:rFonts w:ascii="Arial" w:hAnsi="Arial" w:cs="Arial"/>
          <w:sz w:val="20"/>
          <w:szCs w:val="20"/>
        </w:rPr>
        <w:t xml:space="preserve"> (FDA)</w:t>
      </w:r>
      <w:r w:rsidRPr="00B35AD5">
        <w:rPr>
          <w:rFonts w:ascii="Arial" w:hAnsi="Arial" w:cs="Arial"/>
          <w:sz w:val="20"/>
          <w:szCs w:val="20"/>
        </w:rPr>
        <w:t xml:space="preserve"> to treat pain severe enough to require around-the-cl</w:t>
      </w:r>
      <w:r>
        <w:rPr>
          <w:rFonts w:ascii="Arial" w:hAnsi="Arial" w:cs="Arial"/>
          <w:sz w:val="20"/>
          <w:szCs w:val="20"/>
        </w:rPr>
        <w:t>ock, long-term opioid treatment and for which alternative treatment options are inadequate.</w:t>
      </w:r>
      <w:r w:rsidR="00EE5631" w:rsidRPr="00EE5631">
        <w:rPr>
          <w:rFonts w:ascii="Arial" w:hAnsi="Arial" w:cs="Arial"/>
          <w:sz w:val="20"/>
          <w:szCs w:val="20"/>
          <w:vertAlign w:val="superscript"/>
        </w:rPr>
        <w:t>1</w:t>
      </w:r>
      <w:r>
        <w:rPr>
          <w:rFonts w:ascii="Arial" w:hAnsi="Arial" w:cs="Arial"/>
          <w:sz w:val="20"/>
          <w:szCs w:val="20"/>
        </w:rPr>
        <w:t xml:space="preserve"> </w:t>
      </w:r>
      <w:proofErr w:type="spellStart"/>
      <w:r>
        <w:rPr>
          <w:rFonts w:ascii="Arial" w:hAnsi="Arial" w:cs="Arial"/>
          <w:sz w:val="20"/>
          <w:szCs w:val="20"/>
        </w:rPr>
        <w:t>Zohydro</w:t>
      </w:r>
      <w:proofErr w:type="spellEnd"/>
      <w:r>
        <w:rPr>
          <w:rFonts w:ascii="Arial" w:hAnsi="Arial" w:cs="Arial"/>
          <w:sz w:val="20"/>
          <w:szCs w:val="20"/>
        </w:rPr>
        <w:t xml:space="preserve"> ER</w:t>
      </w:r>
      <w:r w:rsidR="000B3B40">
        <w:rPr>
          <w:rFonts w:ascii="Arial" w:hAnsi="Arial" w:cs="Arial"/>
          <w:sz w:val="20"/>
          <w:szCs w:val="20"/>
          <w:vertAlign w:val="superscript"/>
        </w:rPr>
        <w:t>®</w:t>
      </w:r>
      <w:r>
        <w:rPr>
          <w:rFonts w:ascii="Arial" w:hAnsi="Arial" w:cs="Arial"/>
          <w:sz w:val="20"/>
          <w:szCs w:val="20"/>
        </w:rPr>
        <w:t xml:space="preserve"> (hydrocodone extended-release) is formulated as an extended-release capsule for twice-daily administration. </w:t>
      </w:r>
      <w:proofErr w:type="spellStart"/>
      <w:r w:rsidRPr="00C74525">
        <w:rPr>
          <w:rFonts w:ascii="Arial" w:hAnsi="Arial" w:cs="Arial"/>
          <w:sz w:val="20"/>
          <w:szCs w:val="20"/>
        </w:rPr>
        <w:t>Zohydro</w:t>
      </w:r>
      <w:proofErr w:type="spellEnd"/>
      <w:r w:rsidRPr="00C74525">
        <w:rPr>
          <w:rFonts w:ascii="Arial" w:hAnsi="Arial" w:cs="Arial"/>
          <w:sz w:val="20"/>
          <w:szCs w:val="20"/>
        </w:rPr>
        <w:t xml:space="preserve"> ER</w:t>
      </w:r>
      <w:r w:rsidR="000B3B40" w:rsidRPr="00C74525">
        <w:rPr>
          <w:rFonts w:ascii="Arial" w:hAnsi="Arial" w:cs="Arial"/>
          <w:sz w:val="20"/>
          <w:szCs w:val="20"/>
          <w:vertAlign w:val="superscript"/>
        </w:rPr>
        <w:t>®</w:t>
      </w:r>
      <w:r w:rsidRPr="00C74525">
        <w:rPr>
          <w:rFonts w:ascii="Arial" w:hAnsi="Arial" w:cs="Arial"/>
          <w:sz w:val="20"/>
          <w:szCs w:val="20"/>
        </w:rPr>
        <w:t xml:space="preserve"> (hydrocodone extended-release) is being evaluated by the Drug Formulary Commission, as it</w:t>
      </w:r>
      <w:r>
        <w:rPr>
          <w:rFonts w:ascii="Arial" w:hAnsi="Arial" w:cs="Arial"/>
          <w:sz w:val="20"/>
          <w:szCs w:val="20"/>
        </w:rPr>
        <w:t xml:space="preserve"> was recently reformulated </w:t>
      </w:r>
      <w:r w:rsidR="00A8248F">
        <w:rPr>
          <w:rFonts w:ascii="Arial" w:hAnsi="Arial" w:cs="Arial"/>
          <w:sz w:val="20"/>
          <w:szCs w:val="20"/>
        </w:rPr>
        <w:t xml:space="preserve">and is being </w:t>
      </w:r>
      <w:r w:rsidRPr="00C74525">
        <w:rPr>
          <w:rFonts w:ascii="Arial" w:hAnsi="Arial" w:cs="Arial"/>
          <w:sz w:val="20"/>
          <w:szCs w:val="20"/>
        </w:rPr>
        <w:t>considered for inclusion on the Massachusetts formulary of therapeutically equivalent substitutions, as outlined in Chapter 258 of the Acts of 2014.</w:t>
      </w:r>
    </w:p>
    <w:p w:rsidR="00542A3C" w:rsidRPr="00F40E64" w:rsidRDefault="00542A3C" w:rsidP="00542A3C">
      <w:pPr>
        <w:pStyle w:val="NoSpacing"/>
        <w:rPr>
          <w:rFonts w:ascii="Arial" w:hAnsi="Arial" w:cs="Arial"/>
          <w:sz w:val="20"/>
          <w:szCs w:val="20"/>
        </w:rPr>
      </w:pPr>
    </w:p>
    <w:p w:rsidR="0010594E" w:rsidRPr="007749DC" w:rsidRDefault="0010594E" w:rsidP="00542A3C">
      <w:pPr>
        <w:pStyle w:val="NoSpacing"/>
        <w:rPr>
          <w:rFonts w:ascii="Arial" w:hAnsi="Arial" w:cs="Arial"/>
          <w:sz w:val="20"/>
          <w:szCs w:val="20"/>
        </w:rPr>
      </w:pPr>
      <w:bookmarkStart w:id="1" w:name="ClinicalGuidelines"/>
      <w:bookmarkEnd w:id="1"/>
      <w:r w:rsidRPr="00F40E64">
        <w:rPr>
          <w:rFonts w:ascii="Arial" w:hAnsi="Arial" w:cs="Arial"/>
          <w:sz w:val="20"/>
          <w:szCs w:val="20"/>
        </w:rPr>
        <w:t xml:space="preserve">Originally approved by the FDA in 2013, </w:t>
      </w:r>
      <w:proofErr w:type="spellStart"/>
      <w:r w:rsidRPr="00F40E64">
        <w:rPr>
          <w:rFonts w:ascii="Arial" w:hAnsi="Arial" w:cs="Arial"/>
          <w:sz w:val="20"/>
          <w:szCs w:val="20"/>
        </w:rPr>
        <w:t>Zohydro</w:t>
      </w:r>
      <w:proofErr w:type="spellEnd"/>
      <w:r w:rsidRPr="00F40E64">
        <w:rPr>
          <w:rFonts w:ascii="Arial" w:hAnsi="Arial" w:cs="Arial"/>
          <w:sz w:val="20"/>
          <w:szCs w:val="20"/>
          <w:vertAlign w:val="superscript"/>
        </w:rPr>
        <w:t xml:space="preserve"> </w:t>
      </w:r>
      <w:r w:rsidRPr="00F40E64">
        <w:rPr>
          <w:rFonts w:ascii="Arial" w:hAnsi="Arial" w:cs="Arial"/>
          <w:sz w:val="20"/>
          <w:szCs w:val="20"/>
        </w:rPr>
        <w:t>ER</w:t>
      </w:r>
      <w:r w:rsidR="000B3B40" w:rsidRPr="0044122B">
        <w:rPr>
          <w:rFonts w:ascii="Arial" w:hAnsi="Arial" w:cs="Arial"/>
          <w:sz w:val="20"/>
          <w:szCs w:val="20"/>
          <w:vertAlign w:val="superscript"/>
        </w:rPr>
        <w:t>®</w:t>
      </w:r>
      <w:r w:rsidRPr="00F40E64">
        <w:rPr>
          <w:rFonts w:ascii="Arial" w:hAnsi="Arial" w:cs="Arial"/>
          <w:sz w:val="20"/>
          <w:szCs w:val="20"/>
          <w:vertAlign w:val="superscript"/>
        </w:rPr>
        <w:t xml:space="preserve"> </w:t>
      </w:r>
      <w:r w:rsidRPr="00F40E64">
        <w:rPr>
          <w:rFonts w:ascii="Arial" w:hAnsi="Arial" w:cs="Arial"/>
          <w:sz w:val="20"/>
          <w:szCs w:val="20"/>
        </w:rPr>
        <w:t>(hydrocodone extended-release)</w:t>
      </w:r>
      <w:r w:rsidR="00697827" w:rsidRPr="00F40E64">
        <w:rPr>
          <w:rFonts w:ascii="Arial" w:hAnsi="Arial" w:cs="Arial"/>
          <w:sz w:val="20"/>
          <w:szCs w:val="20"/>
        </w:rPr>
        <w:t xml:space="preserve">, the first sole-ingredient </w:t>
      </w:r>
      <w:r w:rsidR="00D1115E" w:rsidRPr="00F40E64">
        <w:rPr>
          <w:rFonts w:ascii="Arial" w:hAnsi="Arial" w:cs="Arial"/>
          <w:sz w:val="20"/>
          <w:szCs w:val="20"/>
        </w:rPr>
        <w:t xml:space="preserve">hydrocodone </w:t>
      </w:r>
      <w:r w:rsidR="00697827" w:rsidRPr="00F40E64">
        <w:rPr>
          <w:rFonts w:ascii="Arial" w:hAnsi="Arial" w:cs="Arial"/>
          <w:sz w:val="20"/>
          <w:szCs w:val="20"/>
        </w:rPr>
        <w:t xml:space="preserve">product, </w:t>
      </w:r>
      <w:r w:rsidRPr="00F40E64">
        <w:rPr>
          <w:rFonts w:ascii="Arial" w:hAnsi="Arial" w:cs="Arial"/>
          <w:sz w:val="20"/>
          <w:szCs w:val="20"/>
        </w:rPr>
        <w:t xml:space="preserve">was </w:t>
      </w:r>
      <w:r w:rsidR="004C5AA6" w:rsidRPr="00F40E64">
        <w:rPr>
          <w:rFonts w:ascii="Arial" w:hAnsi="Arial" w:cs="Arial"/>
          <w:sz w:val="20"/>
          <w:szCs w:val="20"/>
        </w:rPr>
        <w:t>determined not to have abuse deterrent properties</w:t>
      </w:r>
      <w:r w:rsidR="00697827" w:rsidRPr="00F40E64">
        <w:rPr>
          <w:rFonts w:ascii="Arial" w:hAnsi="Arial" w:cs="Arial"/>
          <w:sz w:val="20"/>
          <w:szCs w:val="20"/>
        </w:rPr>
        <w:t>.</w:t>
      </w:r>
      <w:r w:rsidR="00733792" w:rsidRPr="00733792">
        <w:rPr>
          <w:rFonts w:ascii="Arial" w:hAnsi="Arial" w:cs="Arial"/>
          <w:sz w:val="20"/>
          <w:szCs w:val="20"/>
          <w:vertAlign w:val="superscript"/>
        </w:rPr>
        <w:t>2</w:t>
      </w:r>
      <w:r w:rsidR="00697827" w:rsidRPr="00F40E64">
        <w:rPr>
          <w:rFonts w:ascii="Arial" w:hAnsi="Arial" w:cs="Arial"/>
          <w:sz w:val="20"/>
          <w:szCs w:val="20"/>
        </w:rPr>
        <w:t xml:space="preserve"> </w:t>
      </w:r>
      <w:r w:rsidR="00C6776F">
        <w:rPr>
          <w:rFonts w:ascii="Arial" w:hAnsi="Arial" w:cs="Arial"/>
          <w:sz w:val="20"/>
          <w:szCs w:val="20"/>
        </w:rPr>
        <w:t xml:space="preserve">The approval was granted despite a 11-2-1 recommendation from the Anesthetic and Analgesic Drug Advisory Committee </w:t>
      </w:r>
      <w:r w:rsidR="0064148E">
        <w:rPr>
          <w:rFonts w:ascii="Arial" w:hAnsi="Arial" w:cs="Arial"/>
          <w:sz w:val="20"/>
          <w:szCs w:val="20"/>
        </w:rPr>
        <w:t>against the</w:t>
      </w:r>
      <w:r w:rsidR="007749DC">
        <w:rPr>
          <w:rFonts w:ascii="Arial" w:hAnsi="Arial" w:cs="Arial"/>
          <w:sz w:val="20"/>
          <w:szCs w:val="20"/>
        </w:rPr>
        <w:t xml:space="preserve"> </w:t>
      </w:r>
      <w:r w:rsidR="006A311C">
        <w:rPr>
          <w:rFonts w:ascii="Arial" w:hAnsi="Arial" w:cs="Arial"/>
          <w:sz w:val="20"/>
          <w:szCs w:val="20"/>
        </w:rPr>
        <w:t>approval, citing the primary concern of the potential for abuse</w:t>
      </w:r>
      <w:r w:rsidR="007749DC">
        <w:rPr>
          <w:rFonts w:ascii="Arial" w:hAnsi="Arial" w:cs="Arial"/>
          <w:sz w:val="20"/>
          <w:szCs w:val="20"/>
        </w:rPr>
        <w:t>.</w:t>
      </w:r>
      <w:r w:rsidR="007749DC" w:rsidRPr="007749DC">
        <w:rPr>
          <w:rFonts w:ascii="Arial" w:hAnsi="Arial" w:cs="Arial"/>
          <w:sz w:val="20"/>
          <w:szCs w:val="20"/>
          <w:vertAlign w:val="superscript"/>
        </w:rPr>
        <w:t>3</w:t>
      </w:r>
      <w:r w:rsidR="007749DC">
        <w:rPr>
          <w:rFonts w:ascii="Arial" w:hAnsi="Arial" w:cs="Arial"/>
          <w:sz w:val="20"/>
          <w:szCs w:val="20"/>
        </w:rPr>
        <w:t xml:space="preserve"> </w:t>
      </w:r>
      <w:r w:rsidR="00697827" w:rsidRPr="00F40E64">
        <w:rPr>
          <w:rFonts w:ascii="Arial" w:hAnsi="Arial" w:cs="Arial"/>
          <w:sz w:val="20"/>
          <w:szCs w:val="20"/>
        </w:rPr>
        <w:t>This</w:t>
      </w:r>
      <w:r w:rsidR="00E21079">
        <w:rPr>
          <w:rFonts w:ascii="Arial" w:hAnsi="Arial" w:cs="Arial"/>
          <w:sz w:val="20"/>
          <w:szCs w:val="20"/>
        </w:rPr>
        <w:t xml:space="preserve"> concern</w:t>
      </w:r>
      <w:r w:rsidR="00697827" w:rsidRPr="00F40E64">
        <w:rPr>
          <w:rFonts w:ascii="Arial" w:hAnsi="Arial" w:cs="Arial"/>
          <w:sz w:val="20"/>
          <w:szCs w:val="20"/>
        </w:rPr>
        <w:t xml:space="preserve"> </w:t>
      </w:r>
      <w:r w:rsidR="0045080F" w:rsidRPr="00F40E64">
        <w:rPr>
          <w:rFonts w:ascii="Arial" w:hAnsi="Arial" w:cs="Arial"/>
          <w:sz w:val="20"/>
          <w:szCs w:val="20"/>
        </w:rPr>
        <w:t>resulted in a</w:t>
      </w:r>
      <w:r w:rsidR="00153084">
        <w:rPr>
          <w:rFonts w:ascii="Arial" w:hAnsi="Arial" w:cs="Arial"/>
          <w:sz w:val="20"/>
          <w:szCs w:val="20"/>
        </w:rPr>
        <w:t>n executive order</w:t>
      </w:r>
      <w:r w:rsidR="00E21079">
        <w:rPr>
          <w:rFonts w:ascii="Arial" w:hAnsi="Arial" w:cs="Arial"/>
          <w:sz w:val="20"/>
          <w:szCs w:val="20"/>
        </w:rPr>
        <w:t xml:space="preserve"> from Governor Deval Patrick</w:t>
      </w:r>
      <w:r w:rsidR="0045080F" w:rsidRPr="00F40E64">
        <w:rPr>
          <w:rFonts w:ascii="Arial" w:hAnsi="Arial" w:cs="Arial"/>
          <w:sz w:val="20"/>
          <w:szCs w:val="20"/>
        </w:rPr>
        <w:t xml:space="preserve"> ban</w:t>
      </w:r>
      <w:r w:rsidR="00153084">
        <w:rPr>
          <w:rFonts w:ascii="Arial" w:hAnsi="Arial" w:cs="Arial"/>
          <w:sz w:val="20"/>
          <w:szCs w:val="20"/>
        </w:rPr>
        <w:t>ning the dispensing of</w:t>
      </w:r>
      <w:r w:rsidR="0045080F" w:rsidRPr="00F40E64">
        <w:rPr>
          <w:rFonts w:ascii="Arial" w:hAnsi="Arial" w:cs="Arial"/>
          <w:sz w:val="20"/>
          <w:szCs w:val="20"/>
        </w:rPr>
        <w:t xml:space="preserve"> </w:t>
      </w:r>
      <w:proofErr w:type="spellStart"/>
      <w:r w:rsidR="0045080F" w:rsidRPr="00F40E64">
        <w:rPr>
          <w:rFonts w:ascii="Arial" w:hAnsi="Arial" w:cs="Arial"/>
          <w:sz w:val="20"/>
          <w:szCs w:val="20"/>
        </w:rPr>
        <w:t>Zohydro</w:t>
      </w:r>
      <w:proofErr w:type="spellEnd"/>
      <w:r w:rsidR="0045080F" w:rsidRPr="00F40E64">
        <w:rPr>
          <w:rFonts w:ascii="Arial" w:hAnsi="Arial" w:cs="Arial"/>
          <w:sz w:val="20"/>
          <w:szCs w:val="20"/>
        </w:rPr>
        <w:t xml:space="preserve"> ER</w:t>
      </w:r>
      <w:r w:rsidR="000B3B40">
        <w:rPr>
          <w:rFonts w:ascii="Arial" w:hAnsi="Arial" w:cs="Arial"/>
          <w:sz w:val="20"/>
          <w:szCs w:val="20"/>
          <w:vertAlign w:val="superscript"/>
        </w:rPr>
        <w:t>®</w:t>
      </w:r>
      <w:r w:rsidR="005A6544" w:rsidRPr="00F40E64">
        <w:rPr>
          <w:rFonts w:ascii="Arial" w:hAnsi="Arial" w:cs="Arial"/>
          <w:sz w:val="20"/>
          <w:szCs w:val="20"/>
        </w:rPr>
        <w:t xml:space="preserve"> </w:t>
      </w:r>
      <w:r w:rsidR="00536E95">
        <w:rPr>
          <w:rFonts w:ascii="Arial" w:hAnsi="Arial" w:cs="Arial"/>
          <w:sz w:val="20"/>
          <w:szCs w:val="20"/>
        </w:rPr>
        <w:t>(</w:t>
      </w:r>
      <w:r w:rsidR="00536E95" w:rsidRPr="00F40E64">
        <w:rPr>
          <w:rFonts w:ascii="Arial" w:hAnsi="Arial" w:cs="Arial"/>
          <w:sz w:val="20"/>
          <w:szCs w:val="20"/>
        </w:rPr>
        <w:t>hydrocodone extended-release</w:t>
      </w:r>
      <w:r w:rsidR="00536E95">
        <w:rPr>
          <w:rFonts w:ascii="Arial" w:hAnsi="Arial" w:cs="Arial"/>
          <w:sz w:val="20"/>
          <w:szCs w:val="20"/>
        </w:rPr>
        <w:t xml:space="preserve">) </w:t>
      </w:r>
      <w:r w:rsidR="00153084">
        <w:rPr>
          <w:rFonts w:ascii="Arial" w:hAnsi="Arial" w:cs="Arial"/>
          <w:sz w:val="20"/>
          <w:szCs w:val="20"/>
        </w:rPr>
        <w:t>in the Commonwealth of Massachusetts</w:t>
      </w:r>
      <w:r w:rsidR="004C5AA6" w:rsidRPr="00F40E64">
        <w:rPr>
          <w:rFonts w:ascii="Arial" w:hAnsi="Arial" w:cs="Arial"/>
          <w:sz w:val="20"/>
          <w:szCs w:val="20"/>
        </w:rPr>
        <w:t xml:space="preserve">. </w:t>
      </w:r>
      <w:r w:rsidRPr="00F40E64">
        <w:rPr>
          <w:rFonts w:ascii="Arial" w:hAnsi="Arial" w:cs="Arial"/>
          <w:sz w:val="20"/>
          <w:szCs w:val="20"/>
        </w:rPr>
        <w:t xml:space="preserve">Subsequently, </w:t>
      </w:r>
      <w:r w:rsidR="005A6544" w:rsidRPr="00F40E64">
        <w:rPr>
          <w:rFonts w:ascii="Arial" w:hAnsi="Arial" w:cs="Arial"/>
          <w:sz w:val="20"/>
          <w:szCs w:val="20"/>
        </w:rPr>
        <w:t>in January 2015</w:t>
      </w:r>
      <w:r w:rsidRPr="00F40E64">
        <w:rPr>
          <w:rFonts w:ascii="Arial" w:hAnsi="Arial" w:cs="Arial"/>
          <w:sz w:val="20"/>
          <w:szCs w:val="20"/>
        </w:rPr>
        <w:t xml:space="preserve"> the FDA approved </w:t>
      </w:r>
      <w:r w:rsidR="005A6544" w:rsidRPr="00F40E64">
        <w:rPr>
          <w:rFonts w:ascii="Arial" w:hAnsi="Arial" w:cs="Arial"/>
          <w:sz w:val="20"/>
          <w:szCs w:val="20"/>
        </w:rPr>
        <w:t>the</w:t>
      </w:r>
      <w:r w:rsidR="00D1115E" w:rsidRPr="00F40E64">
        <w:rPr>
          <w:rFonts w:ascii="Arial" w:hAnsi="Arial" w:cs="Arial"/>
          <w:sz w:val="20"/>
          <w:szCs w:val="20"/>
        </w:rPr>
        <w:t xml:space="preserve"> updated</w:t>
      </w:r>
      <w:r w:rsidR="005A6544" w:rsidRPr="00F40E64">
        <w:rPr>
          <w:rFonts w:ascii="Arial" w:hAnsi="Arial" w:cs="Arial"/>
          <w:sz w:val="20"/>
          <w:szCs w:val="20"/>
        </w:rPr>
        <w:t xml:space="preserve"> version, </w:t>
      </w:r>
      <w:proofErr w:type="spellStart"/>
      <w:r w:rsidR="005A6544" w:rsidRPr="00F40E64">
        <w:rPr>
          <w:rFonts w:ascii="Arial" w:hAnsi="Arial" w:cs="Arial"/>
          <w:sz w:val="20"/>
          <w:szCs w:val="20"/>
        </w:rPr>
        <w:t>Zohydro</w:t>
      </w:r>
      <w:proofErr w:type="spellEnd"/>
      <w:r w:rsidR="000B3B40">
        <w:rPr>
          <w:rFonts w:ascii="Arial" w:hAnsi="Arial" w:cs="Arial"/>
          <w:sz w:val="20"/>
          <w:szCs w:val="20"/>
        </w:rPr>
        <w:t xml:space="preserve"> </w:t>
      </w:r>
      <w:r w:rsidR="005A6544" w:rsidRPr="00F40E64">
        <w:rPr>
          <w:rFonts w:ascii="Arial" w:hAnsi="Arial" w:cs="Arial"/>
          <w:sz w:val="20"/>
          <w:szCs w:val="20"/>
        </w:rPr>
        <w:t>ER</w:t>
      </w:r>
      <w:r w:rsidR="000B3B40" w:rsidRPr="00F40E64">
        <w:rPr>
          <w:rFonts w:ascii="Arial" w:hAnsi="Arial" w:cs="Arial"/>
          <w:sz w:val="20"/>
          <w:szCs w:val="20"/>
          <w:vertAlign w:val="superscript"/>
        </w:rPr>
        <w:t>®</w:t>
      </w:r>
      <w:r w:rsidR="000B3B40" w:rsidRPr="000B3B40">
        <w:rPr>
          <w:rFonts w:ascii="Arial" w:hAnsi="Arial" w:cs="Arial"/>
          <w:sz w:val="20"/>
          <w:szCs w:val="20"/>
        </w:rPr>
        <w:t xml:space="preserve"> </w:t>
      </w:r>
      <w:r w:rsidR="005A6544" w:rsidRPr="00F40E64">
        <w:rPr>
          <w:rFonts w:ascii="Arial" w:hAnsi="Arial" w:cs="Arial"/>
          <w:sz w:val="20"/>
          <w:szCs w:val="20"/>
        </w:rPr>
        <w:t xml:space="preserve">(hydrocodone extended-release), </w:t>
      </w:r>
      <w:r w:rsidR="00D1115E" w:rsidRPr="00F40E64">
        <w:rPr>
          <w:rFonts w:ascii="Arial" w:hAnsi="Arial" w:cs="Arial"/>
          <w:sz w:val="20"/>
          <w:szCs w:val="20"/>
        </w:rPr>
        <w:t xml:space="preserve">after </w:t>
      </w:r>
      <w:r w:rsidR="00733792">
        <w:rPr>
          <w:rFonts w:ascii="Arial" w:hAnsi="Arial" w:cs="Arial"/>
          <w:sz w:val="20"/>
          <w:szCs w:val="20"/>
        </w:rPr>
        <w:t>safety</w:t>
      </w:r>
      <w:r w:rsidR="00A8248F">
        <w:rPr>
          <w:rFonts w:ascii="Arial" w:hAnsi="Arial" w:cs="Arial"/>
          <w:sz w:val="20"/>
          <w:szCs w:val="20"/>
        </w:rPr>
        <w:t xml:space="preserve"> </w:t>
      </w:r>
      <w:r w:rsidRPr="00F40E64">
        <w:rPr>
          <w:rFonts w:ascii="Arial" w:hAnsi="Arial" w:cs="Arial"/>
          <w:sz w:val="20"/>
          <w:szCs w:val="20"/>
        </w:rPr>
        <w:t xml:space="preserve">concerns were addressed through </w:t>
      </w:r>
      <w:r w:rsidR="00D1115E" w:rsidRPr="00F40E64">
        <w:rPr>
          <w:rFonts w:ascii="Arial" w:hAnsi="Arial" w:cs="Arial"/>
          <w:sz w:val="20"/>
          <w:szCs w:val="20"/>
        </w:rPr>
        <w:t xml:space="preserve">reformulation with </w:t>
      </w:r>
      <w:proofErr w:type="spellStart"/>
      <w:r w:rsidR="00D1115E" w:rsidRPr="00F40E64">
        <w:rPr>
          <w:rFonts w:ascii="Arial" w:hAnsi="Arial" w:cs="Arial"/>
          <w:sz w:val="20"/>
          <w:szCs w:val="20"/>
        </w:rPr>
        <w:t>BeadTek</w:t>
      </w:r>
      <w:proofErr w:type="spellEnd"/>
      <w:r w:rsidR="00D1115E" w:rsidRPr="00F40E64">
        <w:rPr>
          <w:rFonts w:ascii="Arial" w:hAnsi="Arial" w:cs="Arial"/>
          <w:sz w:val="20"/>
          <w:szCs w:val="20"/>
        </w:rPr>
        <w:t>™ technology</w:t>
      </w:r>
      <w:r w:rsidRPr="00F40E64">
        <w:rPr>
          <w:rFonts w:ascii="Arial" w:hAnsi="Arial" w:cs="Arial"/>
          <w:sz w:val="20"/>
          <w:szCs w:val="20"/>
        </w:rPr>
        <w:t>.</w:t>
      </w:r>
      <w:r w:rsidR="00A26DB4">
        <w:rPr>
          <w:rFonts w:ascii="Arial" w:hAnsi="Arial" w:cs="Arial"/>
          <w:sz w:val="20"/>
          <w:szCs w:val="20"/>
          <w:vertAlign w:val="superscript"/>
        </w:rPr>
        <w:t>4</w:t>
      </w:r>
    </w:p>
    <w:p w:rsidR="0010594E" w:rsidRDefault="0010594E" w:rsidP="00542A3C">
      <w:pPr>
        <w:pStyle w:val="NoSpacing"/>
        <w:rPr>
          <w:rFonts w:ascii="Arial" w:hAnsi="Arial" w:cs="Arial"/>
          <w:sz w:val="20"/>
          <w:szCs w:val="20"/>
        </w:rPr>
      </w:pPr>
      <w:r>
        <w:rPr>
          <w:rFonts w:ascii="Arial" w:hAnsi="Arial" w:cs="Arial"/>
          <w:sz w:val="20"/>
          <w:szCs w:val="20"/>
        </w:rPr>
        <w:t xml:space="preserve"> </w:t>
      </w:r>
    </w:p>
    <w:p w:rsidR="00542A3C" w:rsidRPr="008820B1" w:rsidRDefault="00542A3C" w:rsidP="00542A3C">
      <w:pPr>
        <w:pStyle w:val="NoSpacing"/>
        <w:rPr>
          <w:rFonts w:ascii="Arial" w:hAnsi="Arial" w:cs="Arial"/>
          <w:sz w:val="20"/>
          <w:szCs w:val="20"/>
          <w:highlight w:val="yellow"/>
        </w:rPr>
      </w:pPr>
      <w:r w:rsidRPr="00CB57F4">
        <w:rPr>
          <w:rFonts w:ascii="Arial" w:hAnsi="Arial" w:cs="Arial"/>
          <w:sz w:val="20"/>
          <w:szCs w:val="20"/>
        </w:rPr>
        <w:t xml:space="preserve">The efficacy and safety of </w:t>
      </w:r>
      <w:proofErr w:type="spellStart"/>
      <w:r w:rsidRPr="00CB57F4">
        <w:rPr>
          <w:rFonts w:ascii="Arial" w:hAnsi="Arial" w:cs="Arial"/>
          <w:sz w:val="20"/>
          <w:szCs w:val="20"/>
        </w:rPr>
        <w:t>Zohydro</w:t>
      </w:r>
      <w:proofErr w:type="spellEnd"/>
      <w:r w:rsidRPr="00CB57F4">
        <w:rPr>
          <w:rFonts w:ascii="Arial" w:hAnsi="Arial" w:cs="Arial"/>
          <w:sz w:val="20"/>
          <w:szCs w:val="20"/>
        </w:rPr>
        <w:t xml:space="preserve"> ER</w:t>
      </w:r>
      <w:r w:rsidR="000B3B40" w:rsidRPr="00C74525">
        <w:rPr>
          <w:rFonts w:ascii="Arial" w:hAnsi="Arial" w:cs="Arial"/>
          <w:sz w:val="20"/>
          <w:szCs w:val="20"/>
          <w:vertAlign w:val="superscript"/>
        </w:rPr>
        <w:t>®</w:t>
      </w:r>
      <w:r w:rsidRPr="00CB57F4">
        <w:rPr>
          <w:rFonts w:ascii="Arial" w:hAnsi="Arial" w:cs="Arial"/>
          <w:sz w:val="20"/>
          <w:szCs w:val="20"/>
        </w:rPr>
        <w:t xml:space="preserve"> (hydrocodone extended-release) were established in </w:t>
      </w:r>
      <w:r w:rsidRPr="00500CC3">
        <w:rPr>
          <w:rFonts w:ascii="Arial" w:hAnsi="Arial" w:cs="Arial"/>
          <w:sz w:val="20"/>
          <w:szCs w:val="20"/>
        </w:rPr>
        <w:t>a 12 week randomized double-blind, placebo controlled trial of 510 subjects</w:t>
      </w:r>
      <w:r w:rsidRPr="005F1D47">
        <w:rPr>
          <w:rFonts w:ascii="Arial" w:hAnsi="Arial" w:cs="Arial"/>
          <w:sz w:val="20"/>
          <w:szCs w:val="20"/>
        </w:rPr>
        <w:t xml:space="preserve">. </w:t>
      </w:r>
      <w:r w:rsidRPr="00500CC3">
        <w:rPr>
          <w:rFonts w:ascii="Arial" w:hAnsi="Arial" w:cs="Arial"/>
          <w:sz w:val="20"/>
          <w:szCs w:val="20"/>
        </w:rPr>
        <w:t xml:space="preserve">There was a </w:t>
      </w:r>
      <w:r w:rsidRPr="005F1D47">
        <w:rPr>
          <w:rFonts w:ascii="Arial" w:hAnsi="Arial" w:cs="Arial"/>
          <w:sz w:val="20"/>
          <w:szCs w:val="20"/>
        </w:rPr>
        <w:t>statistically</w:t>
      </w:r>
      <w:r w:rsidRPr="007F036A">
        <w:rPr>
          <w:rFonts w:ascii="Arial" w:hAnsi="Arial" w:cs="Arial"/>
          <w:sz w:val="20"/>
          <w:szCs w:val="20"/>
        </w:rPr>
        <w:t xml:space="preserve"> </w:t>
      </w:r>
      <w:r w:rsidRPr="00500CC3">
        <w:rPr>
          <w:rFonts w:ascii="Arial" w:hAnsi="Arial" w:cs="Arial"/>
          <w:sz w:val="20"/>
          <w:szCs w:val="20"/>
        </w:rPr>
        <w:t xml:space="preserve">significant difference in </w:t>
      </w:r>
      <w:r w:rsidR="0072712F">
        <w:rPr>
          <w:rFonts w:ascii="Arial" w:hAnsi="Arial" w:cs="Arial"/>
          <w:sz w:val="20"/>
          <w:szCs w:val="20"/>
        </w:rPr>
        <w:t xml:space="preserve">the mean change from baseline in </w:t>
      </w:r>
      <w:r w:rsidRPr="000517D0">
        <w:rPr>
          <w:rFonts w:ascii="Arial" w:hAnsi="Arial" w:cs="Arial"/>
          <w:sz w:val="20"/>
          <w:szCs w:val="20"/>
        </w:rPr>
        <w:t xml:space="preserve">weekly average pain scores at week 12 between the hydrocodone extended-release and placebo groups </w:t>
      </w:r>
      <w:r w:rsidR="0072712F" w:rsidRPr="0072712F">
        <w:rPr>
          <w:rFonts w:ascii="Arial" w:hAnsi="Arial" w:cs="Arial"/>
          <w:sz w:val="20"/>
          <w:szCs w:val="20"/>
        </w:rPr>
        <w:t>(0.48 ± 1.56 versus 0.96 ± 1.55, respectively; P=0.008).</w:t>
      </w:r>
      <w:r w:rsidRPr="006E322B">
        <w:rPr>
          <w:rFonts w:ascii="Arial" w:hAnsi="Arial" w:cs="Arial"/>
          <w:sz w:val="20"/>
          <w:szCs w:val="20"/>
        </w:rPr>
        <w:t xml:space="preserve"> </w:t>
      </w:r>
      <w:r w:rsidRPr="00A61962">
        <w:rPr>
          <w:rFonts w:ascii="Arial" w:hAnsi="Arial" w:cs="Arial"/>
          <w:sz w:val="20"/>
          <w:szCs w:val="20"/>
        </w:rPr>
        <w:t>In addition, a higher proportion of subjects with at least a 30% and 50% improvement was noted in the hydrocodone extended-release group (P&lt;0.001).</w:t>
      </w:r>
      <w:r w:rsidR="00424F9F">
        <w:rPr>
          <w:rFonts w:ascii="Arial" w:hAnsi="Arial" w:cs="Arial"/>
          <w:sz w:val="20"/>
          <w:szCs w:val="20"/>
          <w:vertAlign w:val="superscript"/>
        </w:rPr>
        <w:t>1,2</w:t>
      </w:r>
    </w:p>
    <w:p w:rsidR="00542A3C" w:rsidRDefault="00542A3C" w:rsidP="00542A3C">
      <w:pPr>
        <w:pStyle w:val="NoSpacing"/>
        <w:rPr>
          <w:rFonts w:ascii="Arial" w:hAnsi="Arial" w:cs="Arial"/>
          <w:sz w:val="20"/>
          <w:szCs w:val="20"/>
          <w:highlight w:val="yellow"/>
        </w:rPr>
      </w:pPr>
    </w:p>
    <w:p w:rsidR="000877C0" w:rsidRPr="00E02009" w:rsidRDefault="000877C0" w:rsidP="000877C0">
      <w:pPr>
        <w:pStyle w:val="NoSpacing"/>
        <w:rPr>
          <w:rFonts w:ascii="Arial" w:hAnsi="Arial" w:cs="Arial"/>
          <w:sz w:val="20"/>
          <w:szCs w:val="20"/>
          <w:highlight w:val="yellow"/>
        </w:rPr>
      </w:pPr>
      <w:r>
        <w:rPr>
          <w:rFonts w:ascii="Arial" w:hAnsi="Arial" w:cs="Arial"/>
          <w:sz w:val="20"/>
          <w:szCs w:val="20"/>
        </w:rPr>
        <w:t xml:space="preserve">The recommended initial dosing and administration of </w:t>
      </w:r>
      <w:proofErr w:type="spellStart"/>
      <w:r w:rsidRPr="00CB57F4">
        <w:rPr>
          <w:rFonts w:ascii="Arial" w:hAnsi="Arial" w:cs="Arial"/>
          <w:sz w:val="20"/>
          <w:szCs w:val="20"/>
        </w:rPr>
        <w:t>Zohydro</w:t>
      </w:r>
      <w:proofErr w:type="spellEnd"/>
      <w:r w:rsidRPr="00CB57F4">
        <w:rPr>
          <w:rFonts w:ascii="Arial" w:hAnsi="Arial" w:cs="Arial"/>
          <w:sz w:val="20"/>
          <w:szCs w:val="20"/>
        </w:rPr>
        <w:t xml:space="preserve"> ER</w:t>
      </w:r>
      <w:r w:rsidR="000B3B40" w:rsidRPr="00C74525">
        <w:rPr>
          <w:rFonts w:ascii="Arial" w:hAnsi="Arial" w:cs="Arial"/>
          <w:sz w:val="20"/>
          <w:szCs w:val="20"/>
          <w:vertAlign w:val="superscript"/>
        </w:rPr>
        <w:t>®</w:t>
      </w:r>
      <w:r w:rsidRPr="00CB57F4">
        <w:rPr>
          <w:rFonts w:ascii="Arial" w:hAnsi="Arial" w:cs="Arial"/>
          <w:sz w:val="20"/>
          <w:szCs w:val="20"/>
        </w:rPr>
        <w:t xml:space="preserve"> (hydrocodone extended-release) </w:t>
      </w:r>
      <w:r>
        <w:rPr>
          <w:rFonts w:ascii="Arial" w:hAnsi="Arial" w:cs="Arial"/>
          <w:sz w:val="20"/>
          <w:szCs w:val="20"/>
        </w:rPr>
        <w:t xml:space="preserve">in </w:t>
      </w:r>
      <w:r w:rsidRPr="000877C0">
        <w:rPr>
          <w:rFonts w:ascii="Arial" w:hAnsi="Arial" w:cs="Arial"/>
          <w:sz w:val="20"/>
          <w:szCs w:val="20"/>
        </w:rPr>
        <w:t xml:space="preserve">opioid naïve </w:t>
      </w:r>
      <w:r>
        <w:rPr>
          <w:rFonts w:ascii="Arial" w:hAnsi="Arial" w:cs="Arial"/>
          <w:sz w:val="20"/>
          <w:szCs w:val="20"/>
        </w:rPr>
        <w:t xml:space="preserve">patients </w:t>
      </w:r>
      <w:r w:rsidRPr="000877C0">
        <w:rPr>
          <w:rFonts w:ascii="Arial" w:hAnsi="Arial" w:cs="Arial"/>
          <w:sz w:val="20"/>
          <w:szCs w:val="20"/>
        </w:rPr>
        <w:t xml:space="preserve">or patients without opioid tolerance for whom </w:t>
      </w:r>
      <w:proofErr w:type="spellStart"/>
      <w:r w:rsidRPr="000877C0">
        <w:rPr>
          <w:rFonts w:ascii="Arial" w:hAnsi="Arial" w:cs="Arial"/>
          <w:sz w:val="20"/>
          <w:szCs w:val="20"/>
        </w:rPr>
        <w:t>Zohydro</w:t>
      </w:r>
      <w:proofErr w:type="spellEnd"/>
      <w:r w:rsidRPr="000877C0">
        <w:rPr>
          <w:rFonts w:ascii="Arial" w:hAnsi="Arial" w:cs="Arial"/>
          <w:sz w:val="20"/>
          <w:szCs w:val="20"/>
        </w:rPr>
        <w:t xml:space="preserve"> ER</w:t>
      </w:r>
      <w:r w:rsidR="0040509B" w:rsidRPr="00E31232">
        <w:rPr>
          <w:rFonts w:ascii="Arial" w:hAnsi="Arial" w:cs="Arial"/>
          <w:sz w:val="20"/>
          <w:szCs w:val="20"/>
          <w:vertAlign w:val="superscript"/>
        </w:rPr>
        <w:t>®</w:t>
      </w:r>
      <w:r w:rsidRPr="000877C0">
        <w:rPr>
          <w:rFonts w:ascii="Arial" w:hAnsi="Arial" w:cs="Arial"/>
          <w:sz w:val="20"/>
          <w:szCs w:val="20"/>
        </w:rPr>
        <w:t xml:space="preserve"> </w:t>
      </w:r>
      <w:r w:rsidR="00E31232" w:rsidRPr="00CB57F4">
        <w:rPr>
          <w:rFonts w:ascii="Arial" w:hAnsi="Arial" w:cs="Arial"/>
          <w:sz w:val="20"/>
          <w:szCs w:val="20"/>
        </w:rPr>
        <w:t xml:space="preserve">(hydrocodone extended-release) </w:t>
      </w:r>
      <w:r w:rsidR="00E31232">
        <w:rPr>
          <w:rFonts w:ascii="Arial" w:hAnsi="Arial" w:cs="Arial"/>
          <w:sz w:val="20"/>
          <w:szCs w:val="20"/>
        </w:rPr>
        <w:t>is the first opioid analgesic is</w:t>
      </w:r>
      <w:r w:rsidRPr="000877C0">
        <w:rPr>
          <w:rFonts w:ascii="Arial" w:hAnsi="Arial" w:cs="Arial"/>
          <w:sz w:val="20"/>
          <w:szCs w:val="20"/>
        </w:rPr>
        <w:t xml:space="preserve"> 10 mg every 12 hours.</w:t>
      </w:r>
      <w:r w:rsidR="00B92056" w:rsidRPr="00B92056">
        <w:rPr>
          <w:rFonts w:ascii="Arial" w:hAnsi="Arial" w:cs="Arial"/>
          <w:sz w:val="20"/>
          <w:szCs w:val="20"/>
          <w:vertAlign w:val="superscript"/>
        </w:rPr>
        <w:t>1</w:t>
      </w:r>
      <w:r w:rsidR="00E31232">
        <w:rPr>
          <w:rFonts w:ascii="Arial" w:hAnsi="Arial" w:cs="Arial"/>
          <w:sz w:val="20"/>
          <w:szCs w:val="20"/>
        </w:rPr>
        <w:t xml:space="preserve"> In patients who are converting from other opioids, the initial dosing recommendation is based upon the dosing conversion factors in the </w:t>
      </w:r>
      <w:r w:rsidRPr="000877C0">
        <w:rPr>
          <w:rFonts w:ascii="Arial" w:hAnsi="Arial" w:cs="Arial"/>
          <w:sz w:val="20"/>
          <w:szCs w:val="20"/>
        </w:rPr>
        <w:t>provided table (Table 7.).</w:t>
      </w:r>
      <w:r w:rsidR="00E31232">
        <w:rPr>
          <w:rFonts w:ascii="Arial" w:hAnsi="Arial" w:cs="Arial"/>
          <w:sz w:val="20"/>
          <w:szCs w:val="20"/>
        </w:rPr>
        <w:t xml:space="preserve"> Maintenance dosing can be achieved by</w:t>
      </w:r>
      <w:r w:rsidRPr="000877C0">
        <w:rPr>
          <w:rFonts w:ascii="Arial" w:hAnsi="Arial" w:cs="Arial"/>
          <w:sz w:val="20"/>
          <w:szCs w:val="20"/>
        </w:rPr>
        <w:t xml:space="preserve"> titrat</w:t>
      </w:r>
      <w:r w:rsidR="00E31232">
        <w:rPr>
          <w:rFonts w:ascii="Arial" w:hAnsi="Arial" w:cs="Arial"/>
          <w:sz w:val="20"/>
          <w:szCs w:val="20"/>
        </w:rPr>
        <w:t>ing the</w:t>
      </w:r>
      <w:r w:rsidRPr="000877C0">
        <w:rPr>
          <w:rFonts w:ascii="Arial" w:hAnsi="Arial" w:cs="Arial"/>
          <w:sz w:val="20"/>
          <w:szCs w:val="20"/>
        </w:rPr>
        <w:t xml:space="preserve"> dose to efficacy in increments of 10 mg every 12 hours every three to seven days as necessary.</w:t>
      </w:r>
      <w:r w:rsidR="00CC162B">
        <w:rPr>
          <w:rFonts w:ascii="Arial" w:hAnsi="Arial" w:cs="Arial"/>
          <w:sz w:val="20"/>
          <w:szCs w:val="20"/>
        </w:rPr>
        <w:t xml:space="preserve"> No </w:t>
      </w:r>
      <w:r w:rsidRPr="000877C0">
        <w:rPr>
          <w:rFonts w:ascii="Arial" w:hAnsi="Arial" w:cs="Arial"/>
          <w:sz w:val="20"/>
          <w:szCs w:val="20"/>
        </w:rPr>
        <w:t xml:space="preserve">maximum dose </w:t>
      </w:r>
      <w:r w:rsidR="00CC162B">
        <w:rPr>
          <w:rFonts w:ascii="Arial" w:hAnsi="Arial" w:cs="Arial"/>
          <w:sz w:val="20"/>
          <w:szCs w:val="20"/>
        </w:rPr>
        <w:t xml:space="preserve">has been </w:t>
      </w:r>
      <w:r w:rsidR="00C200EC">
        <w:rPr>
          <w:rFonts w:ascii="Arial" w:hAnsi="Arial" w:cs="Arial"/>
          <w:sz w:val="20"/>
          <w:szCs w:val="20"/>
        </w:rPr>
        <w:t>established</w:t>
      </w:r>
      <w:r w:rsidR="00CC162B">
        <w:rPr>
          <w:rFonts w:ascii="Arial" w:hAnsi="Arial" w:cs="Arial"/>
          <w:sz w:val="20"/>
          <w:szCs w:val="20"/>
        </w:rPr>
        <w:t xml:space="preserve"> by the manufacturer</w:t>
      </w:r>
      <w:r w:rsidRPr="000877C0">
        <w:rPr>
          <w:rFonts w:ascii="Arial" w:hAnsi="Arial" w:cs="Arial"/>
          <w:sz w:val="20"/>
          <w:szCs w:val="20"/>
        </w:rPr>
        <w:t>.</w:t>
      </w:r>
      <w:r w:rsidR="00B92056" w:rsidRPr="00B92056">
        <w:rPr>
          <w:rFonts w:ascii="Arial" w:hAnsi="Arial" w:cs="Arial"/>
          <w:sz w:val="20"/>
          <w:szCs w:val="20"/>
          <w:vertAlign w:val="superscript"/>
        </w:rPr>
        <w:t xml:space="preserve"> 1</w:t>
      </w:r>
      <w:r w:rsidR="00E02009">
        <w:rPr>
          <w:rFonts w:ascii="Arial" w:hAnsi="Arial" w:cs="Arial"/>
          <w:sz w:val="20"/>
          <w:szCs w:val="20"/>
        </w:rPr>
        <w:t xml:space="preserve"> Similar to other extended-release/long-acting opioids, the manufacturer is subject to adhering to the class-wise Risk Evaluation and Mitigation Strategy (REMS) requirements for preventing inappropriate prescribing, misuse, and abuse of extended release opioids.</w:t>
      </w:r>
      <w:r w:rsidR="00777933">
        <w:rPr>
          <w:rFonts w:ascii="Arial" w:hAnsi="Arial" w:cs="Arial"/>
          <w:sz w:val="20"/>
          <w:szCs w:val="20"/>
          <w:vertAlign w:val="superscript"/>
        </w:rPr>
        <w:t>5</w:t>
      </w:r>
    </w:p>
    <w:p w:rsidR="000877C0" w:rsidRPr="008820B1" w:rsidRDefault="000877C0" w:rsidP="00542A3C">
      <w:pPr>
        <w:pStyle w:val="NoSpacing"/>
        <w:rPr>
          <w:rFonts w:ascii="Arial" w:hAnsi="Arial" w:cs="Arial"/>
          <w:sz w:val="20"/>
          <w:szCs w:val="20"/>
          <w:highlight w:val="yellow"/>
        </w:rPr>
      </w:pPr>
    </w:p>
    <w:p w:rsidR="008D62BE" w:rsidRDefault="00542A3C" w:rsidP="00542A3C">
      <w:pPr>
        <w:pStyle w:val="NoSpacing"/>
        <w:rPr>
          <w:rFonts w:ascii="Arial" w:hAnsi="Arial" w:cs="Arial"/>
          <w:sz w:val="20"/>
          <w:szCs w:val="20"/>
        </w:rPr>
      </w:pPr>
      <w:proofErr w:type="spellStart"/>
      <w:r w:rsidRPr="00931F80">
        <w:rPr>
          <w:rFonts w:ascii="Arial" w:hAnsi="Arial" w:cs="Arial"/>
          <w:sz w:val="20"/>
          <w:szCs w:val="20"/>
        </w:rPr>
        <w:t>Zohydro</w:t>
      </w:r>
      <w:proofErr w:type="spellEnd"/>
      <w:r w:rsidRPr="00931F80">
        <w:rPr>
          <w:rFonts w:ascii="Arial" w:hAnsi="Arial" w:cs="Arial"/>
          <w:sz w:val="20"/>
          <w:szCs w:val="20"/>
        </w:rPr>
        <w:t xml:space="preserve"> ER</w:t>
      </w:r>
      <w:r w:rsidR="0040509B" w:rsidRPr="00931F80">
        <w:rPr>
          <w:rFonts w:ascii="Arial" w:hAnsi="Arial" w:cs="Arial"/>
          <w:sz w:val="20"/>
          <w:szCs w:val="20"/>
          <w:vertAlign w:val="superscript"/>
        </w:rPr>
        <w:t>®</w:t>
      </w:r>
      <w:r w:rsidRPr="00931F80">
        <w:rPr>
          <w:rFonts w:ascii="Arial" w:hAnsi="Arial" w:cs="Arial"/>
          <w:sz w:val="20"/>
          <w:szCs w:val="20"/>
        </w:rPr>
        <w:t xml:space="preserve"> (hydrocodone extended-release) capsules have been reformulated using </w:t>
      </w:r>
      <w:proofErr w:type="spellStart"/>
      <w:r w:rsidRPr="00931F80">
        <w:rPr>
          <w:rFonts w:ascii="Arial" w:hAnsi="Arial" w:cs="Arial"/>
          <w:sz w:val="20"/>
          <w:szCs w:val="20"/>
        </w:rPr>
        <w:t>BeadTek</w:t>
      </w:r>
      <w:proofErr w:type="spellEnd"/>
      <w:r>
        <w:rPr>
          <w:rFonts w:ascii="Arial" w:hAnsi="Arial" w:cs="Arial"/>
          <w:sz w:val="20"/>
          <w:szCs w:val="20"/>
        </w:rPr>
        <w:t>™</w:t>
      </w:r>
      <w:r w:rsidRPr="00931F80">
        <w:rPr>
          <w:rFonts w:ascii="Arial" w:hAnsi="Arial" w:cs="Arial"/>
          <w:sz w:val="20"/>
          <w:szCs w:val="20"/>
        </w:rPr>
        <w:t xml:space="preserve"> technology</w:t>
      </w:r>
      <w:r>
        <w:rPr>
          <w:rFonts w:ascii="Arial" w:hAnsi="Arial" w:cs="Arial"/>
          <w:sz w:val="20"/>
          <w:szCs w:val="20"/>
        </w:rPr>
        <w:t xml:space="preserve">. The capsules are </w:t>
      </w:r>
      <w:r w:rsidRPr="00931F80">
        <w:rPr>
          <w:rFonts w:ascii="Arial" w:hAnsi="Arial" w:cs="Arial"/>
          <w:sz w:val="20"/>
          <w:szCs w:val="20"/>
        </w:rPr>
        <w:t>comprise</w:t>
      </w:r>
      <w:r>
        <w:rPr>
          <w:rFonts w:ascii="Arial" w:hAnsi="Arial" w:cs="Arial"/>
          <w:sz w:val="20"/>
          <w:szCs w:val="20"/>
        </w:rPr>
        <w:t>d</w:t>
      </w:r>
      <w:r w:rsidRPr="00931F80">
        <w:rPr>
          <w:rFonts w:ascii="Arial" w:hAnsi="Arial" w:cs="Arial"/>
          <w:sz w:val="20"/>
          <w:szCs w:val="20"/>
        </w:rPr>
        <w:t xml:space="preserve"> of an indistinguishable mix of inactive beads, activ</w:t>
      </w:r>
      <w:r>
        <w:rPr>
          <w:rFonts w:ascii="Arial" w:hAnsi="Arial" w:cs="Arial"/>
          <w:sz w:val="20"/>
          <w:szCs w:val="20"/>
        </w:rPr>
        <w:t>e</w:t>
      </w:r>
      <w:r w:rsidRPr="00931F80">
        <w:rPr>
          <w:rFonts w:ascii="Arial" w:hAnsi="Arial" w:cs="Arial"/>
          <w:sz w:val="20"/>
          <w:szCs w:val="20"/>
        </w:rPr>
        <w:t xml:space="preserve"> immediate-release hydrocodone bea</w:t>
      </w:r>
      <w:r>
        <w:rPr>
          <w:rFonts w:ascii="Arial" w:hAnsi="Arial" w:cs="Arial"/>
          <w:sz w:val="20"/>
          <w:szCs w:val="20"/>
        </w:rPr>
        <w:t>d</w:t>
      </w:r>
      <w:r w:rsidRPr="00931F80">
        <w:rPr>
          <w:rFonts w:ascii="Arial" w:hAnsi="Arial" w:cs="Arial"/>
          <w:sz w:val="20"/>
          <w:szCs w:val="20"/>
        </w:rPr>
        <w:t>s and active extended-release hydrocodone beads which provide 12-hour dose duration.</w:t>
      </w:r>
      <w:r>
        <w:rPr>
          <w:rFonts w:ascii="Arial" w:hAnsi="Arial" w:cs="Arial"/>
          <w:sz w:val="20"/>
          <w:szCs w:val="20"/>
        </w:rPr>
        <w:t xml:space="preserve"> </w:t>
      </w:r>
      <w:r w:rsidRPr="00931F80">
        <w:rPr>
          <w:rFonts w:ascii="Arial" w:hAnsi="Arial" w:cs="Arial"/>
          <w:sz w:val="20"/>
          <w:szCs w:val="20"/>
        </w:rPr>
        <w:t xml:space="preserve">Attempts to crush </w:t>
      </w:r>
      <w:r w:rsidR="002F52FB">
        <w:rPr>
          <w:rFonts w:ascii="Arial" w:hAnsi="Arial" w:cs="Arial"/>
          <w:sz w:val="20"/>
          <w:szCs w:val="20"/>
        </w:rPr>
        <w:t>and</w:t>
      </w:r>
      <w:r w:rsidR="002F52FB" w:rsidRPr="00931F80">
        <w:rPr>
          <w:rFonts w:ascii="Arial" w:hAnsi="Arial" w:cs="Arial"/>
          <w:sz w:val="20"/>
          <w:szCs w:val="20"/>
        </w:rPr>
        <w:t xml:space="preserve"> </w:t>
      </w:r>
      <w:r w:rsidRPr="00931F80">
        <w:rPr>
          <w:rFonts w:ascii="Arial" w:hAnsi="Arial" w:cs="Arial"/>
          <w:sz w:val="20"/>
          <w:szCs w:val="20"/>
        </w:rPr>
        <w:t>dissolve the tablets result in the formation of a viscous gel, which may cause difficulty passing through a hypodermic needle.</w:t>
      </w:r>
      <w:r w:rsidR="00416B6F">
        <w:rPr>
          <w:rFonts w:ascii="Arial" w:hAnsi="Arial" w:cs="Arial"/>
          <w:sz w:val="20"/>
          <w:szCs w:val="20"/>
          <w:vertAlign w:val="superscript"/>
        </w:rPr>
        <w:t>4</w:t>
      </w:r>
      <w:r w:rsidRPr="006929E9">
        <w:rPr>
          <w:rFonts w:ascii="Arial" w:hAnsi="Arial" w:cs="Arial"/>
          <w:sz w:val="20"/>
          <w:szCs w:val="20"/>
        </w:rPr>
        <w:t xml:space="preserve"> </w:t>
      </w:r>
      <w:r>
        <w:rPr>
          <w:rFonts w:ascii="Arial" w:hAnsi="Arial" w:cs="Arial"/>
          <w:sz w:val="20"/>
          <w:szCs w:val="20"/>
        </w:rPr>
        <w:t>When ingested as directed, the inactive beads within the capsule remain inert</w:t>
      </w:r>
      <w:r w:rsidR="006B4B41">
        <w:rPr>
          <w:rFonts w:ascii="Arial" w:hAnsi="Arial" w:cs="Arial"/>
          <w:sz w:val="20"/>
          <w:szCs w:val="20"/>
        </w:rPr>
        <w:t>. T</w:t>
      </w:r>
      <w:r>
        <w:rPr>
          <w:rFonts w:ascii="Arial" w:hAnsi="Arial" w:cs="Arial"/>
          <w:sz w:val="20"/>
          <w:szCs w:val="20"/>
        </w:rPr>
        <w:t>he inactive beads dissolve independently of the active beads, thereby not affecting the 12-hour release properties.</w:t>
      </w:r>
      <w:r w:rsidR="00E44744">
        <w:rPr>
          <w:rFonts w:ascii="Arial" w:hAnsi="Arial" w:cs="Arial"/>
          <w:sz w:val="20"/>
          <w:szCs w:val="20"/>
        </w:rPr>
        <w:t xml:space="preserve"> There is currently no data regarding </w:t>
      </w:r>
      <w:proofErr w:type="spellStart"/>
      <w:r w:rsidR="00E44744">
        <w:rPr>
          <w:rFonts w:ascii="Arial" w:hAnsi="Arial" w:cs="Arial"/>
          <w:sz w:val="20"/>
          <w:szCs w:val="20"/>
        </w:rPr>
        <w:t>T</w:t>
      </w:r>
      <w:r w:rsidR="00E44744" w:rsidRPr="001C6700">
        <w:rPr>
          <w:rFonts w:ascii="Arial" w:hAnsi="Arial" w:cs="Arial"/>
          <w:sz w:val="20"/>
          <w:szCs w:val="20"/>
          <w:vertAlign w:val="subscript"/>
        </w:rPr>
        <w:t>max</w:t>
      </w:r>
      <w:proofErr w:type="spellEnd"/>
      <w:r w:rsidR="00E44744">
        <w:rPr>
          <w:rFonts w:ascii="Arial" w:hAnsi="Arial" w:cs="Arial"/>
          <w:sz w:val="20"/>
          <w:szCs w:val="20"/>
        </w:rPr>
        <w:t xml:space="preserve"> and bioavailability of </w:t>
      </w:r>
      <w:proofErr w:type="spellStart"/>
      <w:r w:rsidR="00E44744" w:rsidRPr="00931F80">
        <w:rPr>
          <w:rFonts w:ascii="Arial" w:hAnsi="Arial" w:cs="Arial"/>
          <w:sz w:val="20"/>
          <w:szCs w:val="20"/>
        </w:rPr>
        <w:t>Zohydro</w:t>
      </w:r>
      <w:proofErr w:type="spellEnd"/>
      <w:r w:rsidR="00E44744" w:rsidRPr="00931F80">
        <w:rPr>
          <w:rFonts w:ascii="Arial" w:hAnsi="Arial" w:cs="Arial"/>
          <w:sz w:val="20"/>
          <w:szCs w:val="20"/>
        </w:rPr>
        <w:t xml:space="preserve"> ER</w:t>
      </w:r>
      <w:r w:rsidR="0040509B" w:rsidRPr="00931F80">
        <w:rPr>
          <w:rFonts w:ascii="Arial" w:hAnsi="Arial" w:cs="Arial"/>
          <w:sz w:val="20"/>
          <w:szCs w:val="20"/>
          <w:vertAlign w:val="superscript"/>
        </w:rPr>
        <w:t>®</w:t>
      </w:r>
      <w:r w:rsidR="00E44744" w:rsidRPr="00931F80">
        <w:rPr>
          <w:rFonts w:ascii="Arial" w:hAnsi="Arial" w:cs="Arial"/>
          <w:sz w:val="20"/>
          <w:szCs w:val="20"/>
        </w:rPr>
        <w:t xml:space="preserve"> (hydrocodone extended-release) </w:t>
      </w:r>
      <w:r w:rsidR="00E44744">
        <w:rPr>
          <w:rFonts w:ascii="Arial" w:hAnsi="Arial" w:cs="Arial"/>
          <w:sz w:val="20"/>
          <w:szCs w:val="20"/>
        </w:rPr>
        <w:t xml:space="preserve">if </w:t>
      </w:r>
      <w:r w:rsidR="00E44744" w:rsidRPr="00931F80">
        <w:rPr>
          <w:rFonts w:ascii="Arial" w:hAnsi="Arial" w:cs="Arial"/>
          <w:sz w:val="20"/>
          <w:szCs w:val="20"/>
        </w:rPr>
        <w:t>capsules</w:t>
      </w:r>
      <w:r w:rsidR="00E44744">
        <w:rPr>
          <w:rFonts w:ascii="Arial" w:hAnsi="Arial" w:cs="Arial"/>
          <w:sz w:val="20"/>
          <w:szCs w:val="20"/>
        </w:rPr>
        <w:t xml:space="preserve"> are crushed versus intact.</w:t>
      </w:r>
    </w:p>
    <w:p w:rsidR="008D62BE" w:rsidRDefault="008D62BE" w:rsidP="00542A3C">
      <w:pPr>
        <w:pStyle w:val="NoSpacing"/>
        <w:rPr>
          <w:rFonts w:ascii="Arial" w:hAnsi="Arial" w:cs="Arial"/>
          <w:sz w:val="20"/>
          <w:szCs w:val="20"/>
        </w:rPr>
      </w:pPr>
    </w:p>
    <w:p w:rsidR="002B596C" w:rsidRDefault="00542A3C" w:rsidP="00E212A9">
      <w:pPr>
        <w:pStyle w:val="NoSpacing"/>
        <w:rPr>
          <w:rFonts w:ascii="Arial" w:hAnsi="Arial" w:cs="Arial"/>
          <w:b/>
          <w:sz w:val="20"/>
          <w:szCs w:val="20"/>
          <w:u w:val="single"/>
        </w:rPr>
      </w:pPr>
      <w:r w:rsidRPr="002F3EA4">
        <w:rPr>
          <w:rFonts w:ascii="Arial" w:hAnsi="Arial" w:cs="Arial"/>
          <w:sz w:val="20"/>
          <w:szCs w:val="20"/>
        </w:rPr>
        <w:t xml:space="preserve">The </w:t>
      </w:r>
      <w:r w:rsidR="0064644D" w:rsidRPr="002F3EA4">
        <w:rPr>
          <w:rFonts w:ascii="Arial" w:hAnsi="Arial" w:cs="Arial"/>
          <w:sz w:val="20"/>
          <w:szCs w:val="20"/>
        </w:rPr>
        <w:t xml:space="preserve">demonstrated efficacy </w:t>
      </w:r>
      <w:r w:rsidRPr="002F3EA4">
        <w:rPr>
          <w:rFonts w:ascii="Arial" w:hAnsi="Arial" w:cs="Arial"/>
          <w:sz w:val="20"/>
          <w:szCs w:val="20"/>
        </w:rPr>
        <w:t xml:space="preserve">of </w:t>
      </w:r>
      <w:proofErr w:type="spellStart"/>
      <w:r w:rsidRPr="002F3EA4">
        <w:rPr>
          <w:rFonts w:ascii="Arial" w:hAnsi="Arial" w:cs="Arial"/>
          <w:sz w:val="20"/>
          <w:szCs w:val="20"/>
        </w:rPr>
        <w:t>Zohydro</w:t>
      </w:r>
      <w:proofErr w:type="spellEnd"/>
      <w:r w:rsidRPr="002F3EA4">
        <w:rPr>
          <w:rFonts w:ascii="Arial" w:hAnsi="Arial" w:cs="Arial"/>
          <w:sz w:val="20"/>
          <w:szCs w:val="20"/>
        </w:rPr>
        <w:t xml:space="preserve"> ER</w:t>
      </w:r>
      <w:r w:rsidRPr="002F3EA4">
        <w:rPr>
          <w:rFonts w:ascii="Arial" w:hAnsi="Arial" w:cs="Arial"/>
          <w:sz w:val="20"/>
          <w:szCs w:val="20"/>
          <w:vertAlign w:val="superscript"/>
        </w:rPr>
        <w:t>®</w:t>
      </w:r>
      <w:r w:rsidRPr="002F3EA4">
        <w:rPr>
          <w:rFonts w:ascii="Arial" w:hAnsi="Arial" w:cs="Arial"/>
          <w:sz w:val="20"/>
          <w:szCs w:val="20"/>
        </w:rPr>
        <w:t xml:space="preserve"> (hydrocodone extended-release) </w:t>
      </w:r>
      <w:r w:rsidR="0064644D" w:rsidRPr="002F3EA4">
        <w:rPr>
          <w:rFonts w:ascii="Arial" w:hAnsi="Arial" w:cs="Arial"/>
          <w:sz w:val="20"/>
          <w:szCs w:val="20"/>
        </w:rPr>
        <w:t xml:space="preserve">in the treatment of chronic pain </w:t>
      </w:r>
      <w:r w:rsidRPr="002F3EA4">
        <w:rPr>
          <w:rFonts w:ascii="Arial" w:hAnsi="Arial" w:cs="Arial"/>
          <w:sz w:val="20"/>
          <w:szCs w:val="20"/>
        </w:rPr>
        <w:t>is a potential strength of the formulation</w:t>
      </w:r>
      <w:r w:rsidR="0064644D">
        <w:rPr>
          <w:rFonts w:ascii="Arial" w:hAnsi="Arial" w:cs="Arial"/>
          <w:sz w:val="20"/>
          <w:szCs w:val="20"/>
        </w:rPr>
        <w:t xml:space="preserve">. </w:t>
      </w:r>
      <w:r w:rsidR="0064644D" w:rsidRPr="002F3EA4">
        <w:rPr>
          <w:rFonts w:ascii="Arial" w:hAnsi="Arial" w:cs="Arial"/>
          <w:sz w:val="20"/>
          <w:szCs w:val="20"/>
        </w:rPr>
        <w:t xml:space="preserve">Potential weaknesses of </w:t>
      </w:r>
      <w:proofErr w:type="spellStart"/>
      <w:r w:rsidR="0064644D" w:rsidRPr="002F3EA4">
        <w:rPr>
          <w:rFonts w:ascii="Arial" w:hAnsi="Arial" w:cs="Arial"/>
          <w:sz w:val="20"/>
          <w:szCs w:val="20"/>
        </w:rPr>
        <w:t>Zohydro</w:t>
      </w:r>
      <w:proofErr w:type="spellEnd"/>
      <w:r w:rsidR="0064644D" w:rsidRPr="002F3EA4">
        <w:rPr>
          <w:rFonts w:ascii="Arial" w:hAnsi="Arial" w:cs="Arial"/>
          <w:sz w:val="20"/>
          <w:szCs w:val="20"/>
        </w:rPr>
        <w:t xml:space="preserve"> ER</w:t>
      </w:r>
      <w:r w:rsidR="0064644D" w:rsidRPr="002F3EA4">
        <w:rPr>
          <w:rFonts w:ascii="Arial" w:hAnsi="Arial" w:cs="Arial"/>
          <w:sz w:val="20"/>
          <w:szCs w:val="20"/>
          <w:vertAlign w:val="superscript"/>
        </w:rPr>
        <w:t>®</w:t>
      </w:r>
      <w:r w:rsidR="0064644D" w:rsidRPr="002F3EA4">
        <w:rPr>
          <w:rFonts w:ascii="Arial" w:hAnsi="Arial" w:cs="Arial"/>
          <w:sz w:val="20"/>
          <w:szCs w:val="20"/>
        </w:rPr>
        <w:t xml:space="preserve"> (hydrocodone extended-release) include the high cost relative to generic long-acting opioid formulations</w:t>
      </w:r>
      <w:r w:rsidR="0064644D">
        <w:rPr>
          <w:rFonts w:ascii="Arial" w:hAnsi="Arial" w:cs="Arial"/>
          <w:sz w:val="20"/>
          <w:szCs w:val="20"/>
        </w:rPr>
        <w:t xml:space="preserve"> and the potential for the </w:t>
      </w:r>
      <w:proofErr w:type="spellStart"/>
      <w:r w:rsidR="0064644D">
        <w:rPr>
          <w:rFonts w:ascii="Arial" w:hAnsi="Arial" w:cs="Arial"/>
          <w:sz w:val="20"/>
          <w:szCs w:val="20"/>
        </w:rPr>
        <w:t>BeadTek</w:t>
      </w:r>
      <w:proofErr w:type="spellEnd"/>
      <w:r w:rsidR="0064644D" w:rsidRPr="00F40E64">
        <w:rPr>
          <w:rFonts w:ascii="Arial" w:hAnsi="Arial" w:cs="Arial"/>
          <w:sz w:val="20"/>
          <w:szCs w:val="20"/>
        </w:rPr>
        <w:t>™</w:t>
      </w:r>
      <w:r w:rsidR="0064644D">
        <w:rPr>
          <w:rFonts w:ascii="Arial" w:hAnsi="Arial" w:cs="Arial"/>
          <w:sz w:val="20"/>
          <w:szCs w:val="20"/>
        </w:rPr>
        <w:t xml:space="preserve"> technology to be circumvented if the medication is crushed or chewed and swallowed or crushed and insufflated</w:t>
      </w:r>
      <w:r w:rsidR="0064644D" w:rsidRPr="00055EA8">
        <w:rPr>
          <w:rFonts w:ascii="Arial" w:hAnsi="Arial" w:cs="Arial"/>
          <w:sz w:val="20"/>
          <w:szCs w:val="20"/>
        </w:rPr>
        <w:t>.</w:t>
      </w:r>
      <w:r w:rsidR="0064644D" w:rsidRPr="000F29F9">
        <w:rPr>
          <w:rFonts w:ascii="Arial" w:hAnsi="Arial" w:cs="Arial"/>
          <w:sz w:val="20"/>
          <w:szCs w:val="20"/>
        </w:rPr>
        <w:t xml:space="preserve"> </w:t>
      </w:r>
      <w:r w:rsidR="00E978DD">
        <w:rPr>
          <w:rFonts w:ascii="Arial" w:hAnsi="Arial" w:cs="Arial"/>
          <w:sz w:val="20"/>
          <w:szCs w:val="20"/>
        </w:rPr>
        <w:t xml:space="preserve">There is a lack of </w:t>
      </w:r>
      <w:proofErr w:type="spellStart"/>
      <w:r w:rsidR="00E978DD">
        <w:rPr>
          <w:rFonts w:ascii="Arial" w:hAnsi="Arial" w:cs="Arial"/>
          <w:sz w:val="20"/>
          <w:szCs w:val="20"/>
        </w:rPr>
        <w:t>postmarketing</w:t>
      </w:r>
      <w:proofErr w:type="spellEnd"/>
      <w:r w:rsidR="00E978DD">
        <w:rPr>
          <w:rFonts w:ascii="Arial" w:hAnsi="Arial" w:cs="Arial"/>
          <w:sz w:val="20"/>
          <w:szCs w:val="20"/>
        </w:rPr>
        <w:t xml:space="preserve"> data demonstrating a reduction of abuse in the community.</w:t>
      </w:r>
    </w:p>
    <w:p w:rsidR="002B596C" w:rsidRDefault="002B596C" w:rsidP="00E212A9">
      <w:pPr>
        <w:pStyle w:val="NoSpacing"/>
        <w:rPr>
          <w:rFonts w:ascii="Arial" w:hAnsi="Arial" w:cs="Arial"/>
          <w:b/>
          <w:sz w:val="20"/>
          <w:szCs w:val="20"/>
          <w:u w:val="single"/>
        </w:rPr>
      </w:pPr>
    </w:p>
    <w:p w:rsidR="002B596C" w:rsidRDefault="002B596C" w:rsidP="00E212A9">
      <w:pPr>
        <w:pStyle w:val="NoSpacing"/>
        <w:rPr>
          <w:rFonts w:ascii="Arial" w:hAnsi="Arial" w:cs="Arial"/>
          <w:b/>
          <w:sz w:val="20"/>
          <w:szCs w:val="20"/>
          <w:u w:val="single"/>
        </w:rPr>
      </w:pPr>
    </w:p>
    <w:p w:rsidR="006D48D0" w:rsidRDefault="006D48D0"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0D0FB6" w:rsidRDefault="000D0FB6" w:rsidP="00E212A9">
      <w:pPr>
        <w:pStyle w:val="NoSpacing"/>
        <w:rPr>
          <w:rFonts w:ascii="Arial" w:hAnsi="Arial" w:cs="Arial"/>
          <w:b/>
          <w:sz w:val="20"/>
          <w:szCs w:val="20"/>
          <w:u w:val="single"/>
        </w:rPr>
      </w:pPr>
    </w:p>
    <w:p w:rsidR="00972E3B" w:rsidRDefault="00972E3B" w:rsidP="00E212A9">
      <w:pPr>
        <w:pStyle w:val="NoSpacing"/>
        <w:rPr>
          <w:rFonts w:ascii="Arial" w:hAnsi="Arial" w:cs="Arial"/>
          <w:b/>
          <w:sz w:val="20"/>
          <w:szCs w:val="20"/>
          <w:u w:val="single"/>
        </w:rPr>
      </w:pPr>
    </w:p>
    <w:p w:rsidR="00972E3B" w:rsidRDefault="00972E3B" w:rsidP="00E212A9">
      <w:pPr>
        <w:pStyle w:val="NoSpacing"/>
        <w:rPr>
          <w:rFonts w:ascii="Arial" w:hAnsi="Arial" w:cs="Arial"/>
          <w:b/>
          <w:sz w:val="20"/>
          <w:szCs w:val="20"/>
          <w:u w:val="single"/>
        </w:rPr>
      </w:pPr>
    </w:p>
    <w:p w:rsidR="00972E3B" w:rsidRDefault="00972E3B" w:rsidP="00E212A9">
      <w:pPr>
        <w:pStyle w:val="NoSpacing"/>
        <w:rPr>
          <w:rFonts w:ascii="Arial" w:hAnsi="Arial" w:cs="Arial"/>
          <w:b/>
          <w:sz w:val="20"/>
          <w:szCs w:val="20"/>
          <w:u w:val="single"/>
        </w:rPr>
      </w:pPr>
    </w:p>
    <w:p w:rsidR="00972E3B" w:rsidRDefault="00972E3B" w:rsidP="00E212A9">
      <w:pPr>
        <w:pStyle w:val="NoSpacing"/>
        <w:rPr>
          <w:rFonts w:ascii="Arial" w:hAnsi="Arial" w:cs="Arial"/>
          <w:b/>
          <w:sz w:val="20"/>
          <w:szCs w:val="20"/>
          <w:u w:val="single"/>
        </w:rPr>
      </w:pPr>
    </w:p>
    <w:p w:rsidR="009D31B4" w:rsidRDefault="009D31B4" w:rsidP="00E212A9">
      <w:pPr>
        <w:pStyle w:val="NoSpacing"/>
        <w:rPr>
          <w:rFonts w:ascii="Arial" w:hAnsi="Arial" w:cs="Arial"/>
          <w:b/>
          <w:sz w:val="20"/>
          <w:szCs w:val="20"/>
          <w:u w:val="single"/>
        </w:rPr>
      </w:pPr>
    </w:p>
    <w:p w:rsidR="009D31B4" w:rsidRDefault="009D31B4" w:rsidP="00E212A9">
      <w:pPr>
        <w:pStyle w:val="NoSpacing"/>
        <w:rPr>
          <w:rFonts w:ascii="Arial" w:hAnsi="Arial" w:cs="Arial"/>
          <w:b/>
          <w:sz w:val="20"/>
          <w:szCs w:val="20"/>
          <w:u w:val="single"/>
        </w:rPr>
      </w:pPr>
    </w:p>
    <w:p w:rsidR="009D31B4" w:rsidRDefault="009D31B4" w:rsidP="00E212A9">
      <w:pPr>
        <w:pStyle w:val="NoSpacing"/>
        <w:rPr>
          <w:rFonts w:ascii="Arial" w:hAnsi="Arial" w:cs="Arial"/>
          <w:b/>
          <w:sz w:val="20"/>
          <w:szCs w:val="20"/>
          <w:u w:val="single"/>
        </w:rPr>
      </w:pPr>
    </w:p>
    <w:p w:rsidR="009D31B4" w:rsidRDefault="009D31B4" w:rsidP="00E212A9">
      <w:pPr>
        <w:pStyle w:val="NoSpacing"/>
        <w:rPr>
          <w:rFonts w:ascii="Arial" w:hAnsi="Arial" w:cs="Arial"/>
          <w:b/>
          <w:sz w:val="20"/>
          <w:szCs w:val="20"/>
          <w:u w:val="single"/>
        </w:rPr>
      </w:pPr>
    </w:p>
    <w:p w:rsidR="009D31B4" w:rsidRDefault="009D31B4" w:rsidP="00E212A9">
      <w:pPr>
        <w:pStyle w:val="NoSpacing"/>
        <w:rPr>
          <w:rFonts w:ascii="Arial" w:hAnsi="Arial" w:cs="Arial"/>
          <w:b/>
          <w:sz w:val="20"/>
          <w:szCs w:val="20"/>
          <w:u w:val="single"/>
        </w:rPr>
      </w:pPr>
    </w:p>
    <w:p w:rsidR="009D31B4" w:rsidRDefault="009D31B4" w:rsidP="00E212A9">
      <w:pPr>
        <w:pStyle w:val="NoSpacing"/>
        <w:rPr>
          <w:rFonts w:ascii="Arial" w:hAnsi="Arial" w:cs="Arial"/>
          <w:b/>
          <w:sz w:val="20"/>
          <w:szCs w:val="20"/>
          <w:u w:val="single"/>
        </w:rPr>
      </w:pPr>
    </w:p>
    <w:p w:rsidR="00E212A9" w:rsidRPr="00C13D6D" w:rsidRDefault="00AB342E" w:rsidP="00E212A9">
      <w:pPr>
        <w:pStyle w:val="NoSpacing"/>
        <w:rPr>
          <w:rFonts w:ascii="Arial" w:hAnsi="Arial" w:cs="Arial"/>
          <w:b/>
          <w:sz w:val="20"/>
          <w:szCs w:val="20"/>
          <w:u w:val="single"/>
        </w:rPr>
      </w:pPr>
      <w:r w:rsidRPr="00C13D6D">
        <w:rPr>
          <w:rFonts w:ascii="Arial" w:hAnsi="Arial" w:cs="Arial"/>
          <w:b/>
          <w:sz w:val="20"/>
          <w:szCs w:val="20"/>
          <w:u w:val="single"/>
        </w:rPr>
        <w:lastRenderedPageBreak/>
        <w:t>Reference Data</w:t>
      </w:r>
    </w:p>
    <w:p w:rsidR="00AB342E" w:rsidRPr="00083D63" w:rsidRDefault="006D48D0" w:rsidP="00E212A9">
      <w:pPr>
        <w:pStyle w:val="NoSpacing"/>
        <w:rPr>
          <w:rFonts w:ascii="Arial" w:hAnsi="Arial" w:cs="Arial"/>
          <w:sz w:val="20"/>
          <w:szCs w:val="20"/>
          <w:highlight w:val="yellow"/>
        </w:rPr>
      </w:pPr>
      <w:proofErr w:type="spellStart"/>
      <w:r w:rsidRPr="00C13D6D">
        <w:rPr>
          <w:rFonts w:ascii="Arial" w:hAnsi="Arial" w:cs="Arial"/>
          <w:sz w:val="20"/>
          <w:szCs w:val="20"/>
        </w:rPr>
        <w:t>Zohydro</w:t>
      </w:r>
      <w:proofErr w:type="spellEnd"/>
      <w:r w:rsidRPr="00C13D6D">
        <w:rPr>
          <w:rFonts w:ascii="Arial" w:hAnsi="Arial" w:cs="Arial"/>
          <w:sz w:val="20"/>
          <w:szCs w:val="20"/>
        </w:rPr>
        <w:t xml:space="preserve"> </w:t>
      </w:r>
      <w:r w:rsidR="00760BD3" w:rsidRPr="00C13D6D">
        <w:rPr>
          <w:rFonts w:ascii="Arial" w:hAnsi="Arial" w:cs="Arial"/>
          <w:sz w:val="20"/>
          <w:szCs w:val="20"/>
        </w:rPr>
        <w:t>ER</w:t>
      </w:r>
      <w:r w:rsidR="009E2480" w:rsidRPr="00C13D6D">
        <w:rPr>
          <w:rFonts w:ascii="Arial" w:hAnsi="Arial" w:cs="Arial"/>
          <w:sz w:val="20"/>
          <w:szCs w:val="20"/>
          <w:vertAlign w:val="superscript"/>
        </w:rPr>
        <w:t>®</w:t>
      </w:r>
      <w:r w:rsidR="00760BD3" w:rsidRPr="00C13D6D">
        <w:rPr>
          <w:rFonts w:ascii="Arial" w:hAnsi="Arial" w:cs="Arial"/>
          <w:sz w:val="20"/>
          <w:szCs w:val="20"/>
        </w:rPr>
        <w:t xml:space="preserve"> (hydrocodone extended-release) is a long-acting formulation of hydrocodone. </w:t>
      </w:r>
      <w:r w:rsidR="00AB342E" w:rsidRPr="00C13D6D">
        <w:rPr>
          <w:rFonts w:ascii="Arial" w:hAnsi="Arial" w:cs="Arial"/>
          <w:sz w:val="20"/>
          <w:szCs w:val="20"/>
        </w:rPr>
        <w:t>Hydrocodone is a</w:t>
      </w:r>
      <w:r w:rsidR="00FF114E" w:rsidRPr="00C13D6D">
        <w:rPr>
          <w:rFonts w:ascii="Arial" w:hAnsi="Arial" w:cs="Arial"/>
          <w:sz w:val="20"/>
          <w:szCs w:val="20"/>
        </w:rPr>
        <w:t>n opioid agonist that is</w:t>
      </w:r>
      <w:r w:rsidR="00AB342E" w:rsidRPr="00C13D6D">
        <w:rPr>
          <w:rFonts w:ascii="Arial" w:hAnsi="Arial" w:cs="Arial"/>
          <w:sz w:val="20"/>
          <w:szCs w:val="20"/>
        </w:rPr>
        <w:t xml:space="preserve"> relat</w:t>
      </w:r>
      <w:r w:rsidR="00FF114E" w:rsidRPr="00C13D6D">
        <w:rPr>
          <w:rFonts w:ascii="Arial" w:hAnsi="Arial" w:cs="Arial"/>
          <w:sz w:val="20"/>
          <w:szCs w:val="20"/>
        </w:rPr>
        <w:t xml:space="preserve">ively selective </w:t>
      </w:r>
      <w:r w:rsidR="00066810" w:rsidRPr="00C13D6D">
        <w:rPr>
          <w:rFonts w:ascii="Arial" w:hAnsi="Arial" w:cs="Arial"/>
          <w:sz w:val="20"/>
          <w:szCs w:val="20"/>
        </w:rPr>
        <w:t xml:space="preserve">for the </w:t>
      </w:r>
      <w:r w:rsidR="00FF114E" w:rsidRPr="00C13D6D">
        <w:rPr>
          <w:rFonts w:ascii="Arial" w:hAnsi="Arial" w:cs="Arial"/>
          <w:sz w:val="20"/>
          <w:szCs w:val="20"/>
        </w:rPr>
        <w:t>µ</w:t>
      </w:r>
      <w:r w:rsidR="00066810" w:rsidRPr="00C13D6D">
        <w:rPr>
          <w:rFonts w:ascii="Arial" w:hAnsi="Arial" w:cs="Arial"/>
          <w:sz w:val="20"/>
          <w:szCs w:val="20"/>
        </w:rPr>
        <w:t xml:space="preserve"> opioid</w:t>
      </w:r>
      <w:r w:rsidR="00FF114E" w:rsidRPr="00C13D6D">
        <w:rPr>
          <w:rFonts w:ascii="Arial" w:hAnsi="Arial" w:cs="Arial"/>
          <w:sz w:val="20"/>
          <w:szCs w:val="20"/>
        </w:rPr>
        <w:t xml:space="preserve"> receptors</w:t>
      </w:r>
      <w:r w:rsidR="00D42930" w:rsidRPr="00C13D6D">
        <w:rPr>
          <w:rFonts w:ascii="Arial" w:hAnsi="Arial" w:cs="Arial"/>
          <w:sz w:val="20"/>
          <w:szCs w:val="20"/>
        </w:rPr>
        <w:t>;</w:t>
      </w:r>
      <w:r w:rsidR="00FF114E" w:rsidRPr="00C13D6D">
        <w:rPr>
          <w:rFonts w:ascii="Arial" w:hAnsi="Arial" w:cs="Arial"/>
          <w:sz w:val="20"/>
          <w:szCs w:val="20"/>
        </w:rPr>
        <w:t xml:space="preserve"> although</w:t>
      </w:r>
      <w:r w:rsidR="00D42930" w:rsidRPr="00C13D6D">
        <w:rPr>
          <w:rFonts w:ascii="Arial" w:hAnsi="Arial" w:cs="Arial"/>
          <w:sz w:val="20"/>
          <w:szCs w:val="20"/>
        </w:rPr>
        <w:t>,</w:t>
      </w:r>
      <w:r w:rsidR="00FF114E" w:rsidRPr="00C13D6D">
        <w:rPr>
          <w:rFonts w:ascii="Arial" w:hAnsi="Arial" w:cs="Arial"/>
          <w:sz w:val="20"/>
          <w:szCs w:val="20"/>
        </w:rPr>
        <w:t xml:space="preserve"> o</w:t>
      </w:r>
      <w:r w:rsidR="00AB342E" w:rsidRPr="00C13D6D">
        <w:rPr>
          <w:rFonts w:ascii="Arial" w:hAnsi="Arial" w:cs="Arial"/>
          <w:sz w:val="20"/>
          <w:szCs w:val="20"/>
        </w:rPr>
        <w:t>ther opioid receptor subtypes may be stimulated at higher doses.</w:t>
      </w:r>
      <w:r w:rsidR="00591A24" w:rsidRPr="00C13D6D">
        <w:rPr>
          <w:rFonts w:ascii="Arial" w:hAnsi="Arial" w:cs="Arial"/>
          <w:sz w:val="20"/>
          <w:szCs w:val="20"/>
          <w:vertAlign w:val="superscript"/>
        </w:rPr>
        <w:t>1</w:t>
      </w:r>
      <w:r w:rsidR="00AB342E" w:rsidRPr="00C13D6D">
        <w:rPr>
          <w:rFonts w:ascii="Arial" w:hAnsi="Arial" w:cs="Arial"/>
          <w:sz w:val="20"/>
          <w:szCs w:val="20"/>
        </w:rPr>
        <w:t xml:space="preserve"> </w:t>
      </w:r>
      <w:r w:rsidR="003017A0" w:rsidRPr="00C13D6D">
        <w:rPr>
          <w:rFonts w:ascii="Arial" w:hAnsi="Arial" w:cs="Arial"/>
          <w:sz w:val="20"/>
          <w:szCs w:val="20"/>
        </w:rPr>
        <w:t xml:space="preserve">Stimulation of the </w:t>
      </w:r>
      <w:r w:rsidR="00591A24" w:rsidRPr="00C13D6D">
        <w:rPr>
          <w:rFonts w:ascii="Arial" w:hAnsi="Arial" w:cs="Arial"/>
          <w:sz w:val="20"/>
          <w:szCs w:val="20"/>
        </w:rPr>
        <w:t>µ opioid receptors results in analgesia, decreased gastrointestinal motility, euphoria, physical dependence, respiratory depression and sedation.</w:t>
      </w:r>
      <w:r w:rsidR="000557B6">
        <w:rPr>
          <w:rFonts w:ascii="Arial" w:hAnsi="Arial" w:cs="Arial"/>
          <w:sz w:val="20"/>
          <w:szCs w:val="20"/>
          <w:vertAlign w:val="superscript"/>
        </w:rPr>
        <w:t>6</w:t>
      </w:r>
      <w:r w:rsidR="00A0691A" w:rsidRPr="00C13D6D">
        <w:rPr>
          <w:rFonts w:ascii="Arial" w:hAnsi="Arial" w:cs="Arial"/>
          <w:sz w:val="20"/>
          <w:szCs w:val="20"/>
        </w:rPr>
        <w:t xml:space="preserve"> </w:t>
      </w:r>
      <w:r w:rsidR="00A0691A" w:rsidRPr="00F75053">
        <w:rPr>
          <w:rFonts w:ascii="Arial" w:hAnsi="Arial" w:cs="Arial"/>
          <w:sz w:val="20"/>
          <w:szCs w:val="20"/>
        </w:rPr>
        <w:t xml:space="preserve">Similar drugs within the long-acting opioid class are listed in Table 1. </w:t>
      </w:r>
    </w:p>
    <w:p w:rsidR="00A0691A" w:rsidRPr="00083D63" w:rsidRDefault="00A0691A" w:rsidP="00E212A9">
      <w:pPr>
        <w:pStyle w:val="NoSpacing"/>
        <w:rPr>
          <w:rFonts w:ascii="Arial" w:hAnsi="Arial" w:cs="Arial"/>
          <w:sz w:val="20"/>
          <w:szCs w:val="20"/>
          <w:highlight w:val="yellow"/>
        </w:rPr>
      </w:pPr>
    </w:p>
    <w:p w:rsidR="00A0691A" w:rsidRPr="00A53861" w:rsidRDefault="00A0691A" w:rsidP="00A0691A">
      <w:pPr>
        <w:spacing w:after="0" w:line="240" w:lineRule="auto"/>
        <w:rPr>
          <w:rFonts w:ascii="Arial" w:hAnsi="Arial" w:cs="Arial"/>
          <w:b/>
          <w:sz w:val="20"/>
          <w:szCs w:val="20"/>
        </w:rPr>
      </w:pPr>
      <w:r w:rsidRPr="00A53861">
        <w:rPr>
          <w:rFonts w:ascii="Arial" w:hAnsi="Arial" w:cs="Arial"/>
          <w:b/>
          <w:sz w:val="20"/>
          <w:szCs w:val="20"/>
        </w:rPr>
        <w:t>Table 1. Long-Acting Opioid Availability</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0"/>
        <w:gridCol w:w="3060"/>
        <w:gridCol w:w="2466"/>
      </w:tblGrid>
      <w:tr w:rsidR="0093521C" w:rsidRPr="00A53861" w:rsidTr="0093521C">
        <w:trPr>
          <w:tblHeader/>
        </w:trPr>
        <w:tc>
          <w:tcPr>
            <w:tcW w:w="4050" w:type="dxa"/>
            <w:tcBorders>
              <w:bottom w:val="single" w:sz="4" w:space="0" w:color="000000"/>
            </w:tcBorders>
            <w:shd w:val="clear" w:color="auto" w:fill="C0C0C0"/>
            <w:vAlign w:val="center"/>
          </w:tcPr>
          <w:p w:rsidR="0093521C" w:rsidRPr="00A53861" w:rsidRDefault="0093521C" w:rsidP="0093521C">
            <w:pPr>
              <w:pStyle w:val="NoSpacing"/>
              <w:jc w:val="center"/>
              <w:rPr>
                <w:rFonts w:ascii="Arial" w:hAnsi="Arial" w:cs="Arial"/>
                <w:b/>
                <w:sz w:val="20"/>
                <w:szCs w:val="20"/>
              </w:rPr>
            </w:pPr>
            <w:r w:rsidRPr="00A53861">
              <w:rPr>
                <w:rFonts w:ascii="Arial" w:hAnsi="Arial" w:cs="Arial"/>
                <w:b/>
                <w:sz w:val="20"/>
                <w:szCs w:val="20"/>
              </w:rPr>
              <w:t>Generic Name (Trade name)</w:t>
            </w:r>
          </w:p>
        </w:tc>
        <w:tc>
          <w:tcPr>
            <w:tcW w:w="3060" w:type="dxa"/>
            <w:tcBorders>
              <w:bottom w:val="single" w:sz="4" w:space="0" w:color="000000"/>
            </w:tcBorders>
            <w:shd w:val="clear" w:color="auto" w:fill="C0C0C0"/>
          </w:tcPr>
          <w:p w:rsidR="0093521C" w:rsidRPr="00A53861" w:rsidRDefault="0093521C" w:rsidP="0093521C">
            <w:pPr>
              <w:pStyle w:val="NoSpacing"/>
              <w:jc w:val="center"/>
              <w:rPr>
                <w:rFonts w:ascii="Arial" w:hAnsi="Arial" w:cs="Arial"/>
                <w:b/>
                <w:sz w:val="20"/>
                <w:szCs w:val="20"/>
              </w:rPr>
            </w:pPr>
            <w:r w:rsidRPr="00A53861">
              <w:rPr>
                <w:rFonts w:ascii="Arial" w:hAnsi="Arial" w:cs="Arial"/>
                <w:b/>
                <w:sz w:val="20"/>
                <w:szCs w:val="20"/>
              </w:rPr>
              <w:t>Abuse Deterrent Formulation Available</w:t>
            </w:r>
          </w:p>
        </w:tc>
        <w:tc>
          <w:tcPr>
            <w:tcW w:w="2466" w:type="dxa"/>
            <w:tcBorders>
              <w:bottom w:val="single" w:sz="4" w:space="0" w:color="000000"/>
            </w:tcBorders>
            <w:shd w:val="clear" w:color="auto" w:fill="C0C0C0"/>
          </w:tcPr>
          <w:p w:rsidR="0093521C" w:rsidRPr="00A53861" w:rsidRDefault="0093521C" w:rsidP="0093521C">
            <w:pPr>
              <w:pStyle w:val="NoSpacing"/>
              <w:jc w:val="center"/>
              <w:rPr>
                <w:rFonts w:ascii="Arial" w:hAnsi="Arial" w:cs="Arial"/>
                <w:b/>
                <w:sz w:val="20"/>
                <w:szCs w:val="20"/>
              </w:rPr>
            </w:pPr>
            <w:r w:rsidRPr="00A53861">
              <w:rPr>
                <w:rFonts w:ascii="Arial" w:hAnsi="Arial" w:cs="Arial"/>
                <w:b/>
                <w:sz w:val="20"/>
                <w:szCs w:val="20"/>
              </w:rPr>
              <w:t xml:space="preserve">Commercially Available </w:t>
            </w:r>
          </w:p>
        </w:tc>
      </w:tr>
      <w:tr w:rsidR="0093521C" w:rsidRPr="00A53861" w:rsidTr="0093521C">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Buprenorphine (</w:t>
            </w:r>
            <w:proofErr w:type="spellStart"/>
            <w:r w:rsidRPr="00A53861">
              <w:rPr>
                <w:rFonts w:ascii="Arial" w:hAnsi="Arial" w:cs="Arial"/>
                <w:sz w:val="20"/>
                <w:szCs w:val="20"/>
              </w:rPr>
              <w:t>Belbuca</w:t>
            </w:r>
            <w:proofErr w:type="spellEnd"/>
            <w:r w:rsidRPr="00A53861">
              <w:rPr>
                <w:rFonts w:ascii="Arial" w:hAnsi="Arial" w:cs="Arial"/>
                <w:sz w:val="20"/>
                <w:szCs w:val="20"/>
                <w:vertAlign w:val="superscript"/>
              </w:rPr>
              <w:t>®</w:t>
            </w:r>
            <w:r w:rsidRPr="00A53861">
              <w:rPr>
                <w:rFonts w:ascii="Arial" w:hAnsi="Arial" w:cs="Arial"/>
                <w:sz w:val="20"/>
                <w:szCs w:val="20"/>
              </w:rPr>
              <w:t xml:space="preserve">, </w:t>
            </w:r>
            <w:proofErr w:type="spellStart"/>
            <w:r w:rsidRPr="00A53861">
              <w:rPr>
                <w:rFonts w:ascii="Arial" w:hAnsi="Arial" w:cs="Arial"/>
                <w:sz w:val="20"/>
                <w:szCs w:val="20"/>
              </w:rPr>
              <w:t>Butrans</w:t>
            </w:r>
            <w:proofErr w:type="spellEnd"/>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Fonts w:ascii="Arial" w:hAnsi="Arial" w:cs="Arial"/>
                <w:sz w:val="20"/>
                <w:szCs w:val="20"/>
              </w:rPr>
              <w:t>-</w:t>
            </w:r>
          </w:p>
        </w:tc>
        <w:tc>
          <w:tcPr>
            <w:tcW w:w="2466" w:type="dxa"/>
          </w:tcPr>
          <w:p w:rsidR="0093521C" w:rsidRPr="00A53861" w:rsidRDefault="0093521C" w:rsidP="0093521C">
            <w:pPr>
              <w:spacing w:after="0" w:line="240" w:lineRule="auto"/>
              <w:jc w:val="center"/>
              <w:rPr>
                <w:rStyle w:val="st1"/>
                <w:rFonts w:ascii="MS Gothic" w:eastAsia="MS Gothic" w:hAnsi="MS Gothic" w:cs="MS Gothic"/>
                <w:lang w:val="en"/>
              </w:rPr>
            </w:pPr>
            <w:r w:rsidRPr="00A53861">
              <w:rPr>
                <w:rStyle w:val="st1"/>
                <w:rFonts w:ascii="MS Gothic" w:eastAsia="MS Gothic" w:hAnsi="MS Gothic" w:cs="MS Gothic" w:hint="eastAsia"/>
                <w:lang w:val="en"/>
              </w:rPr>
              <w:t>✓</w:t>
            </w:r>
          </w:p>
        </w:tc>
      </w:tr>
      <w:tr w:rsidR="0093521C" w:rsidRPr="00A53861" w:rsidTr="0093521C">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Fentanyl (</w:t>
            </w:r>
            <w:proofErr w:type="spellStart"/>
            <w:r w:rsidRPr="00A53861">
              <w:rPr>
                <w:rFonts w:ascii="Arial" w:hAnsi="Arial" w:cs="Arial"/>
                <w:sz w:val="20"/>
                <w:szCs w:val="20"/>
              </w:rPr>
              <w:t>Duragesic</w:t>
            </w:r>
            <w:proofErr w:type="spellEnd"/>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Fonts w:ascii="Arial" w:hAnsi="Arial" w:cs="Arial"/>
                <w:sz w:val="20"/>
                <w:szCs w:val="20"/>
              </w:rPr>
              <w:t>-</w:t>
            </w:r>
          </w:p>
        </w:tc>
        <w:tc>
          <w:tcPr>
            <w:tcW w:w="2466" w:type="dxa"/>
          </w:tcPr>
          <w:p w:rsidR="0093521C" w:rsidRPr="00A53861" w:rsidRDefault="0093521C" w:rsidP="0093521C">
            <w:pPr>
              <w:spacing w:after="0" w:line="240" w:lineRule="auto"/>
              <w:jc w:val="center"/>
            </w:pPr>
            <w:r w:rsidRPr="00A53861">
              <w:rPr>
                <w:rStyle w:val="st1"/>
                <w:rFonts w:ascii="MS Gothic" w:eastAsia="MS Gothic" w:hAnsi="MS Gothic" w:cs="MS Gothic" w:hint="eastAsia"/>
                <w:lang w:val="en"/>
              </w:rPr>
              <w:t>✓</w:t>
            </w:r>
          </w:p>
        </w:tc>
      </w:tr>
      <w:tr w:rsidR="0093521C" w:rsidRPr="00A53861" w:rsidTr="0093521C">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Hydrocodone (</w:t>
            </w:r>
            <w:proofErr w:type="spellStart"/>
            <w:r w:rsidRPr="00A53861">
              <w:rPr>
                <w:rFonts w:ascii="Arial" w:hAnsi="Arial" w:cs="Arial"/>
                <w:sz w:val="20"/>
                <w:szCs w:val="20"/>
              </w:rPr>
              <w:t>Hysingla</w:t>
            </w:r>
            <w:proofErr w:type="spellEnd"/>
            <w:r w:rsidRPr="00A53861">
              <w:rPr>
                <w:rFonts w:ascii="Arial" w:hAnsi="Arial" w:cs="Arial"/>
                <w:sz w:val="20"/>
                <w:szCs w:val="20"/>
              </w:rPr>
              <w:t xml:space="preserve"> ER</w:t>
            </w:r>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Style w:val="st1"/>
                <w:rFonts w:ascii="MS Gothic" w:eastAsia="MS Gothic" w:hAnsi="MS Gothic" w:cs="MS Gothic" w:hint="eastAsia"/>
                <w:lang w:val="en"/>
              </w:rPr>
              <w:t>✓</w:t>
            </w:r>
          </w:p>
        </w:tc>
        <w:tc>
          <w:tcPr>
            <w:tcW w:w="2466" w:type="dxa"/>
          </w:tcPr>
          <w:p w:rsidR="0093521C" w:rsidRPr="00A53861" w:rsidRDefault="0093521C" w:rsidP="0093521C">
            <w:pPr>
              <w:spacing w:after="0" w:line="240" w:lineRule="auto"/>
              <w:jc w:val="center"/>
            </w:pPr>
            <w:r w:rsidRPr="00A53861">
              <w:rPr>
                <w:rStyle w:val="st1"/>
                <w:rFonts w:ascii="MS Gothic" w:eastAsia="MS Gothic" w:hAnsi="MS Gothic" w:cs="MS Gothic" w:hint="eastAsia"/>
                <w:lang w:val="en"/>
              </w:rPr>
              <w:t>✓</w:t>
            </w:r>
          </w:p>
        </w:tc>
      </w:tr>
      <w:tr w:rsidR="0093521C" w:rsidRPr="00A53861" w:rsidTr="0093521C">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Hydrocodone (</w:t>
            </w:r>
            <w:proofErr w:type="spellStart"/>
            <w:r w:rsidRPr="00A53861">
              <w:rPr>
                <w:rFonts w:ascii="Arial" w:hAnsi="Arial" w:cs="Arial"/>
                <w:sz w:val="20"/>
                <w:szCs w:val="20"/>
              </w:rPr>
              <w:t>Zohydro</w:t>
            </w:r>
            <w:proofErr w:type="spellEnd"/>
            <w:r w:rsidRPr="00A53861">
              <w:rPr>
                <w:rFonts w:ascii="Arial" w:hAnsi="Arial" w:cs="Arial"/>
                <w:sz w:val="20"/>
                <w:szCs w:val="20"/>
              </w:rPr>
              <w:t xml:space="preserve"> ER</w:t>
            </w:r>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6B4B41" w:rsidP="0093521C">
            <w:pPr>
              <w:pStyle w:val="NoSpacing"/>
              <w:jc w:val="center"/>
              <w:rPr>
                <w:rFonts w:ascii="Arial" w:hAnsi="Arial" w:cs="Arial"/>
                <w:sz w:val="20"/>
                <w:szCs w:val="20"/>
              </w:rPr>
            </w:pPr>
            <w:r>
              <w:rPr>
                <w:rFonts w:ascii="MS Gothic" w:eastAsia="MS Gothic" w:hAnsi="MS Gothic" w:cs="MS Gothic" w:hint="eastAsia"/>
                <w:sz w:val="20"/>
                <w:szCs w:val="20"/>
              </w:rPr>
              <w:t>-</w:t>
            </w:r>
          </w:p>
        </w:tc>
        <w:tc>
          <w:tcPr>
            <w:tcW w:w="2466" w:type="dxa"/>
          </w:tcPr>
          <w:p w:rsidR="0093521C" w:rsidRPr="00A53861" w:rsidRDefault="0093521C" w:rsidP="0093521C">
            <w:pPr>
              <w:spacing w:after="0" w:line="240" w:lineRule="auto"/>
              <w:jc w:val="center"/>
            </w:pPr>
            <w:r w:rsidRPr="00A53861">
              <w:rPr>
                <w:rStyle w:val="st1"/>
                <w:rFonts w:ascii="MS Gothic" w:eastAsia="MS Gothic" w:hAnsi="MS Gothic" w:cs="MS Gothic" w:hint="eastAsia"/>
                <w:lang w:val="en"/>
              </w:rPr>
              <w:t>✓</w:t>
            </w:r>
          </w:p>
        </w:tc>
      </w:tr>
      <w:tr w:rsidR="0093521C" w:rsidRPr="00A53861" w:rsidTr="0093521C">
        <w:trPr>
          <w:trHeight w:val="70"/>
        </w:trPr>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Hydromorphone (</w:t>
            </w:r>
            <w:proofErr w:type="spellStart"/>
            <w:r w:rsidRPr="00A53861">
              <w:rPr>
                <w:rFonts w:ascii="Arial" w:hAnsi="Arial" w:cs="Arial"/>
                <w:sz w:val="20"/>
                <w:szCs w:val="20"/>
              </w:rPr>
              <w:t>Exalgo</w:t>
            </w:r>
            <w:proofErr w:type="spellEnd"/>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Fonts w:ascii="Arial" w:hAnsi="Arial" w:cs="Arial"/>
                <w:sz w:val="20"/>
                <w:szCs w:val="20"/>
              </w:rPr>
              <w:t>-</w:t>
            </w:r>
          </w:p>
        </w:tc>
        <w:tc>
          <w:tcPr>
            <w:tcW w:w="2466" w:type="dxa"/>
          </w:tcPr>
          <w:p w:rsidR="0093521C" w:rsidRPr="00A53861" w:rsidRDefault="0093521C" w:rsidP="0093521C">
            <w:pPr>
              <w:spacing w:after="0" w:line="240" w:lineRule="auto"/>
              <w:jc w:val="center"/>
            </w:pPr>
            <w:r w:rsidRPr="00A53861">
              <w:rPr>
                <w:rStyle w:val="st1"/>
                <w:rFonts w:ascii="MS Gothic" w:eastAsia="MS Gothic" w:hAnsi="MS Gothic" w:cs="MS Gothic" w:hint="eastAsia"/>
                <w:lang w:val="en"/>
              </w:rPr>
              <w:t>✓</w:t>
            </w:r>
          </w:p>
        </w:tc>
      </w:tr>
      <w:tr w:rsidR="0093521C" w:rsidRPr="00A53861" w:rsidTr="0093521C">
        <w:tc>
          <w:tcPr>
            <w:tcW w:w="4050" w:type="dxa"/>
          </w:tcPr>
          <w:p w:rsidR="0093521C" w:rsidRPr="00A53861" w:rsidRDefault="0093521C" w:rsidP="0093521C">
            <w:pPr>
              <w:pStyle w:val="NoSpacing"/>
              <w:rPr>
                <w:rFonts w:ascii="Arial" w:hAnsi="Arial" w:cs="Arial"/>
                <w:sz w:val="20"/>
                <w:szCs w:val="20"/>
              </w:rPr>
            </w:pPr>
            <w:proofErr w:type="spellStart"/>
            <w:r w:rsidRPr="00A53861">
              <w:rPr>
                <w:rFonts w:ascii="Arial" w:hAnsi="Arial" w:cs="Arial"/>
                <w:sz w:val="20"/>
                <w:szCs w:val="20"/>
              </w:rPr>
              <w:t>Levorphanol</w:t>
            </w:r>
            <w:proofErr w:type="spellEnd"/>
            <w:r w:rsidR="00C05448" w:rsidRPr="00A53861">
              <w:rPr>
                <w:rFonts w:ascii="Arial" w:hAnsi="Arial" w:cs="Arial"/>
                <w:sz w:val="20"/>
                <w:szCs w:val="20"/>
              </w:rPr>
              <w:t xml:space="preserve"> (</w:t>
            </w:r>
            <w:proofErr w:type="spellStart"/>
            <w:r w:rsidR="00C05448" w:rsidRPr="00A53861">
              <w:rPr>
                <w:rFonts w:ascii="Arial" w:hAnsi="Arial" w:cs="Arial"/>
                <w:sz w:val="20"/>
                <w:szCs w:val="20"/>
              </w:rPr>
              <w:t>Levo-Dromoran</w:t>
            </w:r>
            <w:proofErr w:type="spellEnd"/>
            <w:r w:rsidR="00C05448" w:rsidRPr="00A53861">
              <w:rPr>
                <w:rFonts w:ascii="Arial" w:hAnsi="Arial" w:cs="Arial"/>
                <w:sz w:val="20"/>
                <w:szCs w:val="20"/>
                <w:vertAlign w:val="superscript"/>
              </w:rPr>
              <w:t>®</w:t>
            </w:r>
            <w:r w:rsidR="00C05448"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Fonts w:ascii="Arial" w:hAnsi="Arial" w:cs="Arial"/>
                <w:sz w:val="20"/>
                <w:szCs w:val="20"/>
              </w:rPr>
              <w:t>-</w:t>
            </w:r>
          </w:p>
        </w:tc>
        <w:tc>
          <w:tcPr>
            <w:tcW w:w="2466" w:type="dxa"/>
          </w:tcPr>
          <w:p w:rsidR="0093521C" w:rsidRPr="00A53861" w:rsidRDefault="0093521C" w:rsidP="0093521C">
            <w:pPr>
              <w:spacing w:after="0" w:line="240" w:lineRule="auto"/>
              <w:jc w:val="center"/>
            </w:pPr>
            <w:r w:rsidRPr="00A53861">
              <w:rPr>
                <w:rStyle w:val="st1"/>
                <w:rFonts w:ascii="MS Gothic" w:eastAsia="MS Gothic" w:hAnsi="MS Gothic" w:cs="MS Gothic" w:hint="eastAsia"/>
                <w:lang w:val="en"/>
              </w:rPr>
              <w:t>✓</w:t>
            </w:r>
          </w:p>
        </w:tc>
      </w:tr>
      <w:tr w:rsidR="0093521C" w:rsidRPr="00A53861" w:rsidTr="0093521C">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Methadone (</w:t>
            </w:r>
            <w:proofErr w:type="spellStart"/>
            <w:r w:rsidRPr="00A53861">
              <w:rPr>
                <w:rFonts w:ascii="Arial" w:hAnsi="Arial" w:cs="Arial"/>
                <w:sz w:val="20"/>
                <w:szCs w:val="20"/>
              </w:rPr>
              <w:t>Diskets</w:t>
            </w:r>
            <w:proofErr w:type="spellEnd"/>
            <w:r w:rsidRPr="00A53861">
              <w:rPr>
                <w:rFonts w:ascii="Arial" w:hAnsi="Arial" w:cs="Arial"/>
                <w:sz w:val="20"/>
                <w:szCs w:val="20"/>
              </w:rPr>
              <w:t xml:space="preserve"> Dispersible</w:t>
            </w:r>
            <w:r w:rsidRPr="00A53861">
              <w:rPr>
                <w:rFonts w:ascii="Arial" w:hAnsi="Arial" w:cs="Arial"/>
                <w:sz w:val="20"/>
                <w:szCs w:val="20"/>
                <w:vertAlign w:val="superscript"/>
              </w:rPr>
              <w:t>®</w:t>
            </w:r>
            <w:r w:rsidRPr="00A53861">
              <w:rPr>
                <w:rFonts w:ascii="Arial" w:hAnsi="Arial" w:cs="Arial"/>
                <w:sz w:val="20"/>
                <w:szCs w:val="20"/>
              </w:rPr>
              <w:t xml:space="preserve">, </w:t>
            </w:r>
            <w:proofErr w:type="spellStart"/>
            <w:r w:rsidRPr="00A53861">
              <w:rPr>
                <w:rFonts w:ascii="Arial" w:hAnsi="Arial" w:cs="Arial"/>
                <w:sz w:val="20"/>
                <w:szCs w:val="20"/>
              </w:rPr>
              <w:t>Dolophine</w:t>
            </w:r>
            <w:proofErr w:type="spellEnd"/>
            <w:r w:rsidRPr="00A53861">
              <w:rPr>
                <w:rFonts w:ascii="Arial" w:hAnsi="Arial" w:cs="Arial"/>
                <w:sz w:val="20"/>
                <w:szCs w:val="20"/>
                <w:vertAlign w:val="superscript"/>
              </w:rPr>
              <w:t>®</w:t>
            </w:r>
            <w:r w:rsidRPr="00A53861">
              <w:rPr>
                <w:rFonts w:ascii="Arial" w:hAnsi="Arial" w:cs="Arial"/>
                <w:sz w:val="20"/>
                <w:szCs w:val="20"/>
              </w:rPr>
              <w:t xml:space="preserve">, </w:t>
            </w:r>
            <w:proofErr w:type="spellStart"/>
            <w:r w:rsidRPr="00A53861">
              <w:rPr>
                <w:rFonts w:ascii="Arial" w:hAnsi="Arial" w:cs="Arial"/>
                <w:sz w:val="20"/>
                <w:szCs w:val="20"/>
              </w:rPr>
              <w:t>Methadose</w:t>
            </w:r>
            <w:proofErr w:type="spellEnd"/>
            <w:r w:rsidRPr="00A53861">
              <w:rPr>
                <w:rFonts w:ascii="Arial" w:hAnsi="Arial" w:cs="Arial"/>
                <w:sz w:val="20"/>
                <w:szCs w:val="20"/>
                <w:vertAlign w:val="superscript"/>
              </w:rPr>
              <w:t>®</w:t>
            </w:r>
            <w:r w:rsidRPr="00A53861">
              <w:rPr>
                <w:rFonts w:ascii="Arial" w:hAnsi="Arial" w:cs="Arial"/>
                <w:sz w:val="20"/>
                <w:szCs w:val="20"/>
              </w:rPr>
              <w:t xml:space="preserve">, Methadone </w:t>
            </w:r>
            <w:proofErr w:type="spellStart"/>
            <w:r w:rsidRPr="00A53861">
              <w:rPr>
                <w:rFonts w:ascii="Arial" w:hAnsi="Arial" w:cs="Arial"/>
                <w:sz w:val="20"/>
                <w:szCs w:val="20"/>
              </w:rPr>
              <w:t>Intensol</w:t>
            </w:r>
            <w:proofErr w:type="spellEnd"/>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Fonts w:ascii="Arial" w:hAnsi="Arial" w:cs="Arial"/>
                <w:sz w:val="20"/>
                <w:szCs w:val="20"/>
              </w:rPr>
              <w:t>-</w:t>
            </w:r>
          </w:p>
        </w:tc>
        <w:tc>
          <w:tcPr>
            <w:tcW w:w="2466" w:type="dxa"/>
          </w:tcPr>
          <w:p w:rsidR="0093521C" w:rsidRPr="00A53861" w:rsidRDefault="0093521C" w:rsidP="0093521C">
            <w:pPr>
              <w:spacing w:after="0" w:line="240" w:lineRule="auto"/>
              <w:jc w:val="center"/>
            </w:pPr>
            <w:r w:rsidRPr="00A53861">
              <w:rPr>
                <w:rStyle w:val="st1"/>
                <w:rFonts w:ascii="MS Gothic" w:eastAsia="MS Gothic" w:hAnsi="MS Gothic" w:cs="MS Gothic" w:hint="eastAsia"/>
                <w:lang w:val="en"/>
              </w:rPr>
              <w:t>✓</w:t>
            </w:r>
          </w:p>
        </w:tc>
      </w:tr>
      <w:tr w:rsidR="0093521C" w:rsidRPr="00A53861" w:rsidTr="0093521C">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Morphine sulfate (</w:t>
            </w:r>
            <w:proofErr w:type="spellStart"/>
            <w:r w:rsidRPr="00A53861">
              <w:rPr>
                <w:rFonts w:ascii="Arial" w:hAnsi="Arial" w:cs="Arial"/>
                <w:sz w:val="20"/>
                <w:szCs w:val="20"/>
              </w:rPr>
              <w:t>Avinza</w:t>
            </w:r>
            <w:proofErr w:type="spellEnd"/>
            <w:r w:rsidRPr="00A53861">
              <w:rPr>
                <w:rFonts w:ascii="Arial" w:hAnsi="Arial" w:cs="Arial"/>
                <w:sz w:val="20"/>
                <w:szCs w:val="20"/>
                <w:vertAlign w:val="superscript"/>
              </w:rPr>
              <w:t>®</w:t>
            </w:r>
            <w:r w:rsidRPr="00A53861">
              <w:rPr>
                <w:rFonts w:ascii="Arial" w:hAnsi="Arial" w:cs="Arial"/>
                <w:sz w:val="20"/>
                <w:szCs w:val="20"/>
              </w:rPr>
              <w:t xml:space="preserve">, </w:t>
            </w:r>
            <w:proofErr w:type="spellStart"/>
            <w:r w:rsidRPr="00A53861">
              <w:rPr>
                <w:rFonts w:ascii="Arial" w:hAnsi="Arial" w:cs="Arial"/>
                <w:sz w:val="20"/>
                <w:szCs w:val="20"/>
              </w:rPr>
              <w:t>Kadian</w:t>
            </w:r>
            <w:proofErr w:type="spellEnd"/>
            <w:r w:rsidRPr="00A53861">
              <w:rPr>
                <w:rFonts w:ascii="Arial" w:hAnsi="Arial" w:cs="Arial"/>
                <w:sz w:val="20"/>
                <w:szCs w:val="20"/>
                <w:vertAlign w:val="superscript"/>
              </w:rPr>
              <w:t>®</w:t>
            </w:r>
            <w:r w:rsidRPr="00A53861">
              <w:rPr>
                <w:rFonts w:ascii="Arial" w:hAnsi="Arial" w:cs="Arial"/>
                <w:sz w:val="20"/>
                <w:szCs w:val="20"/>
              </w:rPr>
              <w:t xml:space="preserve">, MS </w:t>
            </w:r>
            <w:proofErr w:type="spellStart"/>
            <w:r w:rsidRPr="00A53861">
              <w:rPr>
                <w:rFonts w:ascii="Arial" w:hAnsi="Arial" w:cs="Arial"/>
                <w:sz w:val="20"/>
                <w:szCs w:val="20"/>
              </w:rPr>
              <w:t>Contin</w:t>
            </w:r>
            <w:proofErr w:type="spellEnd"/>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Fonts w:ascii="Arial" w:hAnsi="Arial" w:cs="Arial"/>
                <w:sz w:val="20"/>
                <w:szCs w:val="20"/>
              </w:rPr>
              <w:t>-</w:t>
            </w:r>
          </w:p>
        </w:tc>
        <w:tc>
          <w:tcPr>
            <w:tcW w:w="2466" w:type="dxa"/>
          </w:tcPr>
          <w:p w:rsidR="0093521C" w:rsidRPr="00A53861" w:rsidRDefault="0093521C" w:rsidP="0093521C">
            <w:pPr>
              <w:spacing w:after="0" w:line="240" w:lineRule="auto"/>
              <w:jc w:val="center"/>
            </w:pPr>
            <w:r w:rsidRPr="00A53861">
              <w:rPr>
                <w:rStyle w:val="st1"/>
                <w:rFonts w:ascii="MS Gothic" w:eastAsia="MS Gothic" w:hAnsi="MS Gothic" w:cs="MS Gothic" w:hint="eastAsia"/>
                <w:lang w:val="en"/>
              </w:rPr>
              <w:t>✓</w:t>
            </w:r>
          </w:p>
        </w:tc>
      </w:tr>
      <w:tr w:rsidR="0093521C" w:rsidRPr="00A53861" w:rsidTr="0093521C">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Morphine sulfate (</w:t>
            </w:r>
            <w:proofErr w:type="spellStart"/>
            <w:r w:rsidRPr="00A53861">
              <w:rPr>
                <w:rFonts w:ascii="Arial" w:hAnsi="Arial" w:cs="Arial"/>
                <w:sz w:val="20"/>
                <w:szCs w:val="20"/>
              </w:rPr>
              <w:t>MorphaBond</w:t>
            </w:r>
            <w:proofErr w:type="spellEnd"/>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Style w:val="st1"/>
                <w:rFonts w:ascii="MS Gothic" w:eastAsia="MS Gothic" w:hAnsi="MS Gothic" w:cs="MS Gothic" w:hint="eastAsia"/>
                <w:lang w:val="en"/>
              </w:rPr>
              <w:t>✓</w:t>
            </w:r>
          </w:p>
        </w:tc>
        <w:tc>
          <w:tcPr>
            <w:tcW w:w="2466" w:type="dxa"/>
          </w:tcPr>
          <w:p w:rsidR="0093521C" w:rsidRPr="00A53861" w:rsidRDefault="0093521C" w:rsidP="0093521C">
            <w:pPr>
              <w:spacing w:after="0" w:line="240" w:lineRule="auto"/>
              <w:jc w:val="center"/>
              <w:rPr>
                <w:rStyle w:val="st1"/>
                <w:rFonts w:ascii="MS Gothic" w:eastAsia="MS Gothic" w:hAnsi="MS Gothic" w:cs="MS Gothic"/>
                <w:lang w:val="en"/>
              </w:rPr>
            </w:pPr>
            <w:r w:rsidRPr="00A53861">
              <w:rPr>
                <w:rStyle w:val="st1"/>
                <w:rFonts w:ascii="MS Gothic" w:eastAsia="MS Gothic" w:hAnsi="MS Gothic" w:cs="MS Gothic"/>
                <w:lang w:val="en"/>
              </w:rPr>
              <w:t>-</w:t>
            </w:r>
          </w:p>
        </w:tc>
      </w:tr>
      <w:tr w:rsidR="0093521C" w:rsidRPr="00A53861" w:rsidTr="0093521C">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Morphine sulfate/naltrexone (</w:t>
            </w:r>
            <w:proofErr w:type="spellStart"/>
            <w:r w:rsidRPr="00A53861">
              <w:rPr>
                <w:rFonts w:ascii="Arial" w:hAnsi="Arial" w:cs="Arial"/>
                <w:sz w:val="20"/>
                <w:szCs w:val="20"/>
              </w:rPr>
              <w:t>Embeda</w:t>
            </w:r>
            <w:proofErr w:type="spellEnd"/>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Style w:val="st1"/>
                <w:rFonts w:ascii="MS Gothic" w:eastAsia="MS Gothic" w:hAnsi="MS Gothic" w:cs="MS Gothic" w:hint="eastAsia"/>
                <w:lang w:val="en"/>
              </w:rPr>
              <w:t>✓</w:t>
            </w:r>
          </w:p>
        </w:tc>
        <w:tc>
          <w:tcPr>
            <w:tcW w:w="2466" w:type="dxa"/>
          </w:tcPr>
          <w:p w:rsidR="0093521C" w:rsidRPr="00A53861" w:rsidRDefault="0093521C" w:rsidP="0093521C">
            <w:pPr>
              <w:spacing w:after="0" w:line="240" w:lineRule="auto"/>
              <w:jc w:val="center"/>
            </w:pPr>
            <w:r w:rsidRPr="00A53861">
              <w:rPr>
                <w:rStyle w:val="st1"/>
                <w:rFonts w:ascii="MS Gothic" w:eastAsia="MS Gothic" w:hAnsi="MS Gothic" w:cs="MS Gothic" w:hint="eastAsia"/>
                <w:lang w:val="en"/>
              </w:rPr>
              <w:t>✓</w:t>
            </w:r>
          </w:p>
        </w:tc>
      </w:tr>
      <w:tr w:rsidR="0093521C" w:rsidRPr="00A53861" w:rsidTr="0093521C">
        <w:trPr>
          <w:trHeight w:val="70"/>
        </w:trPr>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Oxycodone (OxyContin</w:t>
            </w:r>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Style w:val="st1"/>
                <w:rFonts w:ascii="MS Gothic" w:eastAsia="MS Gothic" w:hAnsi="MS Gothic" w:cs="MS Gothic" w:hint="eastAsia"/>
                <w:lang w:val="en"/>
              </w:rPr>
              <w:t>✓</w:t>
            </w:r>
          </w:p>
        </w:tc>
        <w:tc>
          <w:tcPr>
            <w:tcW w:w="2466" w:type="dxa"/>
          </w:tcPr>
          <w:p w:rsidR="0093521C" w:rsidRPr="00A53861" w:rsidRDefault="0093521C" w:rsidP="0093521C">
            <w:pPr>
              <w:spacing w:after="0" w:line="240" w:lineRule="auto"/>
              <w:jc w:val="center"/>
            </w:pPr>
            <w:r w:rsidRPr="00A53861">
              <w:rPr>
                <w:rStyle w:val="st1"/>
                <w:rFonts w:ascii="MS Gothic" w:eastAsia="MS Gothic" w:hAnsi="MS Gothic" w:cs="MS Gothic" w:hint="eastAsia"/>
                <w:lang w:val="en"/>
              </w:rPr>
              <w:t>✓</w:t>
            </w:r>
          </w:p>
        </w:tc>
      </w:tr>
      <w:tr w:rsidR="0093521C" w:rsidRPr="00A53861" w:rsidTr="0093521C">
        <w:trPr>
          <w:trHeight w:val="70"/>
        </w:trPr>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Oxycodone (</w:t>
            </w:r>
            <w:proofErr w:type="spellStart"/>
            <w:r w:rsidRPr="00A53861">
              <w:rPr>
                <w:rFonts w:ascii="Arial" w:hAnsi="Arial" w:cs="Arial"/>
                <w:sz w:val="20"/>
                <w:szCs w:val="20"/>
              </w:rPr>
              <w:t>Xtampza</w:t>
            </w:r>
            <w:proofErr w:type="spellEnd"/>
            <w:r w:rsidRPr="00A53861">
              <w:rPr>
                <w:rFonts w:ascii="Arial" w:hAnsi="Arial" w:cs="Arial"/>
                <w:sz w:val="20"/>
                <w:szCs w:val="20"/>
              </w:rPr>
              <w:t xml:space="preserve"> ER</w:t>
            </w:r>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Style w:val="st1"/>
                <w:rFonts w:ascii="MS Gothic" w:eastAsia="MS Gothic" w:hAnsi="MS Gothic" w:cs="MS Gothic"/>
                <w:lang w:val="en"/>
              </w:rPr>
            </w:pPr>
            <w:r w:rsidRPr="00A53861">
              <w:rPr>
                <w:rStyle w:val="st1"/>
                <w:rFonts w:ascii="MS Gothic" w:eastAsia="MS Gothic" w:hAnsi="MS Gothic" w:cs="MS Gothic" w:hint="eastAsia"/>
                <w:lang w:val="en"/>
              </w:rPr>
              <w:t>✓</w:t>
            </w:r>
          </w:p>
        </w:tc>
        <w:tc>
          <w:tcPr>
            <w:tcW w:w="2466" w:type="dxa"/>
          </w:tcPr>
          <w:p w:rsidR="0093521C" w:rsidRPr="00A53861" w:rsidRDefault="0093521C" w:rsidP="0093521C">
            <w:pPr>
              <w:spacing w:after="0" w:line="240" w:lineRule="auto"/>
              <w:jc w:val="center"/>
              <w:rPr>
                <w:rStyle w:val="st1"/>
                <w:rFonts w:ascii="MS Gothic" w:eastAsia="MS Gothic" w:hAnsi="MS Gothic" w:cs="MS Gothic"/>
                <w:lang w:val="en"/>
              </w:rPr>
            </w:pPr>
            <w:r w:rsidRPr="00A53861">
              <w:rPr>
                <w:rStyle w:val="st1"/>
                <w:rFonts w:ascii="MS Gothic" w:eastAsia="MS Gothic" w:hAnsi="MS Gothic" w:cs="MS Gothic"/>
                <w:lang w:val="en"/>
              </w:rPr>
              <w:t>-</w:t>
            </w:r>
          </w:p>
        </w:tc>
      </w:tr>
      <w:tr w:rsidR="0093521C" w:rsidRPr="00A53861" w:rsidTr="0093521C">
        <w:tc>
          <w:tcPr>
            <w:tcW w:w="4050" w:type="dxa"/>
          </w:tcPr>
          <w:p w:rsidR="0093521C" w:rsidRPr="00A53861" w:rsidRDefault="0093521C" w:rsidP="0093521C">
            <w:pPr>
              <w:pStyle w:val="NoSpacing"/>
              <w:rPr>
                <w:rFonts w:ascii="Arial" w:hAnsi="Arial" w:cs="Arial"/>
                <w:sz w:val="20"/>
                <w:szCs w:val="20"/>
              </w:rPr>
            </w:pPr>
            <w:r w:rsidRPr="00A53861">
              <w:rPr>
                <w:rFonts w:ascii="Arial" w:hAnsi="Arial" w:cs="Arial"/>
                <w:sz w:val="20"/>
                <w:szCs w:val="20"/>
              </w:rPr>
              <w:t>Oxycodone/naloxone (</w:t>
            </w:r>
            <w:proofErr w:type="spellStart"/>
            <w:r w:rsidRPr="00A53861">
              <w:rPr>
                <w:rFonts w:ascii="Arial" w:hAnsi="Arial" w:cs="Arial"/>
                <w:sz w:val="20"/>
                <w:szCs w:val="20"/>
              </w:rPr>
              <w:t>Targiniq</w:t>
            </w:r>
            <w:proofErr w:type="spellEnd"/>
            <w:r w:rsidRPr="00A53861">
              <w:rPr>
                <w:rFonts w:ascii="Arial" w:hAnsi="Arial" w:cs="Arial"/>
                <w:sz w:val="20"/>
                <w:szCs w:val="20"/>
              </w:rPr>
              <w:t xml:space="preserve"> ER</w:t>
            </w:r>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Style w:val="st1"/>
                <w:rFonts w:ascii="MS Gothic" w:eastAsia="MS Gothic" w:hAnsi="MS Gothic" w:cs="MS Gothic" w:hint="eastAsia"/>
                <w:lang w:val="en"/>
              </w:rPr>
              <w:t>✓</w:t>
            </w:r>
          </w:p>
        </w:tc>
        <w:tc>
          <w:tcPr>
            <w:tcW w:w="2466" w:type="dxa"/>
          </w:tcPr>
          <w:p w:rsidR="0093521C" w:rsidRPr="00A53861" w:rsidRDefault="0093521C" w:rsidP="0093521C">
            <w:pPr>
              <w:spacing w:after="0" w:line="240" w:lineRule="auto"/>
              <w:jc w:val="center"/>
              <w:rPr>
                <w:rStyle w:val="st1"/>
                <w:rFonts w:ascii="MS Gothic" w:eastAsia="MS Gothic" w:hAnsi="MS Gothic" w:cs="MS Gothic"/>
                <w:lang w:val="en"/>
              </w:rPr>
            </w:pPr>
            <w:r w:rsidRPr="00A53861">
              <w:rPr>
                <w:rStyle w:val="st1"/>
                <w:rFonts w:ascii="MS Gothic" w:eastAsia="MS Gothic" w:hAnsi="MS Gothic" w:cs="MS Gothic"/>
                <w:lang w:val="en"/>
              </w:rPr>
              <w:t>-</w:t>
            </w:r>
          </w:p>
        </w:tc>
      </w:tr>
      <w:tr w:rsidR="0093521C" w:rsidRPr="00A53861" w:rsidTr="0093521C">
        <w:tc>
          <w:tcPr>
            <w:tcW w:w="4050" w:type="dxa"/>
          </w:tcPr>
          <w:p w:rsidR="0093521C" w:rsidRPr="00A53861" w:rsidRDefault="0093521C" w:rsidP="0093521C">
            <w:pPr>
              <w:pStyle w:val="NoSpacing"/>
              <w:rPr>
                <w:rFonts w:ascii="Arial" w:hAnsi="Arial" w:cs="Arial"/>
                <w:sz w:val="20"/>
                <w:szCs w:val="20"/>
              </w:rPr>
            </w:pPr>
            <w:proofErr w:type="spellStart"/>
            <w:r w:rsidRPr="00A53861">
              <w:rPr>
                <w:rFonts w:ascii="Arial" w:hAnsi="Arial" w:cs="Arial"/>
                <w:sz w:val="20"/>
                <w:szCs w:val="20"/>
              </w:rPr>
              <w:t>Oxymorphone</w:t>
            </w:r>
            <w:proofErr w:type="spellEnd"/>
            <w:r w:rsidRPr="00A53861">
              <w:rPr>
                <w:rFonts w:ascii="Arial" w:hAnsi="Arial" w:cs="Arial"/>
                <w:sz w:val="20"/>
                <w:szCs w:val="20"/>
              </w:rPr>
              <w:t xml:space="preserve"> (</w:t>
            </w:r>
            <w:proofErr w:type="spellStart"/>
            <w:r w:rsidRPr="00A53861">
              <w:rPr>
                <w:rFonts w:ascii="Arial" w:hAnsi="Arial" w:cs="Arial"/>
                <w:sz w:val="20"/>
                <w:szCs w:val="20"/>
              </w:rPr>
              <w:t>Opana</w:t>
            </w:r>
            <w:proofErr w:type="spellEnd"/>
            <w:r w:rsidRPr="00A53861">
              <w:rPr>
                <w:rFonts w:ascii="Arial" w:hAnsi="Arial" w:cs="Arial"/>
                <w:sz w:val="20"/>
                <w:szCs w:val="20"/>
                <w:vertAlign w:val="superscript"/>
              </w:rPr>
              <w:t>®</w:t>
            </w:r>
            <w:r w:rsidRPr="00A53861">
              <w:rPr>
                <w:rFonts w:ascii="Arial" w:hAnsi="Arial" w:cs="Arial"/>
                <w:sz w:val="20"/>
                <w:szCs w:val="20"/>
              </w:rPr>
              <w:t xml:space="preserve"> ER)</w:t>
            </w:r>
          </w:p>
        </w:tc>
        <w:tc>
          <w:tcPr>
            <w:tcW w:w="3060" w:type="dxa"/>
          </w:tcPr>
          <w:p w:rsidR="0093521C" w:rsidRPr="00A53861" w:rsidRDefault="0093521C" w:rsidP="0093521C">
            <w:pPr>
              <w:pStyle w:val="NoSpacing"/>
              <w:jc w:val="center"/>
              <w:rPr>
                <w:rFonts w:ascii="Arial" w:hAnsi="Arial" w:cs="Arial"/>
                <w:sz w:val="20"/>
                <w:szCs w:val="20"/>
              </w:rPr>
            </w:pPr>
            <w:r w:rsidRPr="00A53861">
              <w:rPr>
                <w:rFonts w:ascii="Arial" w:hAnsi="Arial" w:cs="Arial"/>
                <w:sz w:val="20"/>
                <w:szCs w:val="20"/>
              </w:rPr>
              <w:t>-</w:t>
            </w:r>
          </w:p>
        </w:tc>
        <w:tc>
          <w:tcPr>
            <w:tcW w:w="2466" w:type="dxa"/>
          </w:tcPr>
          <w:p w:rsidR="0093521C" w:rsidRPr="00A53861" w:rsidRDefault="0093521C" w:rsidP="0093521C">
            <w:pPr>
              <w:spacing w:after="0" w:line="240" w:lineRule="auto"/>
              <w:jc w:val="center"/>
            </w:pPr>
            <w:r w:rsidRPr="00A53861">
              <w:rPr>
                <w:rStyle w:val="st1"/>
                <w:rFonts w:ascii="MS Gothic" w:eastAsia="MS Gothic" w:hAnsi="MS Gothic" w:cs="MS Gothic" w:hint="eastAsia"/>
                <w:lang w:val="en"/>
              </w:rPr>
              <w:t>✓</w:t>
            </w:r>
          </w:p>
        </w:tc>
      </w:tr>
      <w:tr w:rsidR="0093521C" w:rsidRPr="00A53861" w:rsidTr="0093521C">
        <w:trPr>
          <w:trHeight w:val="70"/>
        </w:trPr>
        <w:tc>
          <w:tcPr>
            <w:tcW w:w="4050" w:type="dxa"/>
          </w:tcPr>
          <w:p w:rsidR="0093521C" w:rsidRPr="00A53861" w:rsidRDefault="0093521C" w:rsidP="0093521C">
            <w:pPr>
              <w:pStyle w:val="NoSpacing"/>
              <w:rPr>
                <w:rFonts w:ascii="Arial" w:hAnsi="Arial" w:cs="Arial"/>
                <w:sz w:val="20"/>
                <w:szCs w:val="20"/>
              </w:rPr>
            </w:pPr>
            <w:proofErr w:type="spellStart"/>
            <w:r w:rsidRPr="00A53861">
              <w:rPr>
                <w:rFonts w:ascii="Arial" w:hAnsi="Arial" w:cs="Arial"/>
                <w:sz w:val="20"/>
                <w:szCs w:val="20"/>
              </w:rPr>
              <w:t>Tapentadol</w:t>
            </w:r>
            <w:proofErr w:type="spellEnd"/>
            <w:r w:rsidRPr="00A53861">
              <w:rPr>
                <w:rFonts w:ascii="Arial" w:hAnsi="Arial" w:cs="Arial"/>
                <w:sz w:val="20"/>
                <w:szCs w:val="20"/>
              </w:rPr>
              <w:t xml:space="preserve"> (</w:t>
            </w:r>
            <w:proofErr w:type="spellStart"/>
            <w:r w:rsidRPr="00A53861">
              <w:rPr>
                <w:rFonts w:ascii="Arial" w:hAnsi="Arial" w:cs="Arial"/>
                <w:sz w:val="20"/>
                <w:szCs w:val="20"/>
              </w:rPr>
              <w:t>Nucynta</w:t>
            </w:r>
            <w:proofErr w:type="spellEnd"/>
            <w:r w:rsidRPr="00A53861">
              <w:rPr>
                <w:rFonts w:ascii="Arial" w:hAnsi="Arial" w:cs="Arial"/>
                <w:sz w:val="20"/>
                <w:szCs w:val="20"/>
              </w:rPr>
              <w:t xml:space="preserve"> ER</w:t>
            </w:r>
            <w:r w:rsidRPr="00A53861">
              <w:rPr>
                <w:rFonts w:ascii="Arial" w:hAnsi="Arial" w:cs="Arial"/>
                <w:sz w:val="20"/>
                <w:szCs w:val="20"/>
                <w:vertAlign w:val="superscript"/>
              </w:rPr>
              <w:t>®</w:t>
            </w:r>
            <w:r w:rsidRPr="00A53861">
              <w:rPr>
                <w:rFonts w:ascii="Arial" w:hAnsi="Arial" w:cs="Arial"/>
                <w:sz w:val="20"/>
                <w:szCs w:val="20"/>
              </w:rPr>
              <w:t>)</w:t>
            </w:r>
          </w:p>
        </w:tc>
        <w:tc>
          <w:tcPr>
            <w:tcW w:w="3060" w:type="dxa"/>
          </w:tcPr>
          <w:p w:rsidR="0093521C" w:rsidRPr="00A53861" w:rsidRDefault="0093521C" w:rsidP="0093521C">
            <w:pPr>
              <w:pStyle w:val="NoSpacing"/>
              <w:jc w:val="center"/>
              <w:rPr>
                <w:rFonts w:ascii="Arial" w:hAnsi="Arial" w:cs="Arial"/>
                <w:sz w:val="20"/>
                <w:szCs w:val="20"/>
              </w:rPr>
            </w:pPr>
            <w:r w:rsidRPr="00A53861">
              <w:rPr>
                <w:rFonts w:ascii="Arial" w:hAnsi="Arial" w:cs="Arial"/>
                <w:sz w:val="20"/>
                <w:szCs w:val="20"/>
              </w:rPr>
              <w:t>-</w:t>
            </w:r>
          </w:p>
        </w:tc>
        <w:tc>
          <w:tcPr>
            <w:tcW w:w="2466" w:type="dxa"/>
          </w:tcPr>
          <w:p w:rsidR="0093521C" w:rsidRPr="00A53861" w:rsidRDefault="0093521C" w:rsidP="0093521C">
            <w:pPr>
              <w:spacing w:after="0" w:line="240" w:lineRule="auto"/>
              <w:jc w:val="center"/>
            </w:pPr>
            <w:r w:rsidRPr="00A53861">
              <w:rPr>
                <w:rStyle w:val="st1"/>
                <w:rFonts w:ascii="MS Gothic" w:eastAsia="MS Gothic" w:hAnsi="MS Gothic" w:cs="MS Gothic" w:hint="eastAsia"/>
                <w:lang w:val="en"/>
              </w:rPr>
              <w:t>✓</w:t>
            </w:r>
          </w:p>
        </w:tc>
      </w:tr>
    </w:tbl>
    <w:p w:rsidR="00E212A9" w:rsidRPr="00A53861" w:rsidRDefault="004F44E7" w:rsidP="004F44E7">
      <w:pPr>
        <w:spacing w:after="0" w:line="240" w:lineRule="auto"/>
        <w:rPr>
          <w:rFonts w:ascii="Arial" w:hAnsi="Arial" w:cs="Arial"/>
          <w:sz w:val="16"/>
          <w:szCs w:val="16"/>
        </w:rPr>
      </w:pPr>
      <w:r w:rsidRPr="00A53861">
        <w:rPr>
          <w:rFonts w:ascii="Arial" w:hAnsi="Arial" w:cs="Arial"/>
          <w:sz w:val="16"/>
          <w:szCs w:val="16"/>
        </w:rPr>
        <w:t>*</w:t>
      </w:r>
      <w:proofErr w:type="spellStart"/>
      <w:r w:rsidRPr="00A53861">
        <w:rPr>
          <w:rFonts w:ascii="Arial" w:hAnsi="Arial" w:cs="Arial"/>
          <w:sz w:val="16"/>
          <w:szCs w:val="16"/>
        </w:rPr>
        <w:t>Xtampza</w:t>
      </w:r>
      <w:proofErr w:type="spellEnd"/>
      <w:r w:rsidRPr="00A53861">
        <w:rPr>
          <w:rFonts w:ascii="Arial" w:hAnsi="Arial" w:cs="Arial"/>
          <w:sz w:val="16"/>
          <w:szCs w:val="16"/>
        </w:rPr>
        <w:t xml:space="preserve"> ER approval is tentative, pending patent litigation</w:t>
      </w:r>
    </w:p>
    <w:p w:rsidR="004F44E7" w:rsidRPr="00083D63" w:rsidRDefault="004F44E7" w:rsidP="00E212A9">
      <w:pPr>
        <w:pStyle w:val="NoSpacing"/>
        <w:rPr>
          <w:rFonts w:ascii="Arial" w:hAnsi="Arial" w:cs="Arial"/>
          <w:b/>
          <w:sz w:val="20"/>
          <w:szCs w:val="20"/>
          <w:highlight w:val="yellow"/>
        </w:rPr>
      </w:pPr>
    </w:p>
    <w:p w:rsidR="00201C3C" w:rsidRPr="00F75053" w:rsidRDefault="00A0691A" w:rsidP="00201C3C">
      <w:pPr>
        <w:pStyle w:val="NoSpacing"/>
        <w:rPr>
          <w:rFonts w:ascii="Arial" w:hAnsi="Arial" w:cs="Arial"/>
          <w:b/>
          <w:sz w:val="20"/>
          <w:szCs w:val="20"/>
          <w:u w:val="single"/>
        </w:rPr>
      </w:pPr>
      <w:r w:rsidRPr="00F75053">
        <w:rPr>
          <w:rFonts w:ascii="Arial" w:hAnsi="Arial" w:cs="Arial"/>
          <w:b/>
          <w:sz w:val="20"/>
          <w:szCs w:val="20"/>
          <w:u w:val="single"/>
        </w:rPr>
        <w:t>Therapeutic Indications/Efficacy</w:t>
      </w:r>
    </w:p>
    <w:p w:rsidR="00D75C76" w:rsidRDefault="00F75053" w:rsidP="00D75C76">
      <w:pPr>
        <w:pStyle w:val="NoSpacing"/>
        <w:rPr>
          <w:rFonts w:ascii="Arial" w:hAnsi="Arial" w:cs="Arial"/>
          <w:sz w:val="20"/>
          <w:szCs w:val="20"/>
        </w:rPr>
      </w:pPr>
      <w:proofErr w:type="spellStart"/>
      <w:r w:rsidRPr="00F75053">
        <w:rPr>
          <w:rFonts w:ascii="Arial" w:hAnsi="Arial" w:cs="Arial"/>
          <w:sz w:val="20"/>
          <w:szCs w:val="20"/>
        </w:rPr>
        <w:t>Zohydro</w:t>
      </w:r>
      <w:proofErr w:type="spellEnd"/>
      <w:r w:rsidR="00793E3B" w:rsidRPr="00F75053">
        <w:rPr>
          <w:rFonts w:ascii="Arial" w:hAnsi="Arial" w:cs="Arial"/>
          <w:sz w:val="20"/>
          <w:szCs w:val="20"/>
        </w:rPr>
        <w:t xml:space="preserve"> ER</w:t>
      </w:r>
      <w:r w:rsidR="00793E3B" w:rsidRPr="00F75053">
        <w:rPr>
          <w:rFonts w:ascii="Arial" w:hAnsi="Arial" w:cs="Arial"/>
          <w:sz w:val="20"/>
          <w:szCs w:val="20"/>
          <w:vertAlign w:val="superscript"/>
        </w:rPr>
        <w:t xml:space="preserve">® </w:t>
      </w:r>
      <w:r w:rsidR="00793E3B" w:rsidRPr="00F75053">
        <w:rPr>
          <w:rFonts w:ascii="Arial" w:hAnsi="Arial" w:cs="Arial"/>
          <w:sz w:val="20"/>
          <w:szCs w:val="20"/>
        </w:rPr>
        <w:t>(hydrocodone extended-release) is an extended-release formulation of hydrocodone that is approved by the Food and Drug Administration (FDA) to treat pain severe enough to require around-the-clock, long-term opioid treatment and for which alternative treatment options are inadequate.</w:t>
      </w:r>
      <w:r w:rsidR="00793E3B" w:rsidRPr="00F75053">
        <w:rPr>
          <w:rFonts w:ascii="Arial" w:hAnsi="Arial" w:cs="Arial"/>
          <w:sz w:val="20"/>
          <w:szCs w:val="20"/>
          <w:vertAlign w:val="superscript"/>
        </w:rPr>
        <w:t xml:space="preserve">1 </w:t>
      </w:r>
      <w:r w:rsidR="00201C3C" w:rsidRPr="00F75053">
        <w:rPr>
          <w:rFonts w:ascii="Arial" w:hAnsi="Arial" w:cs="Arial"/>
          <w:sz w:val="20"/>
          <w:szCs w:val="20"/>
        </w:rPr>
        <w:t xml:space="preserve">FDA approval of </w:t>
      </w:r>
      <w:proofErr w:type="spellStart"/>
      <w:r w:rsidRPr="00F75053">
        <w:rPr>
          <w:rFonts w:ascii="Arial" w:hAnsi="Arial" w:cs="Arial"/>
          <w:sz w:val="20"/>
          <w:szCs w:val="20"/>
        </w:rPr>
        <w:t>Zohydro</w:t>
      </w:r>
      <w:proofErr w:type="spellEnd"/>
      <w:r w:rsidR="00201C3C" w:rsidRPr="00F75053">
        <w:rPr>
          <w:rFonts w:ascii="Arial" w:hAnsi="Arial" w:cs="Arial"/>
          <w:sz w:val="20"/>
          <w:szCs w:val="20"/>
        </w:rPr>
        <w:t xml:space="preserve"> ER</w:t>
      </w:r>
      <w:r w:rsidR="00201C3C" w:rsidRPr="00F75053">
        <w:rPr>
          <w:rFonts w:ascii="Arial" w:hAnsi="Arial" w:cs="Arial"/>
          <w:sz w:val="20"/>
          <w:szCs w:val="20"/>
          <w:vertAlign w:val="superscript"/>
        </w:rPr>
        <w:t>®</w:t>
      </w:r>
      <w:r w:rsidR="00201C3C" w:rsidRPr="00F75053">
        <w:rPr>
          <w:rFonts w:ascii="Arial" w:hAnsi="Arial" w:cs="Arial"/>
          <w:sz w:val="20"/>
          <w:szCs w:val="20"/>
        </w:rPr>
        <w:t xml:space="preserve"> (hydrocodone extended-release) was based upo</w:t>
      </w:r>
      <w:r w:rsidR="00A06FCE">
        <w:rPr>
          <w:rFonts w:ascii="Arial" w:hAnsi="Arial" w:cs="Arial"/>
          <w:sz w:val="20"/>
          <w:szCs w:val="20"/>
        </w:rPr>
        <w:t xml:space="preserve">n the results of </w:t>
      </w:r>
      <w:r w:rsidR="00A06FCE" w:rsidRPr="00A61962">
        <w:rPr>
          <w:rFonts w:ascii="Arial" w:hAnsi="Arial" w:cs="Arial"/>
          <w:sz w:val="20"/>
          <w:szCs w:val="20"/>
        </w:rPr>
        <w:t>two</w:t>
      </w:r>
      <w:r w:rsidR="00CF4829" w:rsidRPr="00A61962">
        <w:rPr>
          <w:rFonts w:ascii="Arial" w:hAnsi="Arial" w:cs="Arial"/>
          <w:sz w:val="20"/>
          <w:szCs w:val="20"/>
        </w:rPr>
        <w:t xml:space="preserve"> </w:t>
      </w:r>
      <w:r w:rsidR="006B2C1B" w:rsidRPr="00A61962">
        <w:rPr>
          <w:rFonts w:ascii="Arial" w:hAnsi="Arial" w:cs="Arial"/>
          <w:sz w:val="20"/>
          <w:szCs w:val="20"/>
        </w:rPr>
        <w:t>p</w:t>
      </w:r>
      <w:r w:rsidR="00CF4829" w:rsidRPr="00A61962">
        <w:rPr>
          <w:rFonts w:ascii="Arial" w:hAnsi="Arial" w:cs="Arial"/>
          <w:sz w:val="20"/>
          <w:szCs w:val="20"/>
        </w:rPr>
        <w:t>hase III</w:t>
      </w:r>
      <w:r w:rsidR="00201C3C" w:rsidRPr="00A61962">
        <w:rPr>
          <w:rFonts w:ascii="Arial" w:hAnsi="Arial" w:cs="Arial"/>
          <w:sz w:val="20"/>
          <w:szCs w:val="20"/>
        </w:rPr>
        <w:t xml:space="preserve"> </w:t>
      </w:r>
      <w:r w:rsidR="00201C3C" w:rsidRPr="000415D6">
        <w:rPr>
          <w:rFonts w:ascii="Arial" w:hAnsi="Arial" w:cs="Arial"/>
          <w:sz w:val="20"/>
          <w:szCs w:val="20"/>
        </w:rPr>
        <w:t xml:space="preserve">double-blind, </w:t>
      </w:r>
      <w:r w:rsidR="000B3401" w:rsidRPr="000415D6">
        <w:rPr>
          <w:rFonts w:ascii="Arial" w:hAnsi="Arial" w:cs="Arial"/>
          <w:sz w:val="20"/>
          <w:szCs w:val="20"/>
        </w:rPr>
        <w:t xml:space="preserve">multicenter, </w:t>
      </w:r>
      <w:r w:rsidR="003F30E9" w:rsidRPr="000415D6">
        <w:rPr>
          <w:rFonts w:ascii="Arial" w:hAnsi="Arial" w:cs="Arial"/>
          <w:sz w:val="20"/>
          <w:szCs w:val="20"/>
        </w:rPr>
        <w:t xml:space="preserve">randomized, </w:t>
      </w:r>
      <w:r w:rsidR="00201C3C" w:rsidRPr="000415D6">
        <w:rPr>
          <w:rFonts w:ascii="Arial" w:hAnsi="Arial" w:cs="Arial"/>
          <w:sz w:val="20"/>
          <w:szCs w:val="20"/>
        </w:rPr>
        <w:t>placebo controlled</w:t>
      </w:r>
      <w:r w:rsidR="003F30E9" w:rsidRPr="000415D6">
        <w:rPr>
          <w:rFonts w:ascii="Arial" w:hAnsi="Arial" w:cs="Arial"/>
          <w:sz w:val="20"/>
          <w:szCs w:val="20"/>
        </w:rPr>
        <w:t xml:space="preserve"> </w:t>
      </w:r>
      <w:r w:rsidR="00201C3C" w:rsidRPr="000415D6">
        <w:rPr>
          <w:rFonts w:ascii="Arial" w:hAnsi="Arial" w:cs="Arial"/>
          <w:sz w:val="20"/>
          <w:szCs w:val="20"/>
        </w:rPr>
        <w:t>trial in patients with moderate t</w:t>
      </w:r>
      <w:r w:rsidR="00D75C76">
        <w:rPr>
          <w:rFonts w:ascii="Arial" w:hAnsi="Arial" w:cs="Arial"/>
          <w:sz w:val="20"/>
          <w:szCs w:val="20"/>
        </w:rPr>
        <w:t>o severe chronic low back pain.</w:t>
      </w:r>
    </w:p>
    <w:p w:rsidR="00D75C76" w:rsidRDefault="00D75C76" w:rsidP="00D75C76">
      <w:pPr>
        <w:pStyle w:val="NoSpacing"/>
        <w:rPr>
          <w:rFonts w:ascii="Arial" w:hAnsi="Arial" w:cs="Arial"/>
          <w:sz w:val="20"/>
          <w:szCs w:val="20"/>
        </w:rPr>
      </w:pPr>
    </w:p>
    <w:p w:rsidR="00D07025" w:rsidRPr="00D07025" w:rsidRDefault="00AB505A" w:rsidP="00D75C76">
      <w:pPr>
        <w:pStyle w:val="NoSpacing"/>
        <w:rPr>
          <w:rFonts w:ascii="Arial" w:hAnsi="Arial" w:cs="Arial"/>
          <w:sz w:val="20"/>
          <w:szCs w:val="20"/>
        </w:rPr>
      </w:pPr>
      <w:r>
        <w:rPr>
          <w:rFonts w:ascii="Arial" w:hAnsi="Arial" w:cs="Arial"/>
          <w:sz w:val="20"/>
          <w:szCs w:val="20"/>
        </w:rPr>
        <w:t xml:space="preserve">The first trial, also referred to as ZX002-0801, </w:t>
      </w:r>
      <w:r w:rsidR="00D07025" w:rsidRPr="00D07025">
        <w:rPr>
          <w:rFonts w:ascii="Arial" w:hAnsi="Arial" w:cs="Arial"/>
          <w:sz w:val="20"/>
          <w:szCs w:val="20"/>
        </w:rPr>
        <w:t xml:space="preserve">evaluated the safety and efficacy of </w:t>
      </w:r>
      <w:proofErr w:type="spellStart"/>
      <w:r w:rsidR="00C61693" w:rsidRPr="00F75053">
        <w:rPr>
          <w:rFonts w:ascii="Arial" w:hAnsi="Arial" w:cs="Arial"/>
          <w:sz w:val="20"/>
          <w:szCs w:val="20"/>
        </w:rPr>
        <w:t>Zohydro</w:t>
      </w:r>
      <w:proofErr w:type="spellEnd"/>
      <w:r w:rsidR="00C61693" w:rsidRPr="00F75053">
        <w:rPr>
          <w:rFonts w:ascii="Arial" w:hAnsi="Arial" w:cs="Arial"/>
          <w:sz w:val="20"/>
          <w:szCs w:val="20"/>
        </w:rPr>
        <w:t xml:space="preserve"> ER</w:t>
      </w:r>
      <w:r w:rsidR="00C61693" w:rsidRPr="00F75053">
        <w:rPr>
          <w:rFonts w:ascii="Arial" w:hAnsi="Arial" w:cs="Arial"/>
          <w:sz w:val="20"/>
          <w:szCs w:val="20"/>
          <w:vertAlign w:val="superscript"/>
        </w:rPr>
        <w:t xml:space="preserve">® </w:t>
      </w:r>
      <w:r w:rsidR="00C61693">
        <w:rPr>
          <w:rFonts w:ascii="Arial" w:hAnsi="Arial" w:cs="Arial"/>
          <w:sz w:val="20"/>
          <w:szCs w:val="20"/>
        </w:rPr>
        <w:t>(</w:t>
      </w:r>
      <w:r w:rsidR="00D07025" w:rsidRPr="00D07025">
        <w:rPr>
          <w:rFonts w:ascii="Arial" w:hAnsi="Arial" w:cs="Arial"/>
          <w:sz w:val="20"/>
          <w:szCs w:val="20"/>
        </w:rPr>
        <w:t>hydrocodone extended-release</w:t>
      </w:r>
      <w:r w:rsidR="00C61693">
        <w:rPr>
          <w:rFonts w:ascii="Arial" w:hAnsi="Arial" w:cs="Arial"/>
          <w:sz w:val="20"/>
          <w:szCs w:val="20"/>
        </w:rPr>
        <w:t>)</w:t>
      </w:r>
      <w:r w:rsidR="00D07025" w:rsidRPr="00D07025">
        <w:rPr>
          <w:rFonts w:ascii="Arial" w:hAnsi="Arial" w:cs="Arial"/>
          <w:sz w:val="20"/>
          <w:szCs w:val="20"/>
        </w:rPr>
        <w:t xml:space="preserve"> in opioid-experienced adults with moderate to severe chronic low back pain in a 12 week double-blind, multicenter, randomized, placebo-controlled trial. The study randomized 302 subjects in a 1:1 fashion to receive either </w:t>
      </w:r>
      <w:proofErr w:type="spellStart"/>
      <w:r w:rsidR="00C61693" w:rsidRPr="00F75053">
        <w:rPr>
          <w:rFonts w:ascii="Arial" w:hAnsi="Arial" w:cs="Arial"/>
          <w:sz w:val="20"/>
          <w:szCs w:val="20"/>
        </w:rPr>
        <w:t>Zohydro</w:t>
      </w:r>
      <w:proofErr w:type="spellEnd"/>
      <w:r w:rsidR="00C61693" w:rsidRPr="00F75053">
        <w:rPr>
          <w:rFonts w:ascii="Arial" w:hAnsi="Arial" w:cs="Arial"/>
          <w:sz w:val="20"/>
          <w:szCs w:val="20"/>
        </w:rPr>
        <w:t xml:space="preserve"> ER</w:t>
      </w:r>
      <w:r w:rsidR="00C61693" w:rsidRPr="00F75053">
        <w:rPr>
          <w:rFonts w:ascii="Arial" w:hAnsi="Arial" w:cs="Arial"/>
          <w:sz w:val="20"/>
          <w:szCs w:val="20"/>
          <w:vertAlign w:val="superscript"/>
        </w:rPr>
        <w:t xml:space="preserve">® </w:t>
      </w:r>
      <w:r w:rsidR="00C61693">
        <w:rPr>
          <w:rFonts w:ascii="Arial" w:hAnsi="Arial" w:cs="Arial"/>
          <w:sz w:val="20"/>
          <w:szCs w:val="20"/>
        </w:rPr>
        <w:t>(</w:t>
      </w:r>
      <w:r w:rsidR="00D07025" w:rsidRPr="00D07025">
        <w:rPr>
          <w:rFonts w:ascii="Arial" w:hAnsi="Arial" w:cs="Arial"/>
          <w:sz w:val="20"/>
          <w:szCs w:val="20"/>
        </w:rPr>
        <w:t>hydrocodone extended-release</w:t>
      </w:r>
      <w:r w:rsidR="00C61693">
        <w:rPr>
          <w:rFonts w:ascii="Arial" w:hAnsi="Arial" w:cs="Arial"/>
          <w:sz w:val="20"/>
          <w:szCs w:val="20"/>
        </w:rPr>
        <w:t>)</w:t>
      </w:r>
      <w:r w:rsidR="00D07025" w:rsidRPr="00D07025">
        <w:rPr>
          <w:rFonts w:ascii="Arial" w:hAnsi="Arial" w:cs="Arial"/>
          <w:sz w:val="20"/>
          <w:szCs w:val="20"/>
        </w:rPr>
        <w:t xml:space="preserve"> or placebo after a conversion/titration phase of up to six weeks in length to establish each subject’s appropriate dose of </w:t>
      </w:r>
      <w:proofErr w:type="spellStart"/>
      <w:r w:rsidR="00C61693" w:rsidRPr="00F75053">
        <w:rPr>
          <w:rFonts w:ascii="Arial" w:hAnsi="Arial" w:cs="Arial"/>
          <w:sz w:val="20"/>
          <w:szCs w:val="20"/>
        </w:rPr>
        <w:t>Zohydro</w:t>
      </w:r>
      <w:proofErr w:type="spellEnd"/>
      <w:r w:rsidR="00C61693" w:rsidRPr="00F75053">
        <w:rPr>
          <w:rFonts w:ascii="Arial" w:hAnsi="Arial" w:cs="Arial"/>
          <w:sz w:val="20"/>
          <w:szCs w:val="20"/>
        </w:rPr>
        <w:t xml:space="preserve"> ER</w:t>
      </w:r>
      <w:r w:rsidR="00C61693" w:rsidRPr="00F75053">
        <w:rPr>
          <w:rFonts w:ascii="Arial" w:hAnsi="Arial" w:cs="Arial"/>
          <w:sz w:val="20"/>
          <w:szCs w:val="20"/>
          <w:vertAlign w:val="superscript"/>
        </w:rPr>
        <w:t xml:space="preserve">® </w:t>
      </w:r>
      <w:r w:rsidR="00C61693">
        <w:rPr>
          <w:rFonts w:ascii="Arial" w:hAnsi="Arial" w:cs="Arial"/>
          <w:sz w:val="20"/>
          <w:szCs w:val="20"/>
        </w:rPr>
        <w:t>(</w:t>
      </w:r>
      <w:r w:rsidR="00D07025" w:rsidRPr="00D07025">
        <w:rPr>
          <w:rFonts w:ascii="Arial" w:hAnsi="Arial" w:cs="Arial"/>
          <w:sz w:val="20"/>
          <w:szCs w:val="20"/>
        </w:rPr>
        <w:t>hydrocodone extended-release</w:t>
      </w:r>
      <w:r w:rsidR="00C61693">
        <w:rPr>
          <w:rFonts w:ascii="Arial" w:hAnsi="Arial" w:cs="Arial"/>
          <w:sz w:val="20"/>
          <w:szCs w:val="20"/>
        </w:rPr>
        <w:t>)</w:t>
      </w:r>
      <w:r w:rsidR="00D07025" w:rsidRPr="00D07025">
        <w:rPr>
          <w:rFonts w:ascii="Arial" w:hAnsi="Arial" w:cs="Arial"/>
          <w:sz w:val="20"/>
          <w:szCs w:val="20"/>
        </w:rPr>
        <w:t xml:space="preserve">. </w:t>
      </w:r>
      <w:r w:rsidR="00D75C76" w:rsidRPr="00D60964">
        <w:rPr>
          <w:rFonts w:ascii="Arial" w:hAnsi="Arial" w:cs="Arial"/>
          <w:sz w:val="20"/>
          <w:szCs w:val="20"/>
        </w:rPr>
        <w:t xml:space="preserve">Use of rescue medication was allowed during the study in the form of up to two doses (two tablets) of hydrocodone/acetaminophen 5 mg/500 mg per day. </w:t>
      </w:r>
      <w:r w:rsidR="00D07025" w:rsidRPr="00D07025">
        <w:rPr>
          <w:rFonts w:ascii="Arial" w:hAnsi="Arial" w:cs="Arial"/>
          <w:sz w:val="20"/>
          <w:szCs w:val="20"/>
        </w:rPr>
        <w:t>The primary endpoint evaluated was the change in mean pain intensity (PI) score from baseline to end of treatment, which was based on the 11-point numerical rating scale (NRS) that was recorded daily in an electronic diary. The NRS scores ranged from zero to ten, with zero equal to “no pain” and ten equal to the “worst pain imaginable.” The secondary endpoints measured were “treatment responders,” defined by the percentage of subjects with at least a 30% average improvement in pai</w:t>
      </w:r>
      <w:r w:rsidR="00CD04D7">
        <w:rPr>
          <w:rFonts w:ascii="Arial" w:hAnsi="Arial" w:cs="Arial"/>
          <w:sz w:val="20"/>
          <w:szCs w:val="20"/>
        </w:rPr>
        <w:t>n intensity scores from screening</w:t>
      </w:r>
      <w:r w:rsidR="00D07025" w:rsidRPr="00D07025">
        <w:rPr>
          <w:rFonts w:ascii="Arial" w:hAnsi="Arial" w:cs="Arial"/>
          <w:sz w:val="20"/>
          <w:szCs w:val="20"/>
        </w:rPr>
        <w:t xml:space="preserve"> to end of treatment and subject satisfaction with their pain medication, measured by the mean </w:t>
      </w:r>
      <w:r w:rsidR="00D07025" w:rsidRPr="00D07025">
        <w:rPr>
          <w:rFonts w:ascii="Arial" w:hAnsi="Arial" w:cs="Arial"/>
          <w:sz w:val="20"/>
          <w:szCs w:val="20"/>
        </w:rPr>
        <w:lastRenderedPageBreak/>
        <w:t xml:space="preserve">increase in Subject Global Assessment of Medication (SGAM) scores from baseline to end of treatment. The SGAM is conducted by asking subjects, “How satisfied are you with your pain medicine?” The answers accepted are “not at all,” “a little bit,” “moderately,” “very much” and “completely”. The answers are given a score of 1 to 5, respectively, and a higher SGAM indicated greater satisfaction with subjects’ treatments. Mean change from baseline to end of treatment in PI score ± standard deviation (SD) was significantly lower for </w:t>
      </w:r>
      <w:proofErr w:type="spellStart"/>
      <w:r w:rsidR="00C61693" w:rsidRPr="00F75053">
        <w:rPr>
          <w:rFonts w:ascii="Arial" w:hAnsi="Arial" w:cs="Arial"/>
          <w:sz w:val="20"/>
          <w:szCs w:val="20"/>
        </w:rPr>
        <w:t>Zohydro</w:t>
      </w:r>
      <w:proofErr w:type="spellEnd"/>
      <w:r w:rsidR="00C61693" w:rsidRPr="00F75053">
        <w:rPr>
          <w:rFonts w:ascii="Arial" w:hAnsi="Arial" w:cs="Arial"/>
          <w:sz w:val="20"/>
          <w:szCs w:val="20"/>
        </w:rPr>
        <w:t xml:space="preserve"> ER</w:t>
      </w:r>
      <w:r w:rsidR="00C61693" w:rsidRPr="00F75053">
        <w:rPr>
          <w:rFonts w:ascii="Arial" w:hAnsi="Arial" w:cs="Arial"/>
          <w:sz w:val="20"/>
          <w:szCs w:val="20"/>
          <w:vertAlign w:val="superscript"/>
        </w:rPr>
        <w:t xml:space="preserve">® </w:t>
      </w:r>
      <w:r w:rsidR="00C61693">
        <w:rPr>
          <w:rFonts w:ascii="Arial" w:hAnsi="Arial" w:cs="Arial"/>
          <w:sz w:val="20"/>
          <w:szCs w:val="20"/>
        </w:rPr>
        <w:t>(</w:t>
      </w:r>
      <w:r w:rsidR="00D07025" w:rsidRPr="00D07025">
        <w:rPr>
          <w:rFonts w:ascii="Arial" w:hAnsi="Arial" w:cs="Arial"/>
          <w:sz w:val="20"/>
          <w:szCs w:val="20"/>
        </w:rPr>
        <w:t>hydrocodone extended-release</w:t>
      </w:r>
      <w:r w:rsidR="00C61693">
        <w:rPr>
          <w:rFonts w:ascii="Arial" w:hAnsi="Arial" w:cs="Arial"/>
          <w:sz w:val="20"/>
          <w:szCs w:val="20"/>
        </w:rPr>
        <w:t>)</w:t>
      </w:r>
      <w:r w:rsidR="00D07025" w:rsidRPr="00D07025">
        <w:rPr>
          <w:rFonts w:ascii="Arial" w:hAnsi="Arial" w:cs="Arial"/>
          <w:sz w:val="20"/>
          <w:szCs w:val="20"/>
        </w:rPr>
        <w:t xml:space="preserve"> versus placebo (0.48 ± 1.56 versus 0.96 ± 1.55, respectively; P=0.008). There was a significantly higher amount of treatment responders in the </w:t>
      </w:r>
      <w:proofErr w:type="spellStart"/>
      <w:r w:rsidR="00C61693" w:rsidRPr="00F75053">
        <w:rPr>
          <w:rFonts w:ascii="Arial" w:hAnsi="Arial" w:cs="Arial"/>
          <w:sz w:val="20"/>
          <w:szCs w:val="20"/>
        </w:rPr>
        <w:t>Zohydro</w:t>
      </w:r>
      <w:proofErr w:type="spellEnd"/>
      <w:r w:rsidR="00C61693" w:rsidRPr="00F75053">
        <w:rPr>
          <w:rFonts w:ascii="Arial" w:hAnsi="Arial" w:cs="Arial"/>
          <w:sz w:val="20"/>
          <w:szCs w:val="20"/>
        </w:rPr>
        <w:t xml:space="preserve"> ER</w:t>
      </w:r>
      <w:r w:rsidR="00C61693" w:rsidRPr="00F75053">
        <w:rPr>
          <w:rFonts w:ascii="Arial" w:hAnsi="Arial" w:cs="Arial"/>
          <w:sz w:val="20"/>
          <w:szCs w:val="20"/>
          <w:vertAlign w:val="superscript"/>
        </w:rPr>
        <w:t xml:space="preserve">® </w:t>
      </w:r>
      <w:r w:rsidR="00C61693">
        <w:rPr>
          <w:rFonts w:ascii="Arial" w:hAnsi="Arial" w:cs="Arial"/>
          <w:sz w:val="20"/>
          <w:szCs w:val="20"/>
        </w:rPr>
        <w:t>(</w:t>
      </w:r>
      <w:r w:rsidR="00D07025" w:rsidRPr="00D07025">
        <w:rPr>
          <w:rFonts w:ascii="Arial" w:hAnsi="Arial" w:cs="Arial"/>
          <w:sz w:val="20"/>
          <w:szCs w:val="20"/>
        </w:rPr>
        <w:t>hydrocodone extended-release</w:t>
      </w:r>
      <w:r w:rsidR="00C61693">
        <w:rPr>
          <w:rFonts w:ascii="Arial" w:hAnsi="Arial" w:cs="Arial"/>
          <w:sz w:val="20"/>
          <w:szCs w:val="20"/>
        </w:rPr>
        <w:t>)</w:t>
      </w:r>
      <w:r w:rsidR="00D07025" w:rsidRPr="00D07025">
        <w:rPr>
          <w:rFonts w:ascii="Arial" w:hAnsi="Arial" w:cs="Arial"/>
          <w:sz w:val="20"/>
          <w:szCs w:val="20"/>
        </w:rPr>
        <w:t xml:space="preserve"> group compared to the placebo group (68% versus 31%, respectively; P&lt;0.001) at the end of treatment, and SGAM scores increased from baseline significantly in the </w:t>
      </w:r>
      <w:proofErr w:type="spellStart"/>
      <w:r w:rsidR="00C61693" w:rsidRPr="00F75053">
        <w:rPr>
          <w:rFonts w:ascii="Arial" w:hAnsi="Arial" w:cs="Arial"/>
          <w:sz w:val="20"/>
          <w:szCs w:val="20"/>
        </w:rPr>
        <w:t>Zohydro</w:t>
      </w:r>
      <w:proofErr w:type="spellEnd"/>
      <w:r w:rsidR="00C61693" w:rsidRPr="00F75053">
        <w:rPr>
          <w:rFonts w:ascii="Arial" w:hAnsi="Arial" w:cs="Arial"/>
          <w:sz w:val="20"/>
          <w:szCs w:val="20"/>
        </w:rPr>
        <w:t xml:space="preserve"> ER</w:t>
      </w:r>
      <w:r w:rsidR="00C61693" w:rsidRPr="00F75053">
        <w:rPr>
          <w:rFonts w:ascii="Arial" w:hAnsi="Arial" w:cs="Arial"/>
          <w:sz w:val="20"/>
          <w:szCs w:val="20"/>
          <w:vertAlign w:val="superscript"/>
        </w:rPr>
        <w:t xml:space="preserve">® </w:t>
      </w:r>
      <w:r w:rsidR="00C61693">
        <w:rPr>
          <w:rFonts w:ascii="Arial" w:hAnsi="Arial" w:cs="Arial"/>
          <w:sz w:val="20"/>
          <w:szCs w:val="20"/>
        </w:rPr>
        <w:t>(</w:t>
      </w:r>
      <w:r w:rsidR="00D07025" w:rsidRPr="00D07025">
        <w:rPr>
          <w:rFonts w:ascii="Arial" w:hAnsi="Arial" w:cs="Arial"/>
          <w:sz w:val="20"/>
          <w:szCs w:val="20"/>
        </w:rPr>
        <w:t>hydrocodone-extended</w:t>
      </w:r>
      <w:r w:rsidR="00C61693">
        <w:rPr>
          <w:rFonts w:ascii="Arial" w:hAnsi="Arial" w:cs="Arial"/>
          <w:sz w:val="20"/>
          <w:szCs w:val="20"/>
        </w:rPr>
        <w:t>)</w:t>
      </w:r>
      <w:r w:rsidR="00D07025" w:rsidRPr="00D07025">
        <w:rPr>
          <w:rFonts w:ascii="Arial" w:hAnsi="Arial" w:cs="Arial"/>
          <w:sz w:val="20"/>
          <w:szCs w:val="20"/>
        </w:rPr>
        <w:t xml:space="preserve"> release group compared to placebo (0.8 ± 1.3 versus 0.0 ± 1.4, respectively; P&lt;0.0001).</w:t>
      </w:r>
      <w:r w:rsidR="00424F9F">
        <w:rPr>
          <w:rFonts w:ascii="Arial" w:hAnsi="Arial" w:cs="Arial"/>
          <w:sz w:val="20"/>
          <w:szCs w:val="20"/>
          <w:vertAlign w:val="superscript"/>
        </w:rPr>
        <w:t>1,2</w:t>
      </w:r>
      <w:r w:rsidR="008079F0">
        <w:rPr>
          <w:rFonts w:ascii="Arial" w:hAnsi="Arial" w:cs="Arial"/>
          <w:sz w:val="20"/>
          <w:szCs w:val="20"/>
          <w:vertAlign w:val="superscript"/>
        </w:rPr>
        <w:t>,</w:t>
      </w:r>
      <w:r w:rsidR="00395DBD">
        <w:rPr>
          <w:rFonts w:ascii="Arial" w:hAnsi="Arial" w:cs="Arial"/>
          <w:sz w:val="20"/>
          <w:szCs w:val="20"/>
          <w:vertAlign w:val="superscript"/>
        </w:rPr>
        <w:t>7</w:t>
      </w:r>
    </w:p>
    <w:p w:rsidR="00D07025" w:rsidRPr="00D07025" w:rsidRDefault="00D07025" w:rsidP="00D07025">
      <w:pPr>
        <w:spacing w:after="0" w:line="240" w:lineRule="auto"/>
        <w:rPr>
          <w:rFonts w:ascii="Arial" w:hAnsi="Arial" w:cs="Arial"/>
          <w:sz w:val="20"/>
          <w:szCs w:val="20"/>
        </w:rPr>
      </w:pPr>
    </w:p>
    <w:p w:rsidR="00F44B9D" w:rsidRPr="00083D63" w:rsidRDefault="00D07025" w:rsidP="00D07025">
      <w:pPr>
        <w:spacing w:after="0" w:line="240" w:lineRule="auto"/>
        <w:rPr>
          <w:rFonts w:ascii="Arial" w:hAnsi="Arial" w:cs="Arial"/>
          <w:sz w:val="20"/>
          <w:szCs w:val="20"/>
          <w:highlight w:val="yellow"/>
        </w:rPr>
      </w:pPr>
      <w:r w:rsidRPr="00D07025">
        <w:rPr>
          <w:rFonts w:ascii="Arial" w:hAnsi="Arial" w:cs="Arial"/>
          <w:sz w:val="20"/>
          <w:szCs w:val="20"/>
        </w:rPr>
        <w:t>The second phase III trial</w:t>
      </w:r>
      <w:r w:rsidR="0027416A">
        <w:rPr>
          <w:rFonts w:ascii="Arial" w:hAnsi="Arial" w:cs="Arial"/>
          <w:sz w:val="20"/>
          <w:szCs w:val="20"/>
        </w:rPr>
        <w:t xml:space="preserve">, also referred to as </w:t>
      </w:r>
      <w:r w:rsidR="0027416A" w:rsidRPr="0027416A">
        <w:rPr>
          <w:rFonts w:ascii="Arial" w:hAnsi="Arial" w:cs="Arial"/>
          <w:sz w:val="20"/>
          <w:szCs w:val="20"/>
        </w:rPr>
        <w:t>ZX002-0802</w:t>
      </w:r>
      <w:r w:rsidR="0027416A">
        <w:rPr>
          <w:rFonts w:ascii="Arial" w:hAnsi="Arial" w:cs="Arial"/>
          <w:sz w:val="20"/>
          <w:szCs w:val="20"/>
        </w:rPr>
        <w:t>,</w:t>
      </w:r>
      <w:r w:rsidRPr="00D07025">
        <w:rPr>
          <w:rFonts w:ascii="Arial" w:hAnsi="Arial" w:cs="Arial"/>
          <w:sz w:val="20"/>
          <w:szCs w:val="20"/>
        </w:rPr>
        <w:t xml:space="preserve"> evaluated long-term safety and tolerability of </w:t>
      </w:r>
      <w:proofErr w:type="spellStart"/>
      <w:r w:rsidRPr="00D07025">
        <w:rPr>
          <w:rFonts w:ascii="Arial" w:hAnsi="Arial" w:cs="Arial"/>
          <w:sz w:val="20"/>
          <w:szCs w:val="20"/>
        </w:rPr>
        <w:t>Zohydro</w:t>
      </w:r>
      <w:proofErr w:type="spellEnd"/>
      <w:r w:rsidRPr="00D07025">
        <w:rPr>
          <w:rFonts w:ascii="Arial" w:hAnsi="Arial" w:cs="Arial"/>
          <w:sz w:val="20"/>
          <w:szCs w:val="20"/>
        </w:rPr>
        <w:t xml:space="preserve"> ER</w:t>
      </w:r>
      <w:r w:rsidRPr="00DD0557">
        <w:rPr>
          <w:rFonts w:ascii="Arial" w:hAnsi="Arial" w:cs="Arial"/>
          <w:sz w:val="20"/>
          <w:szCs w:val="20"/>
          <w:vertAlign w:val="superscript"/>
        </w:rPr>
        <w:t>®</w:t>
      </w:r>
      <w:r w:rsidRPr="00D07025">
        <w:rPr>
          <w:rFonts w:ascii="Arial" w:hAnsi="Arial" w:cs="Arial"/>
          <w:sz w:val="20"/>
          <w:szCs w:val="20"/>
        </w:rPr>
        <w:t xml:space="preserve"> (hydrocodone extended-release) in a 48 week multi-center, open label study. The study enrolled a total of 638 subjects, and all were included in the safety population data. In total, 424 subjects completed the conversion/titration phase, and were included in the intention to treat population, with 285 subjects completing the study. The primary endpoint was long-term safety and tolerability. Adverse events that occurred in at least 5% of subjects in the safety population (n=638) were constipation, nausea, headache and somnolence. There were four reported deaths during the study, and all were considered not likely to be related to the treatment. One subject committed suicide 13 months after the study, and authors noted that hoarding of study medication was likely involved. Authors also noted that the death was caused by mixed drug toxicity with hydromorphone, hydrocodone, </w:t>
      </w:r>
      <w:proofErr w:type="spellStart"/>
      <w:r w:rsidRPr="00D07025">
        <w:rPr>
          <w:rFonts w:ascii="Arial" w:hAnsi="Arial" w:cs="Arial"/>
          <w:sz w:val="20"/>
          <w:szCs w:val="20"/>
        </w:rPr>
        <w:t>dihydrocodeine</w:t>
      </w:r>
      <w:proofErr w:type="spellEnd"/>
      <w:r w:rsidRPr="00D07025">
        <w:rPr>
          <w:rFonts w:ascii="Arial" w:hAnsi="Arial" w:cs="Arial"/>
          <w:sz w:val="20"/>
          <w:szCs w:val="20"/>
        </w:rPr>
        <w:t>, trazodone and ethanol. The secondary endpoint was efficacy, as measured by mean daily pain intensity (PI) scores. The mean pain intensity score at screening (prior to conversion/titration) was 6.4, 3.1 at baseline (begin of treatment phase) and 4.0 at the end of treatment.</w:t>
      </w:r>
      <w:r w:rsidR="00424F9F" w:rsidRPr="00424F9F">
        <w:rPr>
          <w:rFonts w:ascii="Arial" w:hAnsi="Arial" w:cs="Arial"/>
          <w:sz w:val="20"/>
          <w:szCs w:val="20"/>
          <w:vertAlign w:val="superscript"/>
        </w:rPr>
        <w:t xml:space="preserve"> </w:t>
      </w:r>
      <w:r w:rsidR="00424F9F">
        <w:rPr>
          <w:rFonts w:ascii="Arial" w:hAnsi="Arial" w:cs="Arial"/>
          <w:sz w:val="20"/>
          <w:szCs w:val="20"/>
          <w:vertAlign w:val="superscript"/>
        </w:rPr>
        <w:t>1,2</w:t>
      </w:r>
    </w:p>
    <w:p w:rsidR="00C96864" w:rsidRPr="00083D63" w:rsidRDefault="00C96864" w:rsidP="00FD63AA">
      <w:pPr>
        <w:spacing w:after="0" w:line="240" w:lineRule="auto"/>
        <w:rPr>
          <w:rFonts w:ascii="Arial" w:hAnsi="Arial" w:cs="Arial"/>
          <w:sz w:val="20"/>
          <w:szCs w:val="20"/>
          <w:highlight w:val="yellow"/>
        </w:rPr>
      </w:pPr>
    </w:p>
    <w:p w:rsidR="00FD63AA" w:rsidRPr="002C592F" w:rsidRDefault="008C2D56" w:rsidP="00FD63AA">
      <w:pPr>
        <w:spacing w:after="0" w:line="240" w:lineRule="auto"/>
        <w:rPr>
          <w:rFonts w:ascii="Arial" w:hAnsi="Arial" w:cs="Arial"/>
          <w:sz w:val="20"/>
          <w:szCs w:val="20"/>
        </w:rPr>
      </w:pPr>
      <w:r w:rsidRPr="002C592F">
        <w:rPr>
          <w:rFonts w:ascii="Arial" w:hAnsi="Arial" w:cs="Arial"/>
          <w:sz w:val="20"/>
          <w:szCs w:val="20"/>
        </w:rPr>
        <w:t xml:space="preserve">Two other phase II studies, ELN154088-201 and ELN154088-203, evaluated the safety and effectiveness of </w:t>
      </w:r>
      <w:proofErr w:type="spellStart"/>
      <w:r w:rsidRPr="002C592F">
        <w:rPr>
          <w:rFonts w:ascii="Arial" w:hAnsi="Arial" w:cs="Arial"/>
          <w:sz w:val="20"/>
          <w:szCs w:val="20"/>
        </w:rPr>
        <w:t>Zohydro</w:t>
      </w:r>
      <w:proofErr w:type="spellEnd"/>
      <w:r w:rsidRPr="002C592F">
        <w:rPr>
          <w:rFonts w:ascii="Arial" w:hAnsi="Arial" w:cs="Arial"/>
          <w:sz w:val="20"/>
          <w:szCs w:val="20"/>
        </w:rPr>
        <w:t xml:space="preserve"> ER</w:t>
      </w:r>
      <w:r w:rsidRPr="00DD0557">
        <w:rPr>
          <w:rFonts w:ascii="Arial" w:hAnsi="Arial" w:cs="Arial"/>
          <w:sz w:val="20"/>
          <w:szCs w:val="20"/>
          <w:vertAlign w:val="superscript"/>
        </w:rPr>
        <w:t>®</w:t>
      </w:r>
      <w:r w:rsidRPr="002C592F">
        <w:rPr>
          <w:rFonts w:ascii="Arial" w:hAnsi="Arial" w:cs="Arial"/>
          <w:sz w:val="20"/>
          <w:szCs w:val="20"/>
        </w:rPr>
        <w:t xml:space="preserve"> (hydrocodone extended-release) i</w:t>
      </w:r>
      <w:r w:rsidR="00F206C3" w:rsidRPr="002C592F">
        <w:rPr>
          <w:rFonts w:ascii="Arial" w:hAnsi="Arial" w:cs="Arial"/>
          <w:sz w:val="20"/>
          <w:szCs w:val="20"/>
        </w:rPr>
        <w:t>n post-</w:t>
      </w:r>
      <w:proofErr w:type="spellStart"/>
      <w:r w:rsidR="00F206C3" w:rsidRPr="002C592F">
        <w:rPr>
          <w:rFonts w:ascii="Arial" w:hAnsi="Arial" w:cs="Arial"/>
          <w:sz w:val="20"/>
          <w:szCs w:val="20"/>
        </w:rPr>
        <w:t>bunionectomy</w:t>
      </w:r>
      <w:proofErr w:type="spellEnd"/>
      <w:r w:rsidR="00F206C3" w:rsidRPr="002C592F">
        <w:rPr>
          <w:rFonts w:ascii="Arial" w:hAnsi="Arial" w:cs="Arial"/>
          <w:sz w:val="20"/>
          <w:szCs w:val="20"/>
        </w:rPr>
        <w:t xml:space="preserve"> surgery patients and subjects with chronic, moderate to severe osteoarthritis pain, respectively.</w:t>
      </w:r>
      <w:r w:rsidR="00F206C3" w:rsidRPr="002C592F">
        <w:rPr>
          <w:rFonts w:ascii="Arial" w:hAnsi="Arial" w:cs="Arial"/>
          <w:sz w:val="20"/>
          <w:szCs w:val="20"/>
          <w:vertAlign w:val="superscript"/>
        </w:rPr>
        <w:t>2</w:t>
      </w:r>
    </w:p>
    <w:p w:rsidR="00201C3C" w:rsidRPr="00083D63" w:rsidRDefault="00201C3C" w:rsidP="00201C3C">
      <w:pPr>
        <w:rPr>
          <w:highlight w:val="yellow"/>
        </w:rPr>
      </w:pPr>
    </w:p>
    <w:p w:rsidR="00201C3C" w:rsidRPr="00083D63" w:rsidRDefault="00201C3C" w:rsidP="00201C3C">
      <w:pPr>
        <w:rPr>
          <w:highlight w:val="yellow"/>
        </w:rPr>
        <w:sectPr w:rsidR="00201C3C" w:rsidRPr="00083D63" w:rsidSect="008A4984">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1C2825" w:rsidRPr="000E6E01" w:rsidRDefault="00150F67" w:rsidP="004920E8">
      <w:pPr>
        <w:pStyle w:val="NoSpacing"/>
        <w:ind w:left="-770"/>
        <w:rPr>
          <w:rFonts w:ascii="Arial" w:hAnsi="Arial" w:cs="Arial"/>
          <w:b/>
          <w:sz w:val="20"/>
          <w:szCs w:val="20"/>
        </w:rPr>
      </w:pPr>
      <w:r w:rsidRPr="000E6E01">
        <w:rPr>
          <w:rFonts w:ascii="Arial" w:hAnsi="Arial" w:cs="Arial"/>
          <w:b/>
          <w:sz w:val="20"/>
          <w:szCs w:val="20"/>
        </w:rPr>
        <w:lastRenderedPageBreak/>
        <w:t xml:space="preserve">Table </w:t>
      </w:r>
      <w:r w:rsidR="004F27CC" w:rsidRPr="000E6E01">
        <w:rPr>
          <w:rFonts w:ascii="Arial" w:hAnsi="Arial" w:cs="Arial"/>
          <w:b/>
          <w:sz w:val="20"/>
          <w:szCs w:val="20"/>
        </w:rPr>
        <w:t>2</w:t>
      </w:r>
      <w:r w:rsidRPr="000E6E01">
        <w:rPr>
          <w:rFonts w:ascii="Arial" w:hAnsi="Arial" w:cs="Arial"/>
          <w:b/>
          <w:sz w:val="20"/>
          <w:szCs w:val="20"/>
        </w:rPr>
        <w:t>. Clinical Trials</w:t>
      </w:r>
      <w:r w:rsidR="009D4DE8">
        <w:rPr>
          <w:rFonts w:ascii="Arial" w:hAnsi="Arial" w:cs="Arial"/>
          <w:b/>
          <w:sz w:val="20"/>
          <w:szCs w:val="20"/>
          <w:vertAlign w:val="superscript"/>
        </w:rPr>
        <w:t>2</w:t>
      </w:r>
      <w:r w:rsidR="006231B3" w:rsidRPr="000E6E01">
        <w:rPr>
          <w:rFonts w:ascii="Arial" w:hAnsi="Arial" w:cs="Arial"/>
          <w:b/>
          <w:sz w:val="20"/>
          <w:szCs w:val="20"/>
          <w:vertAlign w:val="superscript"/>
        </w:rPr>
        <w:t>,</w:t>
      </w:r>
      <w:r w:rsidR="00395DBD">
        <w:rPr>
          <w:rFonts w:ascii="Arial" w:hAnsi="Arial" w:cs="Arial"/>
          <w:b/>
          <w:sz w:val="20"/>
          <w:szCs w:val="20"/>
          <w:vertAlign w:val="superscript"/>
        </w:rPr>
        <w:t>7</w:t>
      </w:r>
    </w:p>
    <w:tbl>
      <w:tblPr>
        <w:tblW w:w="13730" w:type="dxa"/>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2640"/>
        <w:gridCol w:w="1760"/>
        <w:gridCol w:w="1540"/>
        <w:gridCol w:w="1760"/>
        <w:gridCol w:w="6030"/>
      </w:tblGrid>
      <w:tr w:rsidR="00AE7C5C" w:rsidRPr="00083D63" w:rsidTr="001723DB">
        <w:trPr>
          <w:tblHeader/>
        </w:trPr>
        <w:tc>
          <w:tcPr>
            <w:tcW w:w="2640" w:type="dxa"/>
            <w:shd w:val="clear" w:color="auto" w:fill="C0C0C0"/>
            <w:vAlign w:val="center"/>
          </w:tcPr>
          <w:p w:rsidR="00AE7C5C" w:rsidRPr="006A3A74" w:rsidRDefault="00AE7C5C" w:rsidP="00D6554F">
            <w:pPr>
              <w:pStyle w:val="NoSpacing"/>
              <w:jc w:val="center"/>
              <w:rPr>
                <w:rFonts w:ascii="Arial" w:hAnsi="Arial" w:cs="Arial"/>
                <w:b/>
                <w:sz w:val="20"/>
                <w:szCs w:val="20"/>
              </w:rPr>
            </w:pPr>
            <w:r w:rsidRPr="006A3A74">
              <w:rPr>
                <w:rFonts w:ascii="Arial" w:hAnsi="Arial" w:cs="Arial"/>
                <w:b/>
                <w:sz w:val="20"/>
                <w:szCs w:val="20"/>
              </w:rPr>
              <w:t>Study and Drug Regimen</w:t>
            </w:r>
          </w:p>
        </w:tc>
        <w:tc>
          <w:tcPr>
            <w:tcW w:w="1760" w:type="dxa"/>
            <w:shd w:val="clear" w:color="auto" w:fill="C0C0C0"/>
            <w:vAlign w:val="center"/>
          </w:tcPr>
          <w:p w:rsidR="00AE7C5C" w:rsidRPr="006A3A74" w:rsidRDefault="00AE7C5C" w:rsidP="00D6554F">
            <w:pPr>
              <w:pStyle w:val="NoSpacing"/>
              <w:jc w:val="center"/>
              <w:rPr>
                <w:rFonts w:ascii="Arial" w:hAnsi="Arial" w:cs="Arial"/>
                <w:b/>
                <w:sz w:val="20"/>
                <w:szCs w:val="20"/>
              </w:rPr>
            </w:pPr>
            <w:r w:rsidRPr="006A3A74">
              <w:rPr>
                <w:rFonts w:ascii="Arial" w:hAnsi="Arial" w:cs="Arial"/>
                <w:b/>
                <w:sz w:val="20"/>
                <w:szCs w:val="20"/>
              </w:rPr>
              <w:t>Study Design and</w:t>
            </w:r>
          </w:p>
          <w:p w:rsidR="00AE7C5C" w:rsidRPr="006A3A74" w:rsidRDefault="00AE7C5C" w:rsidP="00D6554F">
            <w:pPr>
              <w:pStyle w:val="NoSpacing"/>
              <w:jc w:val="center"/>
              <w:rPr>
                <w:rFonts w:ascii="Arial" w:hAnsi="Arial" w:cs="Arial"/>
                <w:b/>
                <w:sz w:val="20"/>
                <w:szCs w:val="20"/>
              </w:rPr>
            </w:pPr>
            <w:r w:rsidRPr="006A3A74">
              <w:rPr>
                <w:rFonts w:ascii="Arial" w:hAnsi="Arial" w:cs="Arial"/>
                <w:b/>
                <w:sz w:val="20"/>
                <w:szCs w:val="20"/>
              </w:rPr>
              <w:t>Demographics</w:t>
            </w:r>
          </w:p>
        </w:tc>
        <w:tc>
          <w:tcPr>
            <w:tcW w:w="1540" w:type="dxa"/>
            <w:shd w:val="clear" w:color="auto" w:fill="C0C0C0"/>
            <w:vAlign w:val="center"/>
          </w:tcPr>
          <w:p w:rsidR="00AE7C5C" w:rsidRPr="006A3A74" w:rsidRDefault="00AE7C5C" w:rsidP="00D6554F">
            <w:pPr>
              <w:pStyle w:val="NoSpacing"/>
              <w:jc w:val="center"/>
              <w:rPr>
                <w:rFonts w:ascii="Arial" w:hAnsi="Arial" w:cs="Arial"/>
                <w:b/>
                <w:sz w:val="20"/>
                <w:szCs w:val="20"/>
              </w:rPr>
            </w:pPr>
            <w:r w:rsidRPr="006A3A74">
              <w:rPr>
                <w:rFonts w:ascii="Arial" w:hAnsi="Arial" w:cs="Arial"/>
                <w:b/>
                <w:sz w:val="20"/>
                <w:szCs w:val="20"/>
              </w:rPr>
              <w:t>Sample Size</w:t>
            </w:r>
          </w:p>
          <w:p w:rsidR="00AE7C5C" w:rsidRPr="006A3A74" w:rsidRDefault="00AE7C5C" w:rsidP="00D6554F">
            <w:pPr>
              <w:pStyle w:val="NoSpacing"/>
              <w:jc w:val="center"/>
              <w:rPr>
                <w:rFonts w:ascii="Arial" w:hAnsi="Arial" w:cs="Arial"/>
                <w:b/>
                <w:sz w:val="20"/>
                <w:szCs w:val="20"/>
              </w:rPr>
            </w:pPr>
            <w:r w:rsidRPr="006A3A74">
              <w:rPr>
                <w:rFonts w:ascii="Arial" w:hAnsi="Arial" w:cs="Arial"/>
                <w:b/>
                <w:sz w:val="20"/>
                <w:szCs w:val="20"/>
              </w:rPr>
              <w:t>and Study Duration</w:t>
            </w:r>
          </w:p>
        </w:tc>
        <w:tc>
          <w:tcPr>
            <w:tcW w:w="1760" w:type="dxa"/>
            <w:shd w:val="clear" w:color="auto" w:fill="C0C0C0"/>
            <w:vAlign w:val="center"/>
          </w:tcPr>
          <w:p w:rsidR="00AE7C5C" w:rsidRPr="006A3A74" w:rsidRDefault="00AE7C5C" w:rsidP="00D6554F">
            <w:pPr>
              <w:pStyle w:val="NoSpacing"/>
              <w:jc w:val="center"/>
              <w:rPr>
                <w:rFonts w:ascii="Arial" w:hAnsi="Arial" w:cs="Arial"/>
                <w:b/>
                <w:sz w:val="20"/>
                <w:szCs w:val="20"/>
              </w:rPr>
            </w:pPr>
            <w:r w:rsidRPr="006A3A74">
              <w:rPr>
                <w:rFonts w:ascii="Arial" w:hAnsi="Arial" w:cs="Arial"/>
                <w:b/>
                <w:sz w:val="20"/>
                <w:szCs w:val="20"/>
              </w:rPr>
              <w:t>End Points</w:t>
            </w:r>
          </w:p>
        </w:tc>
        <w:tc>
          <w:tcPr>
            <w:tcW w:w="6030" w:type="dxa"/>
            <w:shd w:val="clear" w:color="auto" w:fill="C0C0C0"/>
            <w:vAlign w:val="center"/>
          </w:tcPr>
          <w:p w:rsidR="00AE7C5C" w:rsidRPr="006A3A74" w:rsidRDefault="00AE7C5C" w:rsidP="00D6554F">
            <w:pPr>
              <w:pStyle w:val="NoSpacing"/>
              <w:jc w:val="center"/>
              <w:rPr>
                <w:rFonts w:ascii="Arial" w:hAnsi="Arial" w:cs="Arial"/>
                <w:b/>
                <w:sz w:val="20"/>
                <w:szCs w:val="20"/>
              </w:rPr>
            </w:pPr>
            <w:r w:rsidRPr="006A3A74">
              <w:rPr>
                <w:rFonts w:ascii="Arial" w:hAnsi="Arial" w:cs="Arial"/>
                <w:b/>
                <w:sz w:val="20"/>
                <w:szCs w:val="20"/>
              </w:rPr>
              <w:t>Results</w:t>
            </w:r>
          </w:p>
        </w:tc>
      </w:tr>
      <w:tr w:rsidR="00AE7C5C" w:rsidRPr="00083D63" w:rsidTr="001723DB">
        <w:tc>
          <w:tcPr>
            <w:tcW w:w="2640" w:type="dxa"/>
          </w:tcPr>
          <w:p w:rsidR="00AE7C5C" w:rsidRDefault="00D32043" w:rsidP="000B3401">
            <w:pPr>
              <w:spacing w:after="0" w:line="240" w:lineRule="auto"/>
              <w:rPr>
                <w:rFonts w:ascii="Arial" w:hAnsi="Arial" w:cs="Arial"/>
                <w:sz w:val="20"/>
                <w:szCs w:val="20"/>
              </w:rPr>
            </w:pPr>
            <w:proofErr w:type="spellStart"/>
            <w:r>
              <w:rPr>
                <w:rFonts w:ascii="Arial" w:hAnsi="Arial" w:cs="Arial"/>
                <w:sz w:val="20"/>
                <w:szCs w:val="20"/>
              </w:rPr>
              <w:t>Rauck</w:t>
            </w:r>
            <w:proofErr w:type="spellEnd"/>
            <w:r>
              <w:rPr>
                <w:rFonts w:ascii="Arial" w:hAnsi="Arial" w:cs="Arial"/>
                <w:sz w:val="20"/>
                <w:szCs w:val="20"/>
              </w:rPr>
              <w:t>, et al</w:t>
            </w:r>
            <w:r w:rsidR="00AE0429">
              <w:rPr>
                <w:rFonts w:ascii="Arial" w:hAnsi="Arial" w:cs="Arial"/>
                <w:sz w:val="20"/>
                <w:szCs w:val="20"/>
                <w:vertAlign w:val="superscript"/>
              </w:rPr>
              <w:t>5</w:t>
            </w:r>
            <w:r w:rsidR="00626B2F" w:rsidRPr="001C6700">
              <w:rPr>
                <w:rFonts w:ascii="Arial" w:hAnsi="Arial" w:cs="Arial"/>
                <w:sz w:val="20"/>
                <w:szCs w:val="20"/>
              </w:rPr>
              <w:t>*</w:t>
            </w:r>
          </w:p>
          <w:p w:rsidR="00D32043" w:rsidRPr="00083D63" w:rsidRDefault="00D32043" w:rsidP="000B3401">
            <w:pPr>
              <w:spacing w:after="0" w:line="240" w:lineRule="auto"/>
              <w:rPr>
                <w:rFonts w:ascii="Arial" w:hAnsi="Arial" w:cs="Arial"/>
                <w:sz w:val="20"/>
                <w:szCs w:val="20"/>
                <w:highlight w:val="yellow"/>
              </w:rPr>
            </w:pPr>
          </w:p>
          <w:p w:rsidR="00AE7C5C" w:rsidRDefault="00D32043" w:rsidP="000B3401">
            <w:pPr>
              <w:spacing w:after="0" w:line="240" w:lineRule="auto"/>
              <w:rPr>
                <w:rFonts w:ascii="Arial" w:hAnsi="Arial" w:cs="Arial"/>
                <w:sz w:val="20"/>
                <w:szCs w:val="20"/>
              </w:rPr>
            </w:pPr>
            <w:r w:rsidRPr="00D32043">
              <w:rPr>
                <w:rFonts w:ascii="Arial" w:hAnsi="Arial" w:cs="Arial"/>
                <w:sz w:val="20"/>
                <w:szCs w:val="20"/>
              </w:rPr>
              <w:t xml:space="preserve">Hydrocodone </w:t>
            </w:r>
            <w:r w:rsidR="00D530A0">
              <w:rPr>
                <w:rFonts w:ascii="Arial" w:hAnsi="Arial" w:cs="Arial"/>
                <w:sz w:val="20"/>
                <w:szCs w:val="20"/>
              </w:rPr>
              <w:t>ER</w:t>
            </w:r>
            <w:r w:rsidRPr="00D32043">
              <w:rPr>
                <w:rFonts w:ascii="Arial" w:hAnsi="Arial" w:cs="Arial"/>
                <w:sz w:val="20"/>
                <w:szCs w:val="20"/>
              </w:rPr>
              <w:t xml:space="preserve"> 20 mg to 100 mg every 12 hours</w:t>
            </w:r>
          </w:p>
          <w:p w:rsidR="00D32043" w:rsidRPr="00083D63" w:rsidRDefault="00D32043" w:rsidP="000B3401">
            <w:pPr>
              <w:spacing w:after="0" w:line="240" w:lineRule="auto"/>
              <w:rPr>
                <w:rFonts w:ascii="Arial" w:hAnsi="Arial" w:cs="Arial"/>
                <w:sz w:val="20"/>
                <w:szCs w:val="20"/>
                <w:highlight w:val="yellow"/>
              </w:rPr>
            </w:pPr>
          </w:p>
          <w:p w:rsidR="00AE7C5C" w:rsidRPr="00D32043" w:rsidRDefault="00AE7C5C" w:rsidP="000B3401">
            <w:pPr>
              <w:spacing w:after="0" w:line="240" w:lineRule="auto"/>
              <w:rPr>
                <w:rFonts w:ascii="Arial" w:hAnsi="Arial" w:cs="Arial"/>
                <w:sz w:val="20"/>
                <w:szCs w:val="20"/>
              </w:rPr>
            </w:pPr>
            <w:r w:rsidRPr="00D32043">
              <w:rPr>
                <w:rFonts w:ascii="Arial" w:hAnsi="Arial" w:cs="Arial"/>
                <w:sz w:val="20"/>
                <w:szCs w:val="20"/>
              </w:rPr>
              <w:t>vs</w:t>
            </w:r>
          </w:p>
          <w:p w:rsidR="00AE7C5C" w:rsidRPr="00D32043" w:rsidRDefault="00AE7C5C" w:rsidP="000B3401">
            <w:pPr>
              <w:spacing w:after="0" w:line="240" w:lineRule="auto"/>
              <w:rPr>
                <w:rFonts w:ascii="Arial" w:hAnsi="Arial" w:cs="Arial"/>
                <w:sz w:val="20"/>
                <w:szCs w:val="20"/>
              </w:rPr>
            </w:pPr>
          </w:p>
          <w:p w:rsidR="00AE7C5C" w:rsidRPr="005160CE" w:rsidRDefault="005160CE" w:rsidP="000B3401">
            <w:pPr>
              <w:spacing w:after="0" w:line="240" w:lineRule="auto"/>
              <w:rPr>
                <w:rFonts w:ascii="Arial" w:hAnsi="Arial" w:cs="Arial"/>
                <w:sz w:val="20"/>
                <w:szCs w:val="20"/>
              </w:rPr>
            </w:pPr>
            <w:r>
              <w:rPr>
                <w:rFonts w:ascii="Arial" w:hAnsi="Arial" w:cs="Arial"/>
                <w:sz w:val="20"/>
                <w:szCs w:val="20"/>
              </w:rPr>
              <w:t>placebo</w:t>
            </w:r>
          </w:p>
        </w:tc>
        <w:tc>
          <w:tcPr>
            <w:tcW w:w="1760" w:type="dxa"/>
          </w:tcPr>
          <w:p w:rsidR="00AE7C5C" w:rsidRPr="00D32043" w:rsidRDefault="00AE7C5C" w:rsidP="000B3401">
            <w:pPr>
              <w:spacing w:after="0" w:line="240" w:lineRule="auto"/>
              <w:rPr>
                <w:rFonts w:ascii="Arial" w:hAnsi="Arial" w:cs="Arial"/>
                <w:sz w:val="20"/>
                <w:szCs w:val="20"/>
              </w:rPr>
            </w:pPr>
            <w:r w:rsidRPr="00D32043">
              <w:rPr>
                <w:rFonts w:ascii="Arial" w:hAnsi="Arial" w:cs="Arial"/>
                <w:sz w:val="20"/>
                <w:szCs w:val="20"/>
              </w:rPr>
              <w:t>DB, MC, PC, RCT</w:t>
            </w:r>
          </w:p>
          <w:p w:rsidR="00AE7C5C" w:rsidRPr="00083D63" w:rsidRDefault="00AE7C5C" w:rsidP="000B3401">
            <w:pPr>
              <w:spacing w:after="0" w:line="240" w:lineRule="auto"/>
              <w:rPr>
                <w:rFonts w:ascii="Arial" w:hAnsi="Arial" w:cs="Arial"/>
                <w:sz w:val="20"/>
                <w:szCs w:val="20"/>
                <w:highlight w:val="yellow"/>
              </w:rPr>
            </w:pPr>
          </w:p>
          <w:p w:rsidR="00AE7C5C" w:rsidRPr="00083D63" w:rsidRDefault="00D32043" w:rsidP="00D32043">
            <w:pPr>
              <w:spacing w:after="0" w:line="240" w:lineRule="auto"/>
              <w:rPr>
                <w:rFonts w:ascii="Arial" w:hAnsi="Arial" w:cs="Arial"/>
                <w:sz w:val="20"/>
                <w:szCs w:val="20"/>
                <w:highlight w:val="yellow"/>
              </w:rPr>
            </w:pPr>
            <w:r w:rsidRPr="00D32043">
              <w:rPr>
                <w:rFonts w:ascii="Arial" w:hAnsi="Arial" w:cs="Arial"/>
                <w:sz w:val="20"/>
                <w:szCs w:val="20"/>
              </w:rPr>
              <w:t xml:space="preserve">Patients </w:t>
            </w:r>
            <w:r w:rsidR="00AE7C5C" w:rsidRPr="00D32043">
              <w:rPr>
                <w:rFonts w:ascii="Arial" w:hAnsi="Arial" w:cs="Arial"/>
                <w:sz w:val="20"/>
                <w:szCs w:val="20"/>
              </w:rPr>
              <w:t xml:space="preserve">18 </w:t>
            </w:r>
            <w:r w:rsidRPr="00D32043">
              <w:rPr>
                <w:rFonts w:ascii="Arial" w:hAnsi="Arial" w:cs="Arial"/>
                <w:sz w:val="20"/>
                <w:szCs w:val="20"/>
              </w:rPr>
              <w:t xml:space="preserve">to 75 </w:t>
            </w:r>
            <w:r w:rsidR="00AE7C5C" w:rsidRPr="00D32043">
              <w:rPr>
                <w:rFonts w:ascii="Arial" w:hAnsi="Arial" w:cs="Arial"/>
                <w:sz w:val="20"/>
                <w:szCs w:val="20"/>
              </w:rPr>
              <w:t xml:space="preserve">years of age with </w:t>
            </w:r>
            <w:r w:rsidRPr="00D32043">
              <w:rPr>
                <w:rFonts w:ascii="Arial" w:hAnsi="Arial" w:cs="Arial"/>
                <w:sz w:val="20"/>
                <w:szCs w:val="20"/>
              </w:rPr>
              <w:t xml:space="preserve">moderate to severe chronic low back pain, </w:t>
            </w:r>
            <w:r>
              <w:rPr>
                <w:rFonts w:ascii="Arial" w:hAnsi="Arial" w:cs="Arial"/>
                <w:sz w:val="20"/>
                <w:szCs w:val="20"/>
              </w:rPr>
              <w:t>and an</w:t>
            </w:r>
            <w:r w:rsidRPr="00D32043">
              <w:rPr>
                <w:rFonts w:ascii="Arial" w:hAnsi="Arial" w:cs="Arial"/>
                <w:sz w:val="20"/>
                <w:szCs w:val="20"/>
              </w:rPr>
              <w:t xml:space="preserve"> average pain score of at least 4 on the NRS for 24 hour period prior to screening</w:t>
            </w:r>
          </w:p>
        </w:tc>
        <w:tc>
          <w:tcPr>
            <w:tcW w:w="1540" w:type="dxa"/>
          </w:tcPr>
          <w:p w:rsidR="00AE7C5C" w:rsidRPr="00D32043" w:rsidRDefault="00AE7C5C" w:rsidP="000B3401">
            <w:pPr>
              <w:spacing w:after="0" w:line="240" w:lineRule="auto"/>
              <w:jc w:val="center"/>
              <w:rPr>
                <w:rFonts w:ascii="Arial" w:hAnsi="Arial" w:cs="Arial"/>
                <w:sz w:val="20"/>
                <w:szCs w:val="20"/>
              </w:rPr>
            </w:pPr>
            <w:r w:rsidRPr="00D32043">
              <w:rPr>
                <w:rFonts w:ascii="Arial" w:hAnsi="Arial" w:cs="Arial"/>
                <w:sz w:val="20"/>
                <w:szCs w:val="20"/>
              </w:rPr>
              <w:t>N=</w:t>
            </w:r>
            <w:r w:rsidR="00D32043" w:rsidRPr="00D32043">
              <w:rPr>
                <w:rFonts w:ascii="Arial" w:hAnsi="Arial" w:cs="Arial"/>
                <w:sz w:val="20"/>
                <w:szCs w:val="20"/>
              </w:rPr>
              <w:t>302</w:t>
            </w:r>
          </w:p>
          <w:p w:rsidR="00AE7C5C" w:rsidRPr="00D32043" w:rsidRDefault="00AE7C5C" w:rsidP="000B3401">
            <w:pPr>
              <w:spacing w:after="0" w:line="240" w:lineRule="auto"/>
              <w:jc w:val="center"/>
              <w:rPr>
                <w:rFonts w:ascii="Arial" w:hAnsi="Arial" w:cs="Arial"/>
                <w:sz w:val="20"/>
                <w:szCs w:val="20"/>
              </w:rPr>
            </w:pPr>
          </w:p>
          <w:p w:rsidR="00AE7C5C" w:rsidRPr="00083D63" w:rsidRDefault="00AE7C5C" w:rsidP="000B3401">
            <w:pPr>
              <w:spacing w:after="0" w:line="240" w:lineRule="auto"/>
              <w:jc w:val="center"/>
              <w:rPr>
                <w:rFonts w:ascii="Arial" w:hAnsi="Arial" w:cs="Arial"/>
                <w:sz w:val="20"/>
                <w:szCs w:val="20"/>
                <w:highlight w:val="yellow"/>
              </w:rPr>
            </w:pPr>
            <w:r w:rsidRPr="00D32043">
              <w:rPr>
                <w:rFonts w:ascii="Arial" w:hAnsi="Arial" w:cs="Arial"/>
                <w:sz w:val="20"/>
                <w:szCs w:val="20"/>
              </w:rPr>
              <w:t>12 weeks</w:t>
            </w:r>
          </w:p>
        </w:tc>
        <w:tc>
          <w:tcPr>
            <w:tcW w:w="1760" w:type="dxa"/>
          </w:tcPr>
          <w:p w:rsidR="00AE7C5C" w:rsidRPr="006A3A74" w:rsidRDefault="00AE7C5C" w:rsidP="000B3401">
            <w:pPr>
              <w:spacing w:after="0" w:line="240" w:lineRule="auto"/>
              <w:rPr>
                <w:rFonts w:ascii="Arial" w:hAnsi="Arial" w:cs="Arial"/>
                <w:sz w:val="20"/>
                <w:szCs w:val="20"/>
              </w:rPr>
            </w:pPr>
            <w:r w:rsidRPr="006A3A74">
              <w:rPr>
                <w:rFonts w:ascii="Arial" w:hAnsi="Arial" w:cs="Arial"/>
                <w:sz w:val="20"/>
                <w:szCs w:val="20"/>
              </w:rPr>
              <w:t>Primary:</w:t>
            </w:r>
          </w:p>
          <w:p w:rsidR="00AE7C5C" w:rsidRPr="006A3A74" w:rsidRDefault="0060759C" w:rsidP="000B3401">
            <w:pPr>
              <w:spacing w:after="0" w:line="240" w:lineRule="auto"/>
              <w:rPr>
                <w:rFonts w:ascii="Arial" w:hAnsi="Arial" w:cs="Arial"/>
                <w:sz w:val="20"/>
                <w:szCs w:val="20"/>
              </w:rPr>
            </w:pPr>
            <w:r w:rsidRPr="006A3A74">
              <w:rPr>
                <w:rFonts w:ascii="Arial" w:hAnsi="Arial" w:cs="Arial"/>
                <w:sz w:val="20"/>
                <w:szCs w:val="20"/>
              </w:rPr>
              <w:t>Change in mean daily PI score from baseline ± SD</w:t>
            </w:r>
          </w:p>
          <w:p w:rsidR="0060759C" w:rsidRPr="006A3A74" w:rsidRDefault="0060759C" w:rsidP="000B3401">
            <w:pPr>
              <w:spacing w:after="0" w:line="240" w:lineRule="auto"/>
              <w:rPr>
                <w:rFonts w:ascii="Arial" w:hAnsi="Arial" w:cs="Arial"/>
                <w:sz w:val="20"/>
                <w:szCs w:val="20"/>
              </w:rPr>
            </w:pPr>
          </w:p>
          <w:p w:rsidR="00AE7C5C" w:rsidRPr="006A3A74" w:rsidRDefault="00AE7C5C" w:rsidP="000B3401">
            <w:pPr>
              <w:spacing w:after="0" w:line="240" w:lineRule="auto"/>
              <w:rPr>
                <w:rFonts w:ascii="Arial" w:hAnsi="Arial" w:cs="Arial"/>
                <w:sz w:val="20"/>
                <w:szCs w:val="20"/>
              </w:rPr>
            </w:pPr>
            <w:r w:rsidRPr="006A3A74">
              <w:rPr>
                <w:rFonts w:ascii="Arial" w:hAnsi="Arial" w:cs="Arial"/>
                <w:sz w:val="20"/>
                <w:szCs w:val="20"/>
              </w:rPr>
              <w:t>Secondary:</w:t>
            </w:r>
          </w:p>
          <w:p w:rsidR="00AE7C5C" w:rsidRPr="006A3A74" w:rsidRDefault="0060759C" w:rsidP="000B3401">
            <w:pPr>
              <w:spacing w:after="0" w:line="240" w:lineRule="auto"/>
              <w:rPr>
                <w:rFonts w:ascii="Arial" w:hAnsi="Arial" w:cs="Arial"/>
                <w:sz w:val="20"/>
                <w:szCs w:val="20"/>
              </w:rPr>
            </w:pPr>
            <w:r w:rsidRPr="006A3A74">
              <w:rPr>
                <w:rFonts w:ascii="Arial" w:hAnsi="Arial" w:cs="Arial"/>
                <w:sz w:val="20"/>
                <w:szCs w:val="20"/>
              </w:rPr>
              <w:t>Percentage of treatment responders, mean increase in SGAM scores ± SD from baseline to end of treatment</w:t>
            </w:r>
          </w:p>
        </w:tc>
        <w:tc>
          <w:tcPr>
            <w:tcW w:w="6030" w:type="dxa"/>
          </w:tcPr>
          <w:p w:rsidR="00AE7C5C" w:rsidRPr="006A3A74" w:rsidRDefault="00AE7C5C" w:rsidP="000B3401">
            <w:pPr>
              <w:spacing w:after="0" w:line="240" w:lineRule="auto"/>
              <w:rPr>
                <w:rFonts w:ascii="Arial" w:hAnsi="Arial" w:cs="Arial"/>
                <w:sz w:val="20"/>
                <w:szCs w:val="20"/>
              </w:rPr>
            </w:pPr>
            <w:r w:rsidRPr="006A3A74">
              <w:rPr>
                <w:rFonts w:ascii="Arial" w:hAnsi="Arial" w:cs="Arial"/>
                <w:sz w:val="20"/>
                <w:szCs w:val="20"/>
              </w:rPr>
              <w:t>Primary:</w:t>
            </w:r>
          </w:p>
          <w:p w:rsidR="00AE7C5C" w:rsidRPr="006A3A74" w:rsidRDefault="0060759C" w:rsidP="000B3401">
            <w:pPr>
              <w:spacing w:after="0" w:line="240" w:lineRule="auto"/>
              <w:rPr>
                <w:rFonts w:ascii="Arial" w:hAnsi="Arial" w:cs="Arial"/>
                <w:sz w:val="20"/>
                <w:szCs w:val="20"/>
              </w:rPr>
            </w:pPr>
            <w:r w:rsidRPr="006A3A74">
              <w:rPr>
                <w:rFonts w:ascii="Arial" w:hAnsi="Arial" w:cs="Arial"/>
                <w:sz w:val="20"/>
                <w:szCs w:val="20"/>
              </w:rPr>
              <w:t xml:space="preserve">The mean change from baseline in daily PI scores ± SD was significantly lower for hydrocodone </w:t>
            </w:r>
            <w:r w:rsidR="005160CE">
              <w:rPr>
                <w:rFonts w:ascii="Arial" w:hAnsi="Arial" w:cs="Arial"/>
                <w:sz w:val="20"/>
                <w:szCs w:val="20"/>
              </w:rPr>
              <w:t>ER</w:t>
            </w:r>
            <w:r w:rsidRPr="006A3A74">
              <w:rPr>
                <w:rFonts w:ascii="Arial" w:hAnsi="Arial" w:cs="Arial"/>
                <w:sz w:val="20"/>
                <w:szCs w:val="20"/>
              </w:rPr>
              <w:t xml:space="preserve"> versus placebo (0.48 ± 1.56 vs 0.96 ± 1.55; P=0.008, respectively). </w:t>
            </w:r>
          </w:p>
          <w:p w:rsidR="0060759C" w:rsidRPr="006A3A74" w:rsidRDefault="0060759C" w:rsidP="000B3401">
            <w:pPr>
              <w:spacing w:after="0" w:line="240" w:lineRule="auto"/>
              <w:rPr>
                <w:rFonts w:ascii="Arial" w:hAnsi="Arial" w:cs="Arial"/>
                <w:sz w:val="20"/>
                <w:szCs w:val="20"/>
              </w:rPr>
            </w:pPr>
          </w:p>
          <w:p w:rsidR="00AE7C5C" w:rsidRPr="006A3A74" w:rsidRDefault="00AE7C5C" w:rsidP="000B3401">
            <w:pPr>
              <w:spacing w:after="0" w:line="240" w:lineRule="auto"/>
              <w:rPr>
                <w:rFonts w:ascii="Arial" w:hAnsi="Arial" w:cs="Arial"/>
                <w:sz w:val="20"/>
                <w:szCs w:val="20"/>
              </w:rPr>
            </w:pPr>
            <w:r w:rsidRPr="006A3A74">
              <w:rPr>
                <w:rFonts w:ascii="Arial" w:hAnsi="Arial" w:cs="Arial"/>
                <w:sz w:val="20"/>
                <w:szCs w:val="20"/>
              </w:rPr>
              <w:t>Secondary:</w:t>
            </w:r>
          </w:p>
          <w:p w:rsidR="00AE7C5C" w:rsidRPr="006A3A74" w:rsidRDefault="0060759C" w:rsidP="00394132">
            <w:pPr>
              <w:spacing w:after="0" w:line="240" w:lineRule="auto"/>
              <w:rPr>
                <w:rFonts w:ascii="Arial" w:hAnsi="Arial" w:cs="Arial"/>
                <w:sz w:val="20"/>
                <w:szCs w:val="20"/>
              </w:rPr>
            </w:pPr>
            <w:r w:rsidRPr="006A3A74">
              <w:rPr>
                <w:rFonts w:ascii="Arial" w:hAnsi="Arial" w:cs="Arial"/>
                <w:sz w:val="20"/>
                <w:szCs w:val="20"/>
              </w:rPr>
              <w:t xml:space="preserve">There was a significantly higher percentage of treatment responders in the hydrocodone </w:t>
            </w:r>
            <w:r w:rsidR="005160CE">
              <w:rPr>
                <w:rFonts w:ascii="Arial" w:hAnsi="Arial" w:cs="Arial"/>
                <w:sz w:val="20"/>
                <w:szCs w:val="20"/>
              </w:rPr>
              <w:t>ER</w:t>
            </w:r>
            <w:r w:rsidRPr="006A3A74">
              <w:rPr>
                <w:rFonts w:ascii="Arial" w:hAnsi="Arial" w:cs="Arial"/>
                <w:sz w:val="20"/>
                <w:szCs w:val="20"/>
              </w:rPr>
              <w:t xml:space="preserve"> group v</w:t>
            </w:r>
            <w:r w:rsidR="00394132">
              <w:rPr>
                <w:rFonts w:ascii="Arial" w:hAnsi="Arial" w:cs="Arial"/>
                <w:sz w:val="20"/>
                <w:szCs w:val="20"/>
              </w:rPr>
              <w:t>s</w:t>
            </w:r>
            <w:r w:rsidRPr="006A3A74">
              <w:rPr>
                <w:rFonts w:ascii="Arial" w:hAnsi="Arial" w:cs="Arial"/>
                <w:sz w:val="20"/>
                <w:szCs w:val="20"/>
              </w:rPr>
              <w:t xml:space="preserve"> placebo (68% vs 31%; P&lt;0.001, respectively) at the end of treatment. In addition, mean SGAM scores ± SD increased from baseline to end of treatment in the hydrocodone </w:t>
            </w:r>
            <w:r w:rsidR="005160CE">
              <w:rPr>
                <w:rFonts w:ascii="Arial" w:hAnsi="Arial" w:cs="Arial"/>
                <w:sz w:val="20"/>
                <w:szCs w:val="20"/>
              </w:rPr>
              <w:t>ER</w:t>
            </w:r>
            <w:r w:rsidRPr="006A3A74">
              <w:rPr>
                <w:rFonts w:ascii="Arial" w:hAnsi="Arial" w:cs="Arial"/>
                <w:sz w:val="20"/>
                <w:szCs w:val="20"/>
              </w:rPr>
              <w:t xml:space="preserve"> group versus placebo (0.8 ± 1.3 vs 0.0 ± 1.4; P&lt;0.0001, respectively).</w:t>
            </w:r>
          </w:p>
        </w:tc>
      </w:tr>
      <w:tr w:rsidR="00AE7C5C" w:rsidRPr="00EB2CEC" w:rsidTr="001723DB">
        <w:tc>
          <w:tcPr>
            <w:tcW w:w="2640" w:type="dxa"/>
          </w:tcPr>
          <w:p w:rsidR="00AE7C5C" w:rsidRPr="00EB2CEC" w:rsidRDefault="009D4DE8" w:rsidP="000B3401">
            <w:pPr>
              <w:spacing w:after="0" w:line="240" w:lineRule="auto"/>
              <w:rPr>
                <w:rFonts w:ascii="Arial" w:hAnsi="Arial" w:cs="Arial"/>
                <w:sz w:val="20"/>
                <w:szCs w:val="20"/>
                <w:vertAlign w:val="superscript"/>
              </w:rPr>
            </w:pPr>
            <w:r>
              <w:rPr>
                <w:rFonts w:ascii="Arial" w:hAnsi="Arial" w:cs="Arial"/>
                <w:sz w:val="20"/>
                <w:szCs w:val="20"/>
              </w:rPr>
              <w:t>Product dossier</w:t>
            </w:r>
            <w:r w:rsidR="006A3A74" w:rsidRPr="00EB2CEC">
              <w:rPr>
                <w:rFonts w:ascii="Arial" w:hAnsi="Arial" w:cs="Arial"/>
                <w:sz w:val="20"/>
                <w:szCs w:val="20"/>
              </w:rPr>
              <w:t xml:space="preserve">, </w:t>
            </w:r>
            <w:proofErr w:type="spellStart"/>
            <w:r w:rsidR="006A3A74" w:rsidRPr="00EB2CEC">
              <w:rPr>
                <w:rFonts w:ascii="Arial" w:hAnsi="Arial" w:cs="Arial"/>
                <w:sz w:val="20"/>
                <w:szCs w:val="20"/>
              </w:rPr>
              <w:t>Zogenix</w:t>
            </w:r>
            <w:proofErr w:type="spellEnd"/>
            <w:r w:rsidR="006A3A74" w:rsidRPr="00EB2CEC">
              <w:rPr>
                <w:rFonts w:ascii="Arial" w:hAnsi="Arial" w:cs="Arial"/>
                <w:sz w:val="20"/>
                <w:szCs w:val="20"/>
              </w:rPr>
              <w:t>, Inc.</w:t>
            </w:r>
            <w:r>
              <w:rPr>
                <w:rFonts w:ascii="Arial" w:hAnsi="Arial" w:cs="Arial"/>
                <w:sz w:val="20"/>
                <w:szCs w:val="20"/>
                <w:vertAlign w:val="superscript"/>
              </w:rPr>
              <w:t>2</w:t>
            </w:r>
            <w:r w:rsidR="00626B2F" w:rsidRPr="001C6700">
              <w:rPr>
                <w:rFonts w:ascii="Arial" w:hAnsi="Arial" w:cs="Arial"/>
                <w:sz w:val="20"/>
                <w:szCs w:val="20"/>
              </w:rPr>
              <w:t>*</w:t>
            </w:r>
          </w:p>
          <w:p w:rsidR="006A3A74" w:rsidRPr="00EB2CEC" w:rsidRDefault="006A3A74" w:rsidP="000B3401">
            <w:pPr>
              <w:spacing w:after="0" w:line="240" w:lineRule="auto"/>
              <w:rPr>
                <w:rFonts w:ascii="Arial" w:hAnsi="Arial" w:cs="Arial"/>
                <w:sz w:val="20"/>
                <w:szCs w:val="20"/>
              </w:rPr>
            </w:pPr>
          </w:p>
          <w:p w:rsidR="00AE7C5C" w:rsidRPr="00EB2CEC" w:rsidRDefault="006A3A74" w:rsidP="00D530A0">
            <w:pPr>
              <w:spacing w:after="0" w:line="240" w:lineRule="auto"/>
              <w:rPr>
                <w:rFonts w:ascii="Arial" w:hAnsi="Arial" w:cs="Arial"/>
                <w:sz w:val="20"/>
                <w:szCs w:val="20"/>
              </w:rPr>
            </w:pPr>
            <w:r w:rsidRPr="00EB2CEC">
              <w:rPr>
                <w:rFonts w:ascii="Arial" w:hAnsi="Arial" w:cs="Arial"/>
                <w:sz w:val="20"/>
                <w:szCs w:val="20"/>
              </w:rPr>
              <w:t xml:space="preserve">Hydrocodone </w:t>
            </w:r>
            <w:r w:rsidR="00D530A0" w:rsidRPr="00EB2CEC">
              <w:rPr>
                <w:rFonts w:ascii="Arial" w:hAnsi="Arial" w:cs="Arial"/>
                <w:sz w:val="20"/>
                <w:szCs w:val="20"/>
              </w:rPr>
              <w:t xml:space="preserve">ER </w:t>
            </w:r>
            <w:r w:rsidRPr="00EB2CEC">
              <w:rPr>
                <w:rFonts w:ascii="Arial" w:hAnsi="Arial" w:cs="Arial"/>
                <w:sz w:val="20"/>
                <w:szCs w:val="20"/>
              </w:rPr>
              <w:t>≥ 20 mg every 12 hours</w:t>
            </w:r>
          </w:p>
        </w:tc>
        <w:tc>
          <w:tcPr>
            <w:tcW w:w="1760" w:type="dxa"/>
          </w:tcPr>
          <w:p w:rsidR="00AE7C5C" w:rsidRPr="00EB2CEC" w:rsidRDefault="006A3A74" w:rsidP="000B3401">
            <w:pPr>
              <w:spacing w:after="0" w:line="240" w:lineRule="auto"/>
              <w:rPr>
                <w:rFonts w:ascii="Arial" w:hAnsi="Arial" w:cs="Arial"/>
                <w:sz w:val="20"/>
                <w:szCs w:val="20"/>
              </w:rPr>
            </w:pPr>
            <w:r w:rsidRPr="00EB2CEC">
              <w:rPr>
                <w:rFonts w:ascii="Arial" w:hAnsi="Arial" w:cs="Arial"/>
                <w:sz w:val="20"/>
                <w:szCs w:val="20"/>
              </w:rPr>
              <w:t>MC, OL</w:t>
            </w:r>
          </w:p>
          <w:p w:rsidR="006A3A74" w:rsidRPr="00EB2CEC" w:rsidRDefault="006A3A74" w:rsidP="000B3401">
            <w:pPr>
              <w:spacing w:after="0" w:line="240" w:lineRule="auto"/>
              <w:rPr>
                <w:rFonts w:ascii="Arial" w:hAnsi="Arial" w:cs="Arial"/>
                <w:sz w:val="20"/>
                <w:szCs w:val="20"/>
              </w:rPr>
            </w:pPr>
          </w:p>
          <w:p w:rsidR="00AE7C5C" w:rsidRPr="00EB2CEC" w:rsidRDefault="006A3A74" w:rsidP="00394132">
            <w:pPr>
              <w:spacing w:after="0" w:line="240" w:lineRule="auto"/>
              <w:rPr>
                <w:rFonts w:ascii="Arial" w:hAnsi="Arial" w:cs="Arial"/>
                <w:sz w:val="20"/>
                <w:szCs w:val="20"/>
              </w:rPr>
            </w:pPr>
            <w:r w:rsidRPr="00EB2CEC">
              <w:rPr>
                <w:rFonts w:ascii="Arial" w:hAnsi="Arial" w:cs="Arial"/>
                <w:sz w:val="20"/>
                <w:szCs w:val="20"/>
              </w:rPr>
              <w:t>Patients 18 to 75 years</w:t>
            </w:r>
            <w:r w:rsidR="00394132">
              <w:rPr>
                <w:rFonts w:ascii="Arial" w:hAnsi="Arial" w:cs="Arial"/>
                <w:sz w:val="20"/>
                <w:szCs w:val="20"/>
              </w:rPr>
              <w:t xml:space="preserve"> of age with a </w:t>
            </w:r>
            <w:r w:rsidRPr="00EB2CEC">
              <w:rPr>
                <w:rFonts w:ascii="Arial" w:hAnsi="Arial" w:cs="Arial"/>
                <w:sz w:val="20"/>
                <w:szCs w:val="20"/>
              </w:rPr>
              <w:t>diagnosis of a moderate to severe chronic pain condition, current opioid use at an average daily dose equivalent to ≥ 30 mg hydrocodone</w:t>
            </w:r>
          </w:p>
        </w:tc>
        <w:tc>
          <w:tcPr>
            <w:tcW w:w="1540" w:type="dxa"/>
          </w:tcPr>
          <w:p w:rsidR="00AE7C5C" w:rsidRPr="00EB2CEC" w:rsidRDefault="006A3A74" w:rsidP="000B3401">
            <w:pPr>
              <w:spacing w:after="0" w:line="240" w:lineRule="auto"/>
              <w:jc w:val="center"/>
              <w:rPr>
                <w:rFonts w:ascii="Arial" w:hAnsi="Arial" w:cs="Arial"/>
                <w:sz w:val="20"/>
                <w:szCs w:val="20"/>
              </w:rPr>
            </w:pPr>
            <w:r w:rsidRPr="00EB2CEC">
              <w:rPr>
                <w:rFonts w:ascii="Arial" w:hAnsi="Arial" w:cs="Arial"/>
                <w:sz w:val="20"/>
                <w:szCs w:val="20"/>
              </w:rPr>
              <w:t>N=638</w:t>
            </w:r>
          </w:p>
          <w:p w:rsidR="006A3A74" w:rsidRPr="00EB2CEC" w:rsidRDefault="006A3A74" w:rsidP="000B3401">
            <w:pPr>
              <w:spacing w:after="0" w:line="240" w:lineRule="auto"/>
              <w:jc w:val="center"/>
              <w:rPr>
                <w:rFonts w:ascii="Arial" w:hAnsi="Arial" w:cs="Arial"/>
                <w:sz w:val="20"/>
                <w:szCs w:val="20"/>
              </w:rPr>
            </w:pPr>
          </w:p>
          <w:p w:rsidR="00AE7C5C" w:rsidRPr="00EB2CEC" w:rsidRDefault="006A3A74" w:rsidP="000B3401">
            <w:pPr>
              <w:spacing w:after="0" w:line="240" w:lineRule="auto"/>
              <w:jc w:val="center"/>
              <w:rPr>
                <w:rFonts w:ascii="Arial" w:hAnsi="Arial" w:cs="Arial"/>
                <w:sz w:val="20"/>
                <w:szCs w:val="20"/>
              </w:rPr>
            </w:pPr>
            <w:r w:rsidRPr="00EB2CEC">
              <w:rPr>
                <w:rFonts w:ascii="Arial" w:hAnsi="Arial" w:cs="Arial"/>
                <w:sz w:val="20"/>
                <w:szCs w:val="20"/>
              </w:rPr>
              <w:t>48 weeks</w:t>
            </w:r>
          </w:p>
        </w:tc>
        <w:tc>
          <w:tcPr>
            <w:tcW w:w="1760" w:type="dxa"/>
          </w:tcPr>
          <w:p w:rsidR="00AE7C5C" w:rsidRPr="00EB2CEC" w:rsidRDefault="00AE7C5C" w:rsidP="000B3401">
            <w:pPr>
              <w:spacing w:after="0" w:line="240" w:lineRule="auto"/>
              <w:rPr>
                <w:rFonts w:ascii="Arial" w:hAnsi="Arial" w:cs="Arial"/>
                <w:sz w:val="20"/>
                <w:szCs w:val="20"/>
              </w:rPr>
            </w:pPr>
            <w:r w:rsidRPr="00EB2CEC">
              <w:rPr>
                <w:rFonts w:ascii="Arial" w:hAnsi="Arial" w:cs="Arial"/>
                <w:sz w:val="20"/>
                <w:szCs w:val="20"/>
              </w:rPr>
              <w:t>Primary:</w:t>
            </w:r>
          </w:p>
          <w:p w:rsidR="00AE7C5C" w:rsidRPr="00EB2CEC" w:rsidRDefault="006A3A74" w:rsidP="000B3401">
            <w:pPr>
              <w:spacing w:after="0" w:line="240" w:lineRule="auto"/>
              <w:rPr>
                <w:rFonts w:ascii="Arial" w:hAnsi="Arial" w:cs="Arial"/>
                <w:sz w:val="20"/>
                <w:szCs w:val="20"/>
              </w:rPr>
            </w:pPr>
            <w:r w:rsidRPr="00EB2CEC">
              <w:rPr>
                <w:rFonts w:ascii="Arial" w:hAnsi="Arial" w:cs="Arial"/>
                <w:sz w:val="20"/>
                <w:szCs w:val="20"/>
              </w:rPr>
              <w:t>Safety and tolerability</w:t>
            </w:r>
          </w:p>
          <w:p w:rsidR="006A3A74" w:rsidRPr="00EB2CEC" w:rsidRDefault="006A3A74" w:rsidP="000B3401">
            <w:pPr>
              <w:spacing w:after="0" w:line="240" w:lineRule="auto"/>
              <w:rPr>
                <w:rFonts w:ascii="Arial" w:hAnsi="Arial" w:cs="Arial"/>
                <w:sz w:val="20"/>
                <w:szCs w:val="20"/>
              </w:rPr>
            </w:pPr>
          </w:p>
          <w:p w:rsidR="00AE7C5C" w:rsidRPr="00EB2CEC" w:rsidRDefault="00AE7C5C" w:rsidP="000B3401">
            <w:pPr>
              <w:spacing w:after="0" w:line="240" w:lineRule="auto"/>
              <w:rPr>
                <w:rFonts w:ascii="Arial" w:hAnsi="Arial" w:cs="Arial"/>
                <w:sz w:val="20"/>
                <w:szCs w:val="20"/>
              </w:rPr>
            </w:pPr>
            <w:r w:rsidRPr="00EB2CEC">
              <w:rPr>
                <w:rFonts w:ascii="Arial" w:hAnsi="Arial" w:cs="Arial"/>
                <w:sz w:val="20"/>
                <w:szCs w:val="20"/>
              </w:rPr>
              <w:t>Secondary:</w:t>
            </w:r>
          </w:p>
          <w:p w:rsidR="00AE7C5C" w:rsidRPr="00EB2CEC" w:rsidRDefault="006A3A74" w:rsidP="000B3401">
            <w:pPr>
              <w:spacing w:after="0" w:line="240" w:lineRule="auto"/>
              <w:rPr>
                <w:rFonts w:ascii="Arial" w:hAnsi="Arial" w:cs="Arial"/>
                <w:sz w:val="20"/>
                <w:szCs w:val="20"/>
              </w:rPr>
            </w:pPr>
            <w:r w:rsidRPr="00EB2CEC">
              <w:rPr>
                <w:rFonts w:ascii="Arial" w:hAnsi="Arial" w:cs="Arial"/>
                <w:sz w:val="20"/>
                <w:szCs w:val="20"/>
              </w:rPr>
              <w:t>Mean daily PI scores at screening, baseline and end of treatment</w:t>
            </w:r>
          </w:p>
        </w:tc>
        <w:tc>
          <w:tcPr>
            <w:tcW w:w="6030" w:type="dxa"/>
          </w:tcPr>
          <w:p w:rsidR="00AE7C5C" w:rsidRPr="00EB2CEC" w:rsidRDefault="00AE7C5C" w:rsidP="000B3401">
            <w:pPr>
              <w:spacing w:after="0" w:line="240" w:lineRule="auto"/>
              <w:rPr>
                <w:rFonts w:ascii="Arial" w:hAnsi="Arial" w:cs="Arial"/>
                <w:sz w:val="20"/>
                <w:szCs w:val="20"/>
              </w:rPr>
            </w:pPr>
            <w:r w:rsidRPr="00EB2CEC">
              <w:rPr>
                <w:rFonts w:ascii="Arial" w:hAnsi="Arial" w:cs="Arial"/>
                <w:sz w:val="20"/>
                <w:szCs w:val="20"/>
              </w:rPr>
              <w:t>Primary:</w:t>
            </w:r>
          </w:p>
          <w:p w:rsidR="00AE7C5C" w:rsidRPr="00EB2CEC" w:rsidRDefault="006A3A74" w:rsidP="000B3401">
            <w:pPr>
              <w:spacing w:after="0" w:line="240" w:lineRule="auto"/>
              <w:rPr>
                <w:rFonts w:ascii="Arial" w:hAnsi="Arial" w:cs="Arial"/>
                <w:sz w:val="20"/>
                <w:szCs w:val="20"/>
              </w:rPr>
            </w:pPr>
            <w:r w:rsidRPr="00EB2CEC">
              <w:rPr>
                <w:rFonts w:ascii="Arial" w:hAnsi="Arial" w:cs="Arial"/>
                <w:sz w:val="20"/>
                <w:szCs w:val="20"/>
              </w:rPr>
              <w:t>Adverse events that occurred in ≥ 5% of subjects in the safety population were constipation, nausea, headache and somnolence. There were four reported deaths during the study. None of the deaths were considered to be related to treatment.</w:t>
            </w:r>
          </w:p>
          <w:p w:rsidR="006A3A74" w:rsidRPr="00EB2CEC" w:rsidRDefault="006A3A74" w:rsidP="000B3401">
            <w:pPr>
              <w:spacing w:after="0" w:line="240" w:lineRule="auto"/>
              <w:rPr>
                <w:rFonts w:ascii="Arial" w:hAnsi="Arial" w:cs="Arial"/>
                <w:sz w:val="20"/>
                <w:szCs w:val="20"/>
              </w:rPr>
            </w:pPr>
          </w:p>
          <w:p w:rsidR="00AE7C5C" w:rsidRPr="00EB2CEC" w:rsidRDefault="00AE7C5C" w:rsidP="000B3401">
            <w:pPr>
              <w:spacing w:after="0" w:line="240" w:lineRule="auto"/>
              <w:rPr>
                <w:rFonts w:ascii="Arial" w:hAnsi="Arial" w:cs="Arial"/>
                <w:sz w:val="20"/>
                <w:szCs w:val="20"/>
              </w:rPr>
            </w:pPr>
            <w:r w:rsidRPr="00EB2CEC">
              <w:rPr>
                <w:rFonts w:ascii="Arial" w:hAnsi="Arial" w:cs="Arial"/>
                <w:sz w:val="20"/>
                <w:szCs w:val="20"/>
              </w:rPr>
              <w:t>Secondary:</w:t>
            </w:r>
          </w:p>
          <w:p w:rsidR="00AE7C5C" w:rsidRPr="00EB2CEC" w:rsidRDefault="006A3A74" w:rsidP="000B3401">
            <w:pPr>
              <w:spacing w:after="0" w:line="240" w:lineRule="auto"/>
              <w:rPr>
                <w:rFonts w:ascii="Arial" w:hAnsi="Arial" w:cs="Arial"/>
                <w:sz w:val="20"/>
                <w:szCs w:val="20"/>
              </w:rPr>
            </w:pPr>
            <w:r w:rsidRPr="00EB2CEC">
              <w:rPr>
                <w:rFonts w:ascii="Arial" w:hAnsi="Arial" w:cs="Arial"/>
                <w:sz w:val="20"/>
                <w:szCs w:val="20"/>
              </w:rPr>
              <w:t>The mean PI score at screening (prior to conversion/titration) was 6.4, 3.1 at baseline (begin of treatment phase) and 4.0 at the end of treatment.</w:t>
            </w:r>
          </w:p>
        </w:tc>
      </w:tr>
    </w:tbl>
    <w:p w:rsidR="00632C79" w:rsidRPr="00EB2CEC" w:rsidRDefault="00B26475" w:rsidP="00B26475">
      <w:pPr>
        <w:pStyle w:val="BodyTextIndent"/>
        <w:ind w:left="-810"/>
        <w:rPr>
          <w:rFonts w:ascii="Arial" w:hAnsi="Arial" w:cs="Arial"/>
          <w:sz w:val="16"/>
          <w:szCs w:val="16"/>
        </w:rPr>
      </w:pPr>
      <w:r w:rsidRPr="00EB2CEC">
        <w:rPr>
          <w:rFonts w:ascii="Arial" w:hAnsi="Arial" w:cs="Arial"/>
          <w:sz w:val="16"/>
          <w:szCs w:val="16"/>
        </w:rPr>
        <w:t>*</w:t>
      </w:r>
      <w:r w:rsidR="00632C79" w:rsidRPr="00EB2CEC">
        <w:rPr>
          <w:rFonts w:ascii="Arial" w:hAnsi="Arial" w:cs="Arial"/>
          <w:sz w:val="16"/>
          <w:szCs w:val="16"/>
        </w:rPr>
        <w:t xml:space="preserve">Trial is registered on ClinicalTrials.gov </w:t>
      </w:r>
    </w:p>
    <w:p w:rsidR="00991D2F" w:rsidRPr="00EB2CEC" w:rsidRDefault="00991D2F" w:rsidP="00B26475">
      <w:pPr>
        <w:pStyle w:val="BodyTextIndent"/>
        <w:ind w:left="-810"/>
        <w:rPr>
          <w:rFonts w:ascii="Arial" w:hAnsi="Arial" w:cs="Arial"/>
          <w:sz w:val="16"/>
          <w:szCs w:val="16"/>
        </w:rPr>
      </w:pPr>
      <w:r w:rsidRPr="00EB2CEC">
        <w:rPr>
          <w:rFonts w:ascii="Arial" w:hAnsi="Arial" w:cs="Arial"/>
          <w:sz w:val="16"/>
          <w:szCs w:val="16"/>
        </w:rPr>
        <w:t>†No comparative data provided for placebo</w:t>
      </w:r>
    </w:p>
    <w:p w:rsidR="00150F67" w:rsidRPr="00EB2CEC" w:rsidRDefault="00356F51" w:rsidP="00856832">
      <w:pPr>
        <w:spacing w:after="0" w:line="240" w:lineRule="auto"/>
        <w:ind w:left="-770"/>
        <w:rPr>
          <w:rFonts w:ascii="Arial" w:hAnsi="Arial" w:cs="Arial"/>
          <w:color w:val="000000"/>
          <w:sz w:val="16"/>
          <w:szCs w:val="16"/>
        </w:rPr>
      </w:pPr>
      <w:r w:rsidRPr="00EB2CEC">
        <w:rPr>
          <w:rFonts w:ascii="Arial" w:hAnsi="Arial" w:cs="Arial"/>
          <w:color w:val="000000"/>
          <w:sz w:val="16"/>
          <w:szCs w:val="16"/>
        </w:rPr>
        <w:t>Study abbreviations:</w:t>
      </w:r>
      <w:r w:rsidR="00150F67" w:rsidRPr="00EB2CEC">
        <w:rPr>
          <w:rFonts w:ascii="Arial" w:hAnsi="Arial" w:cs="Arial"/>
          <w:color w:val="000000"/>
          <w:sz w:val="16"/>
          <w:szCs w:val="16"/>
        </w:rPr>
        <w:t xml:space="preserve"> DB</w:t>
      </w:r>
      <w:r w:rsidR="00150F67" w:rsidRPr="00EB2CEC">
        <w:rPr>
          <w:rFonts w:ascii="Arial" w:hAnsi="Arial" w:cs="Arial"/>
          <w:i/>
          <w:color w:val="000000"/>
          <w:sz w:val="16"/>
          <w:szCs w:val="16"/>
        </w:rPr>
        <w:t>=</w:t>
      </w:r>
      <w:r w:rsidR="00150F67" w:rsidRPr="00EB2CEC">
        <w:rPr>
          <w:rFonts w:ascii="Arial" w:hAnsi="Arial" w:cs="Arial"/>
          <w:color w:val="000000"/>
          <w:sz w:val="16"/>
          <w:szCs w:val="16"/>
        </w:rPr>
        <w:t>double-blind,</w:t>
      </w:r>
      <w:r w:rsidR="00324FD1" w:rsidRPr="00EB2CEC">
        <w:rPr>
          <w:rFonts w:ascii="Arial" w:hAnsi="Arial" w:cs="Arial"/>
          <w:color w:val="000000"/>
          <w:sz w:val="16"/>
          <w:szCs w:val="16"/>
        </w:rPr>
        <w:t xml:space="preserve"> </w:t>
      </w:r>
      <w:r w:rsidR="00150F67" w:rsidRPr="00EB2CEC">
        <w:rPr>
          <w:rFonts w:ascii="Arial" w:hAnsi="Arial" w:cs="Arial"/>
          <w:color w:val="000000"/>
          <w:sz w:val="16"/>
          <w:szCs w:val="16"/>
        </w:rPr>
        <w:t xml:space="preserve">MC=multicenter, </w:t>
      </w:r>
      <w:r w:rsidR="00626B2F" w:rsidRPr="00EB2CEC">
        <w:rPr>
          <w:rFonts w:ascii="Arial" w:hAnsi="Arial" w:cs="Arial"/>
          <w:color w:val="000000"/>
          <w:sz w:val="16"/>
          <w:szCs w:val="16"/>
        </w:rPr>
        <w:t xml:space="preserve">OL=open-label, </w:t>
      </w:r>
      <w:r w:rsidR="00150F67" w:rsidRPr="00EB2CEC">
        <w:rPr>
          <w:rFonts w:ascii="Arial" w:hAnsi="Arial" w:cs="Arial"/>
          <w:color w:val="000000"/>
          <w:sz w:val="16"/>
          <w:szCs w:val="16"/>
        </w:rPr>
        <w:t>PC</w:t>
      </w:r>
      <w:r w:rsidR="00150F67" w:rsidRPr="00EB2CEC">
        <w:rPr>
          <w:rFonts w:ascii="Arial" w:hAnsi="Arial" w:cs="Arial"/>
          <w:i/>
          <w:color w:val="000000"/>
          <w:sz w:val="16"/>
          <w:szCs w:val="16"/>
        </w:rPr>
        <w:t>=</w:t>
      </w:r>
      <w:r w:rsidR="00150F67" w:rsidRPr="00EB2CEC">
        <w:rPr>
          <w:rFonts w:ascii="Arial" w:hAnsi="Arial" w:cs="Arial"/>
          <w:color w:val="000000"/>
          <w:sz w:val="16"/>
          <w:szCs w:val="16"/>
        </w:rPr>
        <w:t>placebo-controlled, RCT</w:t>
      </w:r>
      <w:r w:rsidR="00150F67" w:rsidRPr="00EB2CEC">
        <w:rPr>
          <w:rFonts w:ascii="Arial" w:hAnsi="Arial" w:cs="Arial"/>
          <w:i/>
          <w:color w:val="000000"/>
          <w:sz w:val="16"/>
          <w:szCs w:val="16"/>
        </w:rPr>
        <w:t>=</w:t>
      </w:r>
      <w:r w:rsidR="00150F67" w:rsidRPr="00EB2CEC">
        <w:rPr>
          <w:rFonts w:ascii="Arial" w:hAnsi="Arial" w:cs="Arial"/>
          <w:color w:val="000000"/>
          <w:sz w:val="16"/>
          <w:szCs w:val="16"/>
        </w:rPr>
        <w:t xml:space="preserve">randomized controlled trial, </w:t>
      </w:r>
      <w:r w:rsidR="00B26475" w:rsidRPr="00EB2CEC">
        <w:rPr>
          <w:rFonts w:ascii="Arial" w:hAnsi="Arial" w:cs="Arial"/>
          <w:color w:val="000000"/>
          <w:sz w:val="16"/>
          <w:szCs w:val="16"/>
        </w:rPr>
        <w:t>SD=standard deviation</w:t>
      </w:r>
    </w:p>
    <w:p w:rsidR="00632C79" w:rsidRPr="00EB2CEC" w:rsidRDefault="00B26475" w:rsidP="008620F8">
      <w:pPr>
        <w:spacing w:after="0" w:line="240" w:lineRule="auto"/>
        <w:ind w:left="-770"/>
        <w:rPr>
          <w:rFonts w:ascii="Arial" w:hAnsi="Arial" w:cs="Arial"/>
          <w:b/>
          <w:u w:val="single"/>
        </w:rPr>
        <w:sectPr w:rsidR="00632C79" w:rsidRPr="00EB2CEC" w:rsidSect="00162B15">
          <w:footerReference w:type="default" r:id="rId13"/>
          <w:pgSz w:w="15840" w:h="12240" w:orient="landscape" w:code="1"/>
          <w:pgMar w:top="1440" w:right="1440" w:bottom="1440" w:left="1440" w:header="720" w:footer="720" w:gutter="0"/>
          <w:cols w:space="720"/>
          <w:docGrid w:linePitch="360"/>
        </w:sectPr>
      </w:pPr>
      <w:r w:rsidRPr="00EB2CEC">
        <w:rPr>
          <w:rFonts w:ascii="Arial" w:hAnsi="Arial" w:cs="Arial"/>
          <w:color w:val="000000"/>
          <w:sz w:val="16"/>
          <w:szCs w:val="16"/>
        </w:rPr>
        <w:t>Other abbr</w:t>
      </w:r>
      <w:r w:rsidR="006A5600" w:rsidRPr="00EB2CEC">
        <w:rPr>
          <w:rFonts w:ascii="Arial" w:hAnsi="Arial" w:cs="Arial"/>
          <w:color w:val="000000"/>
          <w:sz w:val="16"/>
          <w:szCs w:val="16"/>
        </w:rPr>
        <w:t>eviations: ER=extended-release</w:t>
      </w:r>
      <w:r w:rsidR="008620F8" w:rsidRPr="00EB2CEC">
        <w:rPr>
          <w:rFonts w:ascii="Arial" w:hAnsi="Arial" w:cs="Arial"/>
          <w:color w:val="000000"/>
          <w:sz w:val="16"/>
          <w:szCs w:val="16"/>
        </w:rPr>
        <w:t xml:space="preserve">, NRS=numerical rating scale, PI=pain intensity, </w:t>
      </w:r>
      <w:r w:rsidR="006A5600" w:rsidRPr="00EB2CEC">
        <w:rPr>
          <w:rFonts w:ascii="Arial" w:hAnsi="Arial" w:cs="Arial"/>
          <w:color w:val="000000"/>
          <w:sz w:val="16"/>
          <w:szCs w:val="16"/>
        </w:rPr>
        <w:t>SGAM=Subject Global Assessment of Medication</w:t>
      </w:r>
    </w:p>
    <w:p w:rsidR="00AE32D7" w:rsidRPr="0005363E" w:rsidRDefault="00AE32D7" w:rsidP="00AE32D7">
      <w:pPr>
        <w:pStyle w:val="NoSpacing"/>
        <w:rPr>
          <w:rFonts w:ascii="Arial" w:hAnsi="Arial" w:cs="Arial"/>
          <w:b/>
          <w:sz w:val="20"/>
          <w:szCs w:val="20"/>
          <w:u w:val="single"/>
        </w:rPr>
      </w:pPr>
      <w:bookmarkStart w:id="2" w:name="SpecialPopulations"/>
      <w:r w:rsidRPr="0005363E">
        <w:rPr>
          <w:rFonts w:ascii="Arial" w:hAnsi="Arial" w:cs="Arial"/>
          <w:b/>
          <w:sz w:val="20"/>
          <w:szCs w:val="20"/>
          <w:u w:val="single"/>
        </w:rPr>
        <w:lastRenderedPageBreak/>
        <w:t>Pharmacokinetics</w:t>
      </w:r>
      <w:r w:rsidR="00A1361E" w:rsidRPr="0005363E">
        <w:rPr>
          <w:rFonts w:ascii="Arial" w:hAnsi="Arial" w:cs="Arial"/>
          <w:b/>
          <w:sz w:val="20"/>
          <w:szCs w:val="20"/>
          <w:u w:val="single"/>
        </w:rPr>
        <w:t>/Pharmacogenomics</w:t>
      </w:r>
    </w:p>
    <w:p w:rsidR="007009D6" w:rsidRPr="0005363E" w:rsidRDefault="007009D6" w:rsidP="00AE32D7">
      <w:pPr>
        <w:pStyle w:val="NoSpacing"/>
        <w:rPr>
          <w:rFonts w:ascii="Arial" w:hAnsi="Arial" w:cs="Arial"/>
          <w:b/>
          <w:i/>
          <w:sz w:val="20"/>
          <w:szCs w:val="20"/>
        </w:rPr>
      </w:pPr>
    </w:p>
    <w:p w:rsidR="00AE32D7" w:rsidRPr="0005363E" w:rsidRDefault="007009D6" w:rsidP="00AE32D7">
      <w:pPr>
        <w:pStyle w:val="NoSpacing"/>
        <w:rPr>
          <w:rFonts w:ascii="Arial" w:hAnsi="Arial" w:cs="Arial"/>
          <w:i/>
          <w:sz w:val="20"/>
          <w:szCs w:val="20"/>
        </w:rPr>
      </w:pPr>
      <w:r w:rsidRPr="0005363E">
        <w:rPr>
          <w:rFonts w:ascii="Arial" w:hAnsi="Arial" w:cs="Arial"/>
          <w:i/>
          <w:sz w:val="20"/>
          <w:szCs w:val="20"/>
        </w:rPr>
        <w:t>Absorption</w:t>
      </w:r>
    </w:p>
    <w:p w:rsidR="007009D6" w:rsidRPr="004C21F2" w:rsidRDefault="007009D6" w:rsidP="00AE32D7">
      <w:pPr>
        <w:pStyle w:val="NoSpacing"/>
        <w:rPr>
          <w:rFonts w:ascii="Arial" w:hAnsi="Arial" w:cs="Arial"/>
          <w:sz w:val="20"/>
          <w:szCs w:val="20"/>
        </w:rPr>
      </w:pPr>
      <w:r w:rsidRPr="0005363E">
        <w:rPr>
          <w:rFonts w:ascii="Arial" w:hAnsi="Arial" w:cs="Arial"/>
          <w:sz w:val="20"/>
          <w:szCs w:val="20"/>
        </w:rPr>
        <w:t xml:space="preserve">The </w:t>
      </w:r>
      <w:r w:rsidR="00F36995" w:rsidRPr="0005363E">
        <w:rPr>
          <w:rFonts w:ascii="Arial" w:hAnsi="Arial" w:cs="Arial"/>
          <w:sz w:val="20"/>
          <w:szCs w:val="20"/>
        </w:rPr>
        <w:t>time to peak plasma concentration (</w:t>
      </w:r>
      <w:proofErr w:type="spellStart"/>
      <w:r w:rsidRPr="0005363E">
        <w:rPr>
          <w:rFonts w:ascii="Arial" w:hAnsi="Arial" w:cs="Arial"/>
          <w:sz w:val="20"/>
          <w:szCs w:val="20"/>
        </w:rPr>
        <w:t>T</w:t>
      </w:r>
      <w:r w:rsidRPr="0005363E">
        <w:rPr>
          <w:rFonts w:ascii="Arial" w:hAnsi="Arial" w:cs="Arial"/>
          <w:sz w:val="20"/>
          <w:szCs w:val="20"/>
          <w:vertAlign w:val="subscript"/>
        </w:rPr>
        <w:t>max</w:t>
      </w:r>
      <w:proofErr w:type="spellEnd"/>
      <w:r w:rsidR="00F36995" w:rsidRPr="0005363E">
        <w:rPr>
          <w:rFonts w:ascii="Arial" w:hAnsi="Arial" w:cs="Arial"/>
          <w:sz w:val="20"/>
          <w:szCs w:val="20"/>
        </w:rPr>
        <w:t>)</w:t>
      </w:r>
      <w:r w:rsidRPr="0005363E">
        <w:rPr>
          <w:rFonts w:ascii="Arial" w:hAnsi="Arial" w:cs="Arial"/>
          <w:sz w:val="20"/>
          <w:szCs w:val="20"/>
        </w:rPr>
        <w:t xml:space="preserve"> for </w:t>
      </w:r>
      <w:proofErr w:type="spellStart"/>
      <w:r w:rsidR="0005363E" w:rsidRPr="0005363E">
        <w:rPr>
          <w:rFonts w:ascii="Arial" w:hAnsi="Arial" w:cs="Arial"/>
          <w:sz w:val="20"/>
          <w:szCs w:val="20"/>
        </w:rPr>
        <w:t>Zohydro</w:t>
      </w:r>
      <w:proofErr w:type="spellEnd"/>
      <w:r w:rsidRPr="0005363E">
        <w:rPr>
          <w:rFonts w:ascii="Arial" w:hAnsi="Arial" w:cs="Arial"/>
          <w:sz w:val="20"/>
          <w:szCs w:val="20"/>
        </w:rPr>
        <w:t xml:space="preserve"> ER</w:t>
      </w:r>
      <w:r w:rsidR="00DD0557" w:rsidRPr="0005363E">
        <w:rPr>
          <w:rFonts w:ascii="Arial" w:hAnsi="Arial" w:cs="Arial"/>
          <w:sz w:val="20"/>
          <w:szCs w:val="20"/>
          <w:vertAlign w:val="superscript"/>
        </w:rPr>
        <w:t>®</w:t>
      </w:r>
      <w:r w:rsidRPr="0005363E">
        <w:rPr>
          <w:rFonts w:ascii="Arial" w:hAnsi="Arial" w:cs="Arial"/>
          <w:sz w:val="20"/>
          <w:szCs w:val="20"/>
        </w:rPr>
        <w:t xml:space="preserve"> (hydrocodone extended-release) was observed to be </w:t>
      </w:r>
      <w:r w:rsidR="0005363E" w:rsidRPr="0005363E">
        <w:rPr>
          <w:rFonts w:ascii="Arial" w:hAnsi="Arial" w:cs="Arial"/>
          <w:sz w:val="20"/>
          <w:szCs w:val="20"/>
        </w:rPr>
        <w:t>approximately five hours after dose administration</w:t>
      </w:r>
      <w:r w:rsidR="00C574FF" w:rsidRPr="0005363E">
        <w:rPr>
          <w:rFonts w:ascii="Arial" w:hAnsi="Arial" w:cs="Arial"/>
          <w:sz w:val="20"/>
          <w:szCs w:val="20"/>
        </w:rPr>
        <w:t>.</w:t>
      </w:r>
      <w:r w:rsidR="00EC25BC">
        <w:rPr>
          <w:rFonts w:ascii="Arial" w:hAnsi="Arial" w:cs="Arial"/>
          <w:sz w:val="20"/>
          <w:szCs w:val="20"/>
        </w:rPr>
        <w:t xml:space="preserve"> </w:t>
      </w:r>
      <w:r w:rsidR="004C21F2">
        <w:rPr>
          <w:rFonts w:ascii="Arial" w:hAnsi="Arial" w:cs="Arial"/>
          <w:sz w:val="20"/>
          <w:szCs w:val="20"/>
        </w:rPr>
        <w:t xml:space="preserve">Food has no significant effect on the extent of absorption of </w:t>
      </w:r>
      <w:proofErr w:type="spellStart"/>
      <w:r w:rsidR="004C21F2" w:rsidRPr="0005363E">
        <w:rPr>
          <w:rFonts w:ascii="Arial" w:hAnsi="Arial" w:cs="Arial"/>
          <w:sz w:val="20"/>
          <w:szCs w:val="20"/>
        </w:rPr>
        <w:t>Zohydro</w:t>
      </w:r>
      <w:proofErr w:type="spellEnd"/>
      <w:r w:rsidR="004C21F2" w:rsidRPr="0005363E">
        <w:rPr>
          <w:rFonts w:ascii="Arial" w:hAnsi="Arial" w:cs="Arial"/>
          <w:sz w:val="20"/>
          <w:szCs w:val="20"/>
        </w:rPr>
        <w:t xml:space="preserve"> ER</w:t>
      </w:r>
      <w:r w:rsidR="00DD0557" w:rsidRPr="0005363E">
        <w:rPr>
          <w:rFonts w:ascii="Arial" w:hAnsi="Arial" w:cs="Arial"/>
          <w:sz w:val="20"/>
          <w:szCs w:val="20"/>
          <w:vertAlign w:val="superscript"/>
        </w:rPr>
        <w:t>®</w:t>
      </w:r>
      <w:r w:rsidR="004C21F2" w:rsidRPr="0005363E">
        <w:rPr>
          <w:rFonts w:ascii="Arial" w:hAnsi="Arial" w:cs="Arial"/>
          <w:sz w:val="20"/>
          <w:szCs w:val="20"/>
        </w:rPr>
        <w:t xml:space="preserve"> (hydrocodone extended-release)</w:t>
      </w:r>
      <w:r w:rsidR="004C21F2">
        <w:rPr>
          <w:rFonts w:ascii="Arial" w:hAnsi="Arial" w:cs="Arial"/>
          <w:sz w:val="20"/>
          <w:szCs w:val="20"/>
        </w:rPr>
        <w:t xml:space="preserve">. The rate of absorption of </w:t>
      </w:r>
      <w:proofErr w:type="spellStart"/>
      <w:r w:rsidR="004C21F2" w:rsidRPr="0005363E">
        <w:rPr>
          <w:rFonts w:ascii="Arial" w:hAnsi="Arial" w:cs="Arial"/>
          <w:sz w:val="20"/>
          <w:szCs w:val="20"/>
        </w:rPr>
        <w:t>Zohydro</w:t>
      </w:r>
      <w:proofErr w:type="spellEnd"/>
      <w:r w:rsidR="004C21F2" w:rsidRPr="0005363E">
        <w:rPr>
          <w:rFonts w:ascii="Arial" w:hAnsi="Arial" w:cs="Arial"/>
          <w:sz w:val="20"/>
          <w:szCs w:val="20"/>
        </w:rPr>
        <w:t xml:space="preserve"> ER</w:t>
      </w:r>
      <w:r w:rsidR="00DD0557" w:rsidRPr="0005363E">
        <w:rPr>
          <w:rFonts w:ascii="Arial" w:hAnsi="Arial" w:cs="Arial"/>
          <w:sz w:val="20"/>
          <w:szCs w:val="20"/>
          <w:vertAlign w:val="superscript"/>
        </w:rPr>
        <w:t>®</w:t>
      </w:r>
      <w:r w:rsidR="004C21F2" w:rsidRPr="0005363E">
        <w:rPr>
          <w:rFonts w:ascii="Arial" w:hAnsi="Arial" w:cs="Arial"/>
          <w:sz w:val="20"/>
          <w:szCs w:val="20"/>
        </w:rPr>
        <w:t xml:space="preserve"> (hydrocodone extended-release)</w:t>
      </w:r>
      <w:r w:rsidR="004C21F2">
        <w:rPr>
          <w:rFonts w:ascii="Arial" w:hAnsi="Arial" w:cs="Arial"/>
          <w:sz w:val="20"/>
          <w:szCs w:val="20"/>
        </w:rPr>
        <w:t xml:space="preserve"> increases</w:t>
      </w:r>
      <w:r w:rsidR="008459A1">
        <w:rPr>
          <w:rFonts w:ascii="Arial" w:hAnsi="Arial" w:cs="Arial"/>
          <w:sz w:val="20"/>
          <w:szCs w:val="20"/>
        </w:rPr>
        <w:t xml:space="preserve"> with 40% alcohol </w:t>
      </w:r>
      <w:proofErr w:type="spellStart"/>
      <w:r w:rsidR="00CA376D">
        <w:rPr>
          <w:rFonts w:ascii="Arial" w:hAnsi="Arial" w:cs="Arial"/>
          <w:sz w:val="20"/>
          <w:szCs w:val="20"/>
        </w:rPr>
        <w:t>coadministratio</w:t>
      </w:r>
      <w:r w:rsidR="008459A1">
        <w:rPr>
          <w:rFonts w:ascii="Arial" w:hAnsi="Arial" w:cs="Arial"/>
          <w:sz w:val="20"/>
          <w:szCs w:val="20"/>
        </w:rPr>
        <w:t>n</w:t>
      </w:r>
      <w:proofErr w:type="spellEnd"/>
      <w:r w:rsidR="008459A1">
        <w:rPr>
          <w:rFonts w:ascii="Arial" w:hAnsi="Arial" w:cs="Arial"/>
          <w:sz w:val="20"/>
          <w:szCs w:val="20"/>
        </w:rPr>
        <w:t xml:space="preserve"> in the fasted state, thereby increasing the peak hydrocodone concentration in patients. </w:t>
      </w:r>
      <w:r w:rsidR="004C21F2">
        <w:rPr>
          <w:rFonts w:ascii="Arial" w:hAnsi="Arial" w:cs="Arial"/>
          <w:sz w:val="20"/>
          <w:szCs w:val="20"/>
        </w:rPr>
        <w:t xml:space="preserve">Prescribing information for </w:t>
      </w:r>
      <w:proofErr w:type="spellStart"/>
      <w:r w:rsidR="004C21F2" w:rsidRPr="0005363E">
        <w:rPr>
          <w:rFonts w:ascii="Arial" w:hAnsi="Arial" w:cs="Arial"/>
          <w:sz w:val="20"/>
          <w:szCs w:val="20"/>
        </w:rPr>
        <w:t>Zohydro</w:t>
      </w:r>
      <w:proofErr w:type="spellEnd"/>
      <w:r w:rsidR="004C21F2" w:rsidRPr="0005363E">
        <w:rPr>
          <w:rFonts w:ascii="Arial" w:hAnsi="Arial" w:cs="Arial"/>
          <w:sz w:val="20"/>
          <w:szCs w:val="20"/>
        </w:rPr>
        <w:t xml:space="preserve"> ER</w:t>
      </w:r>
      <w:r w:rsidR="00AE5757" w:rsidRPr="0005363E">
        <w:rPr>
          <w:rFonts w:ascii="Arial" w:hAnsi="Arial" w:cs="Arial"/>
          <w:sz w:val="20"/>
          <w:szCs w:val="20"/>
          <w:vertAlign w:val="superscript"/>
        </w:rPr>
        <w:t>®</w:t>
      </w:r>
      <w:r w:rsidR="004C21F2" w:rsidRPr="0005363E">
        <w:rPr>
          <w:rFonts w:ascii="Arial" w:hAnsi="Arial" w:cs="Arial"/>
          <w:sz w:val="20"/>
          <w:szCs w:val="20"/>
        </w:rPr>
        <w:t xml:space="preserve"> (hydrocodone extended-release)</w:t>
      </w:r>
      <w:r w:rsidR="004C21F2">
        <w:rPr>
          <w:rFonts w:ascii="Arial" w:hAnsi="Arial" w:cs="Arial"/>
          <w:sz w:val="20"/>
          <w:szCs w:val="20"/>
        </w:rPr>
        <w:t xml:space="preserve"> does not provide the percent oral bioavailability for this product.</w:t>
      </w:r>
      <w:r w:rsidR="00EC25BC" w:rsidRPr="00EC25BC">
        <w:rPr>
          <w:rFonts w:ascii="Arial" w:hAnsi="Arial" w:cs="Arial"/>
          <w:sz w:val="20"/>
          <w:szCs w:val="20"/>
          <w:vertAlign w:val="superscript"/>
        </w:rPr>
        <w:t xml:space="preserve"> </w:t>
      </w:r>
      <w:r w:rsidR="00EC25BC" w:rsidRPr="0005363E">
        <w:rPr>
          <w:rFonts w:ascii="Arial" w:hAnsi="Arial" w:cs="Arial"/>
          <w:sz w:val="20"/>
          <w:szCs w:val="20"/>
          <w:vertAlign w:val="superscript"/>
        </w:rPr>
        <w:t>1</w:t>
      </w:r>
    </w:p>
    <w:p w:rsidR="00C574FF" w:rsidRPr="00083D63" w:rsidRDefault="00C574FF" w:rsidP="00AE32D7">
      <w:pPr>
        <w:pStyle w:val="NoSpacing"/>
        <w:rPr>
          <w:rFonts w:ascii="Arial" w:hAnsi="Arial" w:cs="Arial"/>
          <w:sz w:val="20"/>
          <w:szCs w:val="20"/>
          <w:highlight w:val="yellow"/>
        </w:rPr>
      </w:pPr>
    </w:p>
    <w:p w:rsidR="00C574FF" w:rsidRPr="00D206B3" w:rsidRDefault="00C574FF" w:rsidP="00AE32D7">
      <w:pPr>
        <w:pStyle w:val="NoSpacing"/>
        <w:rPr>
          <w:rFonts w:ascii="Arial" w:hAnsi="Arial" w:cs="Arial"/>
          <w:sz w:val="20"/>
          <w:szCs w:val="20"/>
        </w:rPr>
      </w:pPr>
      <w:r w:rsidRPr="00D206B3">
        <w:rPr>
          <w:rFonts w:ascii="Arial" w:hAnsi="Arial" w:cs="Arial"/>
          <w:i/>
          <w:sz w:val="20"/>
          <w:szCs w:val="20"/>
        </w:rPr>
        <w:t>Distribution</w:t>
      </w:r>
    </w:p>
    <w:p w:rsidR="00C574FF" w:rsidRPr="00D206B3" w:rsidRDefault="00C574FF" w:rsidP="00AE32D7">
      <w:pPr>
        <w:pStyle w:val="NoSpacing"/>
        <w:rPr>
          <w:rFonts w:ascii="Arial" w:hAnsi="Arial" w:cs="Arial"/>
          <w:sz w:val="20"/>
          <w:szCs w:val="20"/>
        </w:rPr>
      </w:pPr>
      <w:r w:rsidRPr="00D206B3">
        <w:rPr>
          <w:rFonts w:ascii="Arial" w:hAnsi="Arial" w:cs="Arial"/>
          <w:sz w:val="20"/>
          <w:szCs w:val="20"/>
        </w:rPr>
        <w:t xml:space="preserve">The </w:t>
      </w:r>
      <w:r w:rsidR="008D6BCA" w:rsidRPr="00D206B3">
        <w:rPr>
          <w:rFonts w:ascii="Arial" w:hAnsi="Arial" w:cs="Arial"/>
          <w:sz w:val="20"/>
          <w:szCs w:val="20"/>
        </w:rPr>
        <w:t xml:space="preserve">extent of protein binding of hydrocodone in human plasma is not precisely known; however, the structural similarities of </w:t>
      </w:r>
      <w:proofErr w:type="spellStart"/>
      <w:r w:rsidR="008D6BCA" w:rsidRPr="00D206B3">
        <w:rPr>
          <w:rFonts w:ascii="Arial" w:hAnsi="Arial" w:cs="Arial"/>
          <w:sz w:val="20"/>
          <w:szCs w:val="20"/>
        </w:rPr>
        <w:t>Zohydro</w:t>
      </w:r>
      <w:proofErr w:type="spellEnd"/>
      <w:r w:rsidR="008D6BCA" w:rsidRPr="00D206B3">
        <w:rPr>
          <w:rFonts w:ascii="Arial" w:hAnsi="Arial" w:cs="Arial"/>
          <w:sz w:val="20"/>
          <w:szCs w:val="20"/>
        </w:rPr>
        <w:t xml:space="preserve"> ER</w:t>
      </w:r>
      <w:r w:rsidR="00AE5757" w:rsidRPr="00D206B3">
        <w:rPr>
          <w:rFonts w:ascii="Arial" w:hAnsi="Arial" w:cs="Arial"/>
          <w:sz w:val="20"/>
          <w:szCs w:val="20"/>
          <w:vertAlign w:val="superscript"/>
        </w:rPr>
        <w:t>®</w:t>
      </w:r>
      <w:r w:rsidR="008D6BCA" w:rsidRPr="00D206B3">
        <w:rPr>
          <w:rFonts w:ascii="Arial" w:hAnsi="Arial" w:cs="Arial"/>
          <w:sz w:val="20"/>
          <w:szCs w:val="20"/>
        </w:rPr>
        <w:t xml:space="preserve"> (hydrocodone extended-release) to those of opioid analgesics are suggestive that hydrocodone is not extensively protein bound</w:t>
      </w:r>
      <w:r w:rsidR="00D206B3" w:rsidRPr="00D206B3">
        <w:rPr>
          <w:rFonts w:ascii="Arial" w:hAnsi="Arial" w:cs="Arial"/>
          <w:sz w:val="20"/>
          <w:szCs w:val="20"/>
        </w:rPr>
        <w:t>.</w:t>
      </w:r>
      <w:r w:rsidR="00FA25C3" w:rsidRPr="00D206B3">
        <w:rPr>
          <w:rFonts w:ascii="Arial" w:hAnsi="Arial" w:cs="Arial"/>
          <w:sz w:val="20"/>
          <w:szCs w:val="20"/>
          <w:vertAlign w:val="superscript"/>
        </w:rPr>
        <w:t>1</w:t>
      </w:r>
    </w:p>
    <w:p w:rsidR="00FA25C3" w:rsidRPr="00083D63" w:rsidRDefault="00FA25C3" w:rsidP="00AE32D7">
      <w:pPr>
        <w:pStyle w:val="NoSpacing"/>
        <w:rPr>
          <w:rFonts w:ascii="Arial" w:hAnsi="Arial" w:cs="Arial"/>
          <w:sz w:val="20"/>
          <w:szCs w:val="20"/>
          <w:highlight w:val="yellow"/>
        </w:rPr>
      </w:pPr>
    </w:p>
    <w:p w:rsidR="00FA25C3" w:rsidRPr="007A48E6" w:rsidRDefault="00FA25C3" w:rsidP="00AE32D7">
      <w:pPr>
        <w:pStyle w:val="NoSpacing"/>
        <w:rPr>
          <w:rFonts w:ascii="Arial" w:hAnsi="Arial" w:cs="Arial"/>
          <w:i/>
          <w:sz w:val="20"/>
          <w:szCs w:val="20"/>
        </w:rPr>
      </w:pPr>
      <w:r w:rsidRPr="007A48E6">
        <w:rPr>
          <w:rFonts w:ascii="Arial" w:hAnsi="Arial" w:cs="Arial"/>
          <w:i/>
          <w:sz w:val="20"/>
          <w:szCs w:val="20"/>
        </w:rPr>
        <w:t>Metabolism</w:t>
      </w:r>
    </w:p>
    <w:p w:rsidR="00FA25C3" w:rsidRPr="007A48E6" w:rsidRDefault="00FA25C3" w:rsidP="00AE32D7">
      <w:pPr>
        <w:pStyle w:val="NoSpacing"/>
        <w:rPr>
          <w:rFonts w:ascii="Arial" w:hAnsi="Arial" w:cs="Arial"/>
          <w:sz w:val="20"/>
          <w:szCs w:val="20"/>
        </w:rPr>
      </w:pPr>
      <w:r w:rsidRPr="007A48E6">
        <w:rPr>
          <w:rFonts w:ascii="Arial" w:hAnsi="Arial" w:cs="Arial"/>
          <w:sz w:val="20"/>
          <w:szCs w:val="20"/>
        </w:rPr>
        <w:t xml:space="preserve">The primary metabolic pathway for hydrocodone is via CYP3A4 isozyme N-demethylation to </w:t>
      </w:r>
      <w:proofErr w:type="spellStart"/>
      <w:r w:rsidRPr="007A48E6">
        <w:rPr>
          <w:rFonts w:ascii="Arial" w:hAnsi="Arial" w:cs="Arial"/>
          <w:sz w:val="20"/>
          <w:szCs w:val="20"/>
        </w:rPr>
        <w:t>norhydrocodone</w:t>
      </w:r>
      <w:proofErr w:type="spellEnd"/>
      <w:r w:rsidRPr="007A48E6">
        <w:rPr>
          <w:rFonts w:ascii="Arial" w:hAnsi="Arial" w:cs="Arial"/>
          <w:sz w:val="20"/>
          <w:szCs w:val="20"/>
        </w:rPr>
        <w:t xml:space="preserve">, an inactive metabolite. </w:t>
      </w:r>
      <w:proofErr w:type="spellStart"/>
      <w:r w:rsidRPr="007A48E6">
        <w:rPr>
          <w:rFonts w:ascii="Arial" w:hAnsi="Arial" w:cs="Arial"/>
          <w:sz w:val="20"/>
          <w:szCs w:val="20"/>
        </w:rPr>
        <w:t>Norhydrocodone</w:t>
      </w:r>
      <w:proofErr w:type="spellEnd"/>
      <w:r w:rsidRPr="007A48E6">
        <w:rPr>
          <w:rFonts w:ascii="Arial" w:hAnsi="Arial" w:cs="Arial"/>
          <w:sz w:val="20"/>
          <w:szCs w:val="20"/>
        </w:rPr>
        <w:t xml:space="preserve"> is also produced to a lesser extent by CYP2B6 and CYP2C19. The active metabolite hydromorphone is produced to a minor extent, &lt;3% of circulating parent hydrocodone, primarily by CYP2D6 O-demethylation. CYP2B6 and CYP2C19 also contribute to the formation of hydromorphone to a lesser extent. It is thought that hydromorphone may contribute to the overall analgesia produced by hydrocodone administration.</w:t>
      </w:r>
      <w:r w:rsidRPr="007A48E6">
        <w:rPr>
          <w:rFonts w:ascii="Arial" w:hAnsi="Arial" w:cs="Arial"/>
          <w:sz w:val="20"/>
          <w:szCs w:val="20"/>
          <w:vertAlign w:val="superscript"/>
        </w:rPr>
        <w:t>1</w:t>
      </w:r>
    </w:p>
    <w:p w:rsidR="00FA25C3" w:rsidRPr="00780EB3" w:rsidRDefault="00FA25C3" w:rsidP="00AE32D7">
      <w:pPr>
        <w:pStyle w:val="NoSpacing"/>
        <w:rPr>
          <w:rFonts w:ascii="Arial" w:hAnsi="Arial" w:cs="Arial"/>
          <w:sz w:val="20"/>
          <w:szCs w:val="20"/>
        </w:rPr>
      </w:pPr>
    </w:p>
    <w:p w:rsidR="00FA25C3" w:rsidRPr="00780EB3" w:rsidRDefault="00FA25C3" w:rsidP="00AE32D7">
      <w:pPr>
        <w:pStyle w:val="NoSpacing"/>
        <w:rPr>
          <w:rFonts w:ascii="Arial" w:hAnsi="Arial" w:cs="Arial"/>
          <w:i/>
          <w:sz w:val="20"/>
          <w:szCs w:val="20"/>
        </w:rPr>
      </w:pPr>
      <w:r w:rsidRPr="00780EB3">
        <w:rPr>
          <w:rFonts w:ascii="Arial" w:hAnsi="Arial" w:cs="Arial"/>
          <w:i/>
          <w:sz w:val="20"/>
          <w:szCs w:val="20"/>
        </w:rPr>
        <w:t>Excretion</w:t>
      </w:r>
    </w:p>
    <w:p w:rsidR="00FA25C3" w:rsidRPr="00780EB3" w:rsidRDefault="000871AB" w:rsidP="00AE32D7">
      <w:pPr>
        <w:pStyle w:val="NoSpacing"/>
        <w:rPr>
          <w:rFonts w:ascii="Arial" w:hAnsi="Arial" w:cs="Arial"/>
          <w:sz w:val="20"/>
          <w:szCs w:val="20"/>
        </w:rPr>
      </w:pPr>
      <w:r w:rsidRPr="00780EB3">
        <w:rPr>
          <w:rFonts w:ascii="Arial" w:hAnsi="Arial" w:cs="Arial"/>
          <w:sz w:val="20"/>
          <w:szCs w:val="20"/>
        </w:rPr>
        <w:t xml:space="preserve">The primary route of excretion for hydrocodone and its metabolites is via renal excretion. </w:t>
      </w:r>
      <w:r w:rsidR="00780EB3" w:rsidRPr="00780EB3">
        <w:rPr>
          <w:rFonts w:ascii="Arial" w:hAnsi="Arial" w:cs="Arial"/>
          <w:sz w:val="20"/>
          <w:szCs w:val="20"/>
        </w:rPr>
        <w:t>The mean apparent pla</w:t>
      </w:r>
      <w:r w:rsidR="00AE5757">
        <w:rPr>
          <w:rFonts w:ascii="Arial" w:hAnsi="Arial" w:cs="Arial"/>
          <w:sz w:val="20"/>
          <w:szCs w:val="20"/>
        </w:rPr>
        <w:t xml:space="preserve">sma half-life following </w:t>
      </w:r>
      <w:proofErr w:type="spellStart"/>
      <w:r w:rsidR="00AE5757">
        <w:rPr>
          <w:rFonts w:ascii="Arial" w:hAnsi="Arial" w:cs="Arial"/>
          <w:sz w:val="20"/>
          <w:szCs w:val="20"/>
        </w:rPr>
        <w:t>Zohydro</w:t>
      </w:r>
      <w:proofErr w:type="spellEnd"/>
      <w:r w:rsidR="00780EB3" w:rsidRPr="00780EB3">
        <w:rPr>
          <w:rFonts w:ascii="Arial" w:hAnsi="Arial" w:cs="Arial"/>
          <w:sz w:val="20"/>
          <w:szCs w:val="20"/>
        </w:rPr>
        <w:t xml:space="preserve"> ER</w:t>
      </w:r>
      <w:r w:rsidR="00AE5757" w:rsidRPr="00780EB3">
        <w:rPr>
          <w:rFonts w:ascii="Arial" w:hAnsi="Arial" w:cs="Arial"/>
          <w:sz w:val="20"/>
          <w:szCs w:val="20"/>
          <w:vertAlign w:val="superscript"/>
        </w:rPr>
        <w:t>®</w:t>
      </w:r>
      <w:r w:rsidR="00780EB3" w:rsidRPr="00780EB3">
        <w:rPr>
          <w:rFonts w:ascii="Arial" w:hAnsi="Arial" w:cs="Arial"/>
          <w:sz w:val="20"/>
          <w:szCs w:val="20"/>
        </w:rPr>
        <w:t xml:space="preserve"> (hydrocodone extended-release) administration is approximately eight hours.</w:t>
      </w:r>
      <w:r w:rsidR="00D551EA" w:rsidRPr="00780EB3">
        <w:rPr>
          <w:rFonts w:ascii="Arial" w:hAnsi="Arial" w:cs="Arial"/>
          <w:sz w:val="20"/>
          <w:szCs w:val="20"/>
          <w:vertAlign w:val="superscript"/>
        </w:rPr>
        <w:t>1</w:t>
      </w:r>
    </w:p>
    <w:p w:rsidR="004037B6" w:rsidRPr="00083D63" w:rsidRDefault="004037B6" w:rsidP="00AE32D7">
      <w:pPr>
        <w:pStyle w:val="NoSpacing"/>
        <w:rPr>
          <w:rFonts w:ascii="Arial" w:hAnsi="Arial" w:cs="Arial"/>
          <w:sz w:val="20"/>
          <w:szCs w:val="20"/>
          <w:highlight w:val="yellow"/>
        </w:rPr>
      </w:pPr>
    </w:p>
    <w:p w:rsidR="004037B6" w:rsidRPr="007712F4" w:rsidRDefault="004037B6" w:rsidP="00AE32D7">
      <w:pPr>
        <w:pStyle w:val="NoSpacing"/>
        <w:rPr>
          <w:rFonts w:ascii="Arial" w:hAnsi="Arial" w:cs="Arial"/>
          <w:sz w:val="20"/>
          <w:szCs w:val="20"/>
        </w:rPr>
      </w:pPr>
      <w:proofErr w:type="spellStart"/>
      <w:r w:rsidRPr="007712F4">
        <w:rPr>
          <w:rFonts w:ascii="Arial" w:hAnsi="Arial" w:cs="Arial"/>
          <w:b/>
          <w:i/>
          <w:sz w:val="20"/>
          <w:szCs w:val="20"/>
        </w:rPr>
        <w:t>Pharmacogenomic</w:t>
      </w:r>
      <w:proofErr w:type="spellEnd"/>
      <w:r w:rsidRPr="007712F4">
        <w:rPr>
          <w:rFonts w:ascii="Arial" w:hAnsi="Arial" w:cs="Arial"/>
          <w:b/>
          <w:i/>
          <w:sz w:val="20"/>
          <w:szCs w:val="20"/>
        </w:rPr>
        <w:t xml:space="preserve"> Considerations:</w:t>
      </w:r>
    </w:p>
    <w:p w:rsidR="004037B6" w:rsidRPr="007712F4" w:rsidRDefault="004037B6" w:rsidP="00AE32D7">
      <w:pPr>
        <w:pStyle w:val="NoSpacing"/>
        <w:rPr>
          <w:rFonts w:ascii="Arial" w:hAnsi="Arial" w:cs="Arial"/>
          <w:sz w:val="20"/>
          <w:szCs w:val="20"/>
        </w:rPr>
      </w:pPr>
      <w:r w:rsidRPr="007712F4">
        <w:rPr>
          <w:rFonts w:ascii="Arial" w:hAnsi="Arial" w:cs="Arial"/>
          <w:sz w:val="20"/>
          <w:szCs w:val="20"/>
        </w:rPr>
        <w:t>A minor active metabolite of hydrocodone is hydromorphone, an opioid analgesic that may contribute to the overall analgesic effect of hydrocodone.</w:t>
      </w:r>
      <w:r w:rsidRPr="007712F4">
        <w:rPr>
          <w:rFonts w:ascii="Arial" w:hAnsi="Arial" w:cs="Arial"/>
          <w:sz w:val="20"/>
          <w:szCs w:val="20"/>
          <w:vertAlign w:val="superscript"/>
        </w:rPr>
        <w:t>1</w:t>
      </w:r>
      <w:r w:rsidRPr="007712F4">
        <w:rPr>
          <w:rFonts w:ascii="Arial" w:hAnsi="Arial" w:cs="Arial"/>
          <w:sz w:val="20"/>
          <w:szCs w:val="20"/>
        </w:rPr>
        <w:t xml:space="preserve"> A polymorphism of CYP2D6 metabolism that results in a portion of the general population being ultra-rapid CYP2D6 metabolizers has been well documented as an item of great clinical significance, as evidenced by the boxed warning on codeine products that states respiratory depression and death has occurred in children with this polymorphism.</w:t>
      </w:r>
      <w:r w:rsidR="008F6A10">
        <w:rPr>
          <w:rFonts w:ascii="Arial" w:hAnsi="Arial" w:cs="Arial"/>
          <w:sz w:val="20"/>
          <w:szCs w:val="20"/>
          <w:vertAlign w:val="superscript"/>
        </w:rPr>
        <w:t>8</w:t>
      </w:r>
      <w:r w:rsidR="004A2128" w:rsidRPr="007712F4">
        <w:rPr>
          <w:rFonts w:ascii="Arial" w:hAnsi="Arial" w:cs="Arial"/>
          <w:sz w:val="20"/>
          <w:szCs w:val="20"/>
        </w:rPr>
        <w:t xml:space="preserve"> It has not been apparent that ultra-rapid CYP2D6 metabolism is of as much concern with hydrocodone, but it has been demonstrated in a relatively small amount of subjects that production of hydromorphone as a metabolite is related to the CYP2D6 genotype. Increased plasma concentrations of hydromorphone were correlated with increased pain relief among extensive and ultra-rapid CYP2D6 metabolizers.</w:t>
      </w:r>
      <w:r w:rsidR="008F6A10">
        <w:rPr>
          <w:rFonts w:ascii="Arial" w:hAnsi="Arial" w:cs="Arial"/>
          <w:sz w:val="20"/>
          <w:szCs w:val="20"/>
          <w:vertAlign w:val="superscript"/>
        </w:rPr>
        <w:t>9</w:t>
      </w:r>
    </w:p>
    <w:p w:rsidR="007009D6" w:rsidRPr="00083D63" w:rsidRDefault="007009D6" w:rsidP="00AE32D7">
      <w:pPr>
        <w:pStyle w:val="NoSpacing"/>
        <w:rPr>
          <w:rFonts w:ascii="Arial" w:hAnsi="Arial" w:cs="Arial"/>
          <w:color w:val="0000FF"/>
          <w:sz w:val="20"/>
          <w:szCs w:val="20"/>
          <w:highlight w:val="yellow"/>
        </w:rPr>
      </w:pPr>
    </w:p>
    <w:p w:rsidR="00AE32D7" w:rsidRPr="00DE77D2" w:rsidRDefault="00AE32D7" w:rsidP="00AE32D7">
      <w:pPr>
        <w:pStyle w:val="NoSpacing"/>
        <w:rPr>
          <w:rFonts w:ascii="Arial" w:hAnsi="Arial" w:cs="Arial"/>
          <w:sz w:val="20"/>
          <w:szCs w:val="20"/>
        </w:rPr>
      </w:pPr>
      <w:r w:rsidRPr="00DE77D2">
        <w:rPr>
          <w:rFonts w:ascii="Arial" w:hAnsi="Arial" w:cs="Arial"/>
          <w:b/>
          <w:sz w:val="20"/>
          <w:szCs w:val="20"/>
        </w:rPr>
        <w:t xml:space="preserve">Table </w:t>
      </w:r>
      <w:r w:rsidR="004F27CC" w:rsidRPr="00DE77D2">
        <w:rPr>
          <w:rFonts w:ascii="Arial" w:hAnsi="Arial" w:cs="Arial"/>
          <w:b/>
          <w:sz w:val="20"/>
          <w:szCs w:val="20"/>
        </w:rPr>
        <w:t>3</w:t>
      </w:r>
      <w:r w:rsidRPr="00DE77D2">
        <w:rPr>
          <w:rFonts w:ascii="Arial" w:hAnsi="Arial" w:cs="Arial"/>
          <w:b/>
          <w:sz w:val="20"/>
          <w:szCs w:val="20"/>
        </w:rPr>
        <w:t>. Pharmacokinetics</w:t>
      </w:r>
      <w:r w:rsidR="004F2DE8" w:rsidRPr="00DE77D2">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985"/>
        <w:gridCol w:w="1069"/>
        <w:gridCol w:w="1811"/>
        <w:gridCol w:w="2070"/>
        <w:gridCol w:w="1908"/>
      </w:tblGrid>
      <w:tr w:rsidR="00AE32D7" w:rsidRPr="00DE77D2" w:rsidTr="006E62AB">
        <w:trPr>
          <w:tblHeader/>
        </w:trPr>
        <w:tc>
          <w:tcPr>
            <w:tcW w:w="1625" w:type="dxa"/>
            <w:shd w:val="clear" w:color="auto" w:fill="C0C0C0"/>
            <w:vAlign w:val="center"/>
          </w:tcPr>
          <w:p w:rsidR="00AE32D7" w:rsidRPr="00DE77D2" w:rsidRDefault="00AE32D7" w:rsidP="00F9017C">
            <w:pPr>
              <w:spacing w:after="0" w:line="240" w:lineRule="auto"/>
              <w:jc w:val="center"/>
              <w:outlineLvl w:val="0"/>
              <w:rPr>
                <w:rFonts w:ascii="Arial" w:hAnsi="Arial" w:cs="Arial"/>
                <w:b/>
                <w:sz w:val="20"/>
                <w:szCs w:val="20"/>
              </w:rPr>
            </w:pPr>
            <w:r w:rsidRPr="00DE77D2">
              <w:rPr>
                <w:rFonts w:ascii="Arial" w:hAnsi="Arial" w:cs="Arial"/>
                <w:b/>
                <w:sz w:val="20"/>
                <w:szCs w:val="20"/>
              </w:rPr>
              <w:t>Generic Name</w:t>
            </w:r>
          </w:p>
        </w:tc>
        <w:tc>
          <w:tcPr>
            <w:tcW w:w="985" w:type="dxa"/>
            <w:shd w:val="clear" w:color="auto" w:fill="C0C0C0"/>
            <w:vAlign w:val="center"/>
          </w:tcPr>
          <w:p w:rsidR="00AE32D7" w:rsidRPr="00DE77D2" w:rsidRDefault="00AE32D7" w:rsidP="00F9017C">
            <w:pPr>
              <w:spacing w:after="0" w:line="240" w:lineRule="auto"/>
              <w:jc w:val="center"/>
              <w:outlineLvl w:val="0"/>
              <w:rPr>
                <w:rFonts w:ascii="Arial" w:hAnsi="Arial" w:cs="Arial"/>
                <w:b/>
                <w:sz w:val="20"/>
                <w:szCs w:val="20"/>
              </w:rPr>
            </w:pPr>
            <w:proofErr w:type="spellStart"/>
            <w:r w:rsidRPr="00DE77D2">
              <w:rPr>
                <w:rFonts w:ascii="Arial" w:hAnsi="Arial" w:cs="Arial"/>
                <w:b/>
                <w:sz w:val="20"/>
                <w:szCs w:val="20"/>
              </w:rPr>
              <w:t>T</w:t>
            </w:r>
            <w:r w:rsidRPr="00DE77D2">
              <w:rPr>
                <w:rFonts w:ascii="Arial" w:hAnsi="Arial" w:cs="Arial"/>
                <w:b/>
                <w:sz w:val="20"/>
                <w:szCs w:val="20"/>
              </w:rPr>
              <w:softHyphen/>
            </w:r>
            <w:r w:rsidRPr="00DE77D2">
              <w:rPr>
                <w:rFonts w:ascii="Arial" w:hAnsi="Arial" w:cs="Arial"/>
                <w:b/>
                <w:sz w:val="20"/>
                <w:szCs w:val="20"/>
                <w:vertAlign w:val="subscript"/>
              </w:rPr>
              <w:t>max</w:t>
            </w:r>
            <w:proofErr w:type="spellEnd"/>
          </w:p>
          <w:p w:rsidR="00AE32D7" w:rsidRPr="00DE77D2" w:rsidRDefault="00AE32D7" w:rsidP="00F9017C">
            <w:pPr>
              <w:spacing w:after="0" w:line="240" w:lineRule="auto"/>
              <w:jc w:val="center"/>
              <w:outlineLvl w:val="0"/>
              <w:rPr>
                <w:rFonts w:ascii="Arial" w:hAnsi="Arial" w:cs="Arial"/>
                <w:b/>
                <w:sz w:val="20"/>
                <w:szCs w:val="20"/>
              </w:rPr>
            </w:pPr>
            <w:r w:rsidRPr="00DE77D2">
              <w:rPr>
                <w:rFonts w:ascii="Arial" w:hAnsi="Arial" w:cs="Arial"/>
                <w:b/>
                <w:sz w:val="20"/>
                <w:szCs w:val="20"/>
              </w:rPr>
              <w:t>(hours)</w:t>
            </w:r>
          </w:p>
        </w:tc>
        <w:tc>
          <w:tcPr>
            <w:tcW w:w="1069" w:type="dxa"/>
            <w:shd w:val="clear" w:color="auto" w:fill="C0C0C0"/>
            <w:vAlign w:val="center"/>
          </w:tcPr>
          <w:p w:rsidR="00AE32D7" w:rsidRPr="00DE77D2" w:rsidRDefault="00AE32D7" w:rsidP="00F9017C">
            <w:pPr>
              <w:spacing w:after="0" w:line="240" w:lineRule="auto"/>
              <w:jc w:val="center"/>
              <w:outlineLvl w:val="0"/>
              <w:rPr>
                <w:rFonts w:ascii="Arial" w:hAnsi="Arial" w:cs="Arial"/>
                <w:b/>
                <w:sz w:val="20"/>
                <w:szCs w:val="20"/>
              </w:rPr>
            </w:pPr>
            <w:r w:rsidRPr="00DE77D2">
              <w:rPr>
                <w:rFonts w:ascii="Arial" w:hAnsi="Arial" w:cs="Arial"/>
                <w:b/>
                <w:sz w:val="20"/>
                <w:szCs w:val="20"/>
              </w:rPr>
              <w:t>Duration</w:t>
            </w:r>
          </w:p>
          <w:p w:rsidR="00AE32D7" w:rsidRPr="00DE77D2" w:rsidRDefault="00AE32D7" w:rsidP="00F9017C">
            <w:pPr>
              <w:spacing w:after="0" w:line="240" w:lineRule="auto"/>
              <w:jc w:val="center"/>
              <w:outlineLvl w:val="0"/>
              <w:rPr>
                <w:rFonts w:ascii="Arial" w:hAnsi="Arial" w:cs="Arial"/>
                <w:b/>
                <w:sz w:val="20"/>
                <w:szCs w:val="20"/>
              </w:rPr>
            </w:pPr>
            <w:r w:rsidRPr="00DE77D2">
              <w:rPr>
                <w:rFonts w:ascii="Arial" w:hAnsi="Arial" w:cs="Arial"/>
                <w:b/>
                <w:sz w:val="20"/>
                <w:szCs w:val="20"/>
              </w:rPr>
              <w:t>(hours)</w:t>
            </w:r>
          </w:p>
        </w:tc>
        <w:tc>
          <w:tcPr>
            <w:tcW w:w="1811" w:type="dxa"/>
            <w:shd w:val="clear" w:color="auto" w:fill="C0C0C0"/>
            <w:vAlign w:val="center"/>
          </w:tcPr>
          <w:p w:rsidR="00AE32D7" w:rsidRPr="00DE77D2" w:rsidRDefault="00AE32D7" w:rsidP="00F9017C">
            <w:pPr>
              <w:spacing w:after="0" w:line="240" w:lineRule="auto"/>
              <w:jc w:val="center"/>
              <w:outlineLvl w:val="0"/>
              <w:rPr>
                <w:rFonts w:ascii="Arial" w:hAnsi="Arial" w:cs="Arial"/>
                <w:b/>
                <w:sz w:val="20"/>
                <w:szCs w:val="20"/>
              </w:rPr>
            </w:pPr>
            <w:r w:rsidRPr="00DE77D2">
              <w:rPr>
                <w:rFonts w:ascii="Arial" w:hAnsi="Arial" w:cs="Arial"/>
                <w:b/>
                <w:sz w:val="20"/>
                <w:szCs w:val="20"/>
              </w:rPr>
              <w:t>Renal Clearance</w:t>
            </w:r>
          </w:p>
          <w:p w:rsidR="00AE32D7" w:rsidRPr="00DE77D2" w:rsidRDefault="00AE32D7" w:rsidP="00F9017C">
            <w:pPr>
              <w:spacing w:after="0" w:line="240" w:lineRule="auto"/>
              <w:jc w:val="center"/>
              <w:outlineLvl w:val="0"/>
              <w:rPr>
                <w:rFonts w:ascii="Arial" w:hAnsi="Arial" w:cs="Arial"/>
                <w:b/>
                <w:sz w:val="20"/>
                <w:szCs w:val="20"/>
              </w:rPr>
            </w:pPr>
            <w:r w:rsidRPr="00DE77D2">
              <w:rPr>
                <w:rFonts w:ascii="Arial" w:hAnsi="Arial" w:cs="Arial"/>
                <w:b/>
                <w:sz w:val="20"/>
                <w:szCs w:val="20"/>
              </w:rPr>
              <w:t>(L/h)</w:t>
            </w:r>
          </w:p>
        </w:tc>
        <w:tc>
          <w:tcPr>
            <w:tcW w:w="2070" w:type="dxa"/>
            <w:shd w:val="clear" w:color="auto" w:fill="C0C0C0"/>
            <w:vAlign w:val="center"/>
          </w:tcPr>
          <w:p w:rsidR="00AE32D7" w:rsidRPr="00DE77D2" w:rsidRDefault="00AE32D7" w:rsidP="00F9017C">
            <w:pPr>
              <w:spacing w:after="0" w:line="240" w:lineRule="auto"/>
              <w:jc w:val="center"/>
              <w:outlineLvl w:val="0"/>
              <w:rPr>
                <w:rFonts w:ascii="Arial" w:hAnsi="Arial" w:cs="Arial"/>
                <w:b/>
                <w:sz w:val="20"/>
                <w:szCs w:val="20"/>
              </w:rPr>
            </w:pPr>
            <w:r w:rsidRPr="00DE77D2">
              <w:rPr>
                <w:rFonts w:ascii="Arial" w:hAnsi="Arial" w:cs="Arial"/>
                <w:b/>
                <w:sz w:val="20"/>
                <w:szCs w:val="20"/>
              </w:rPr>
              <w:t>Active Metabolites</w:t>
            </w:r>
          </w:p>
        </w:tc>
        <w:tc>
          <w:tcPr>
            <w:tcW w:w="1908" w:type="dxa"/>
            <w:shd w:val="clear" w:color="auto" w:fill="C0C0C0"/>
            <w:vAlign w:val="center"/>
          </w:tcPr>
          <w:p w:rsidR="00AE32D7" w:rsidRPr="00DE77D2" w:rsidRDefault="00AE32D7" w:rsidP="00F9017C">
            <w:pPr>
              <w:spacing w:after="0" w:line="240" w:lineRule="auto"/>
              <w:jc w:val="center"/>
              <w:outlineLvl w:val="0"/>
              <w:rPr>
                <w:rFonts w:ascii="Arial" w:hAnsi="Arial" w:cs="Arial"/>
                <w:b/>
                <w:sz w:val="20"/>
                <w:szCs w:val="20"/>
              </w:rPr>
            </w:pPr>
            <w:r w:rsidRPr="00DE77D2">
              <w:rPr>
                <w:rFonts w:ascii="Arial" w:hAnsi="Arial" w:cs="Arial"/>
                <w:b/>
                <w:sz w:val="20"/>
                <w:szCs w:val="20"/>
              </w:rPr>
              <w:t>Serum Half-Life</w:t>
            </w:r>
          </w:p>
          <w:p w:rsidR="00AE32D7" w:rsidRPr="00DE77D2" w:rsidRDefault="00AE32D7" w:rsidP="00F9017C">
            <w:pPr>
              <w:spacing w:after="0" w:line="240" w:lineRule="auto"/>
              <w:jc w:val="center"/>
              <w:outlineLvl w:val="0"/>
              <w:rPr>
                <w:rFonts w:ascii="Arial" w:hAnsi="Arial" w:cs="Arial"/>
                <w:b/>
                <w:sz w:val="20"/>
                <w:szCs w:val="20"/>
              </w:rPr>
            </w:pPr>
            <w:r w:rsidRPr="00DE77D2">
              <w:rPr>
                <w:rFonts w:ascii="Arial" w:hAnsi="Arial" w:cs="Arial"/>
                <w:b/>
                <w:sz w:val="20"/>
                <w:szCs w:val="20"/>
              </w:rPr>
              <w:t>(hours)</w:t>
            </w:r>
          </w:p>
        </w:tc>
      </w:tr>
      <w:tr w:rsidR="00AE32D7" w:rsidRPr="00DE77D2" w:rsidTr="006E62AB">
        <w:tc>
          <w:tcPr>
            <w:tcW w:w="1625" w:type="dxa"/>
            <w:vAlign w:val="center"/>
          </w:tcPr>
          <w:p w:rsidR="00AE32D7" w:rsidRPr="00DE77D2" w:rsidRDefault="00AE32D7" w:rsidP="00F9017C">
            <w:pPr>
              <w:spacing w:after="0" w:line="240" w:lineRule="auto"/>
              <w:rPr>
                <w:rFonts w:ascii="Arial" w:hAnsi="Arial" w:cs="Arial"/>
                <w:sz w:val="20"/>
                <w:szCs w:val="20"/>
              </w:rPr>
            </w:pPr>
            <w:r w:rsidRPr="00DE77D2">
              <w:rPr>
                <w:rFonts w:ascii="Arial" w:hAnsi="Arial" w:cs="Arial"/>
                <w:sz w:val="20"/>
                <w:szCs w:val="20"/>
              </w:rPr>
              <w:t>Hydrocodone</w:t>
            </w:r>
          </w:p>
        </w:tc>
        <w:tc>
          <w:tcPr>
            <w:tcW w:w="985" w:type="dxa"/>
            <w:vAlign w:val="center"/>
          </w:tcPr>
          <w:p w:rsidR="00AE32D7" w:rsidRPr="00DE77D2" w:rsidRDefault="009603ED" w:rsidP="00F9017C">
            <w:pPr>
              <w:spacing w:after="0" w:line="240" w:lineRule="auto"/>
              <w:jc w:val="center"/>
              <w:rPr>
                <w:rFonts w:ascii="Arial" w:hAnsi="Arial" w:cs="Arial"/>
                <w:sz w:val="20"/>
                <w:szCs w:val="20"/>
              </w:rPr>
            </w:pPr>
            <w:r w:rsidRPr="00DE77D2">
              <w:rPr>
                <w:rFonts w:ascii="Arial" w:hAnsi="Arial" w:cs="Arial"/>
                <w:sz w:val="20"/>
                <w:szCs w:val="20"/>
              </w:rPr>
              <w:t>5</w:t>
            </w:r>
          </w:p>
        </w:tc>
        <w:tc>
          <w:tcPr>
            <w:tcW w:w="1069" w:type="dxa"/>
            <w:vAlign w:val="center"/>
          </w:tcPr>
          <w:p w:rsidR="00AE32D7" w:rsidRPr="00DE77D2" w:rsidRDefault="00676170" w:rsidP="00F9017C">
            <w:pPr>
              <w:spacing w:after="0" w:line="240" w:lineRule="auto"/>
              <w:jc w:val="center"/>
              <w:rPr>
                <w:rFonts w:ascii="Arial" w:hAnsi="Arial" w:cs="Arial"/>
                <w:sz w:val="20"/>
                <w:szCs w:val="20"/>
              </w:rPr>
            </w:pPr>
            <w:r w:rsidRPr="00DE77D2">
              <w:rPr>
                <w:rFonts w:ascii="Arial" w:hAnsi="Arial" w:cs="Arial"/>
                <w:sz w:val="20"/>
                <w:szCs w:val="20"/>
              </w:rPr>
              <w:t>N/A</w:t>
            </w:r>
          </w:p>
        </w:tc>
        <w:tc>
          <w:tcPr>
            <w:tcW w:w="1811" w:type="dxa"/>
            <w:vAlign w:val="center"/>
          </w:tcPr>
          <w:p w:rsidR="00AE32D7" w:rsidRPr="00DE77D2" w:rsidRDefault="00676170" w:rsidP="00F9017C">
            <w:pPr>
              <w:spacing w:after="0" w:line="240" w:lineRule="auto"/>
              <w:jc w:val="center"/>
              <w:rPr>
                <w:rFonts w:ascii="Arial" w:hAnsi="Arial" w:cs="Arial"/>
                <w:sz w:val="20"/>
                <w:szCs w:val="20"/>
              </w:rPr>
            </w:pPr>
            <w:r w:rsidRPr="00DE77D2">
              <w:rPr>
                <w:rFonts w:ascii="Arial" w:hAnsi="Arial" w:cs="Arial"/>
                <w:sz w:val="20"/>
                <w:szCs w:val="20"/>
              </w:rPr>
              <w:t>N/A</w:t>
            </w:r>
          </w:p>
        </w:tc>
        <w:tc>
          <w:tcPr>
            <w:tcW w:w="2070" w:type="dxa"/>
            <w:vAlign w:val="center"/>
          </w:tcPr>
          <w:p w:rsidR="00AE32D7" w:rsidRPr="00DE77D2" w:rsidRDefault="00AE32D7" w:rsidP="00C574FF">
            <w:pPr>
              <w:spacing w:after="0" w:line="240" w:lineRule="auto"/>
              <w:jc w:val="center"/>
              <w:rPr>
                <w:rFonts w:ascii="Arial" w:hAnsi="Arial" w:cs="Arial"/>
                <w:sz w:val="20"/>
                <w:szCs w:val="20"/>
              </w:rPr>
            </w:pPr>
            <w:r w:rsidRPr="00DE77D2">
              <w:rPr>
                <w:rFonts w:ascii="Arial" w:hAnsi="Arial" w:cs="Arial"/>
                <w:sz w:val="20"/>
                <w:szCs w:val="20"/>
              </w:rPr>
              <w:t>Hydromorphone</w:t>
            </w:r>
            <w:r w:rsidR="00C574FF" w:rsidRPr="00DE77D2">
              <w:rPr>
                <w:rFonts w:ascii="Arial" w:hAnsi="Arial" w:cs="Arial"/>
                <w:sz w:val="20"/>
                <w:szCs w:val="20"/>
              </w:rPr>
              <w:t xml:space="preserve"> (minor)</w:t>
            </w:r>
          </w:p>
        </w:tc>
        <w:tc>
          <w:tcPr>
            <w:tcW w:w="1908" w:type="dxa"/>
            <w:vAlign w:val="center"/>
          </w:tcPr>
          <w:p w:rsidR="00AE32D7" w:rsidRPr="00DE77D2" w:rsidRDefault="009603ED" w:rsidP="00F9017C">
            <w:pPr>
              <w:spacing w:after="0" w:line="240" w:lineRule="auto"/>
              <w:jc w:val="center"/>
              <w:rPr>
                <w:rFonts w:ascii="Arial" w:hAnsi="Arial" w:cs="Arial"/>
                <w:sz w:val="20"/>
                <w:szCs w:val="20"/>
              </w:rPr>
            </w:pPr>
            <w:r w:rsidRPr="00DE77D2">
              <w:rPr>
                <w:rFonts w:ascii="Arial" w:hAnsi="Arial" w:cs="Arial"/>
                <w:sz w:val="20"/>
                <w:szCs w:val="20"/>
              </w:rPr>
              <w:t>8</w:t>
            </w:r>
          </w:p>
        </w:tc>
      </w:tr>
    </w:tbl>
    <w:p w:rsidR="00D84515" w:rsidRDefault="00D84515" w:rsidP="00AE32D7">
      <w:pPr>
        <w:pStyle w:val="CommentText"/>
        <w:spacing w:after="0" w:line="240" w:lineRule="auto"/>
        <w:rPr>
          <w:rFonts w:ascii="Arial" w:hAnsi="Arial" w:cs="Arial"/>
          <w:b/>
          <w:u w:val="single"/>
        </w:rPr>
      </w:pPr>
    </w:p>
    <w:p w:rsidR="00AA5B5A" w:rsidRPr="004471E7" w:rsidRDefault="00AA5B5A" w:rsidP="00AE32D7">
      <w:pPr>
        <w:pStyle w:val="CommentText"/>
        <w:spacing w:after="0" w:line="240" w:lineRule="auto"/>
        <w:rPr>
          <w:rFonts w:ascii="Arial" w:hAnsi="Arial" w:cs="Arial"/>
          <w:b/>
          <w:u w:val="single"/>
        </w:rPr>
      </w:pPr>
      <w:r w:rsidRPr="004471E7">
        <w:rPr>
          <w:rFonts w:ascii="Arial" w:hAnsi="Arial" w:cs="Arial"/>
          <w:b/>
          <w:u w:val="single"/>
        </w:rPr>
        <w:t>Special Populations</w:t>
      </w:r>
    </w:p>
    <w:p w:rsidR="00AA5B5A" w:rsidRPr="004471E7" w:rsidRDefault="00AA5B5A" w:rsidP="00AE32D7">
      <w:pPr>
        <w:pStyle w:val="CommentText"/>
        <w:spacing w:after="0" w:line="240" w:lineRule="auto"/>
        <w:rPr>
          <w:rFonts w:ascii="Arial" w:hAnsi="Arial" w:cs="Arial"/>
          <w:color w:val="008000"/>
        </w:rPr>
      </w:pPr>
    </w:p>
    <w:p w:rsidR="00AA5B5A" w:rsidRPr="004471E7" w:rsidRDefault="00AA5B5A" w:rsidP="001723DB">
      <w:pPr>
        <w:pStyle w:val="CommentText"/>
        <w:spacing w:after="0"/>
        <w:rPr>
          <w:rFonts w:ascii="Arial" w:hAnsi="Arial" w:cs="Arial"/>
          <w:b/>
        </w:rPr>
      </w:pPr>
      <w:r w:rsidRPr="004471E7">
        <w:rPr>
          <w:rFonts w:ascii="Arial" w:hAnsi="Arial" w:cs="Arial"/>
          <w:b/>
        </w:rPr>
        <w:t>Table 4. Special Populations</w:t>
      </w:r>
      <w:r w:rsidRPr="004471E7">
        <w:rPr>
          <w:rFonts w:ascii="Arial" w:hAnsi="Arial" w:cs="Arial"/>
          <w:vertAlign w:val="superscript"/>
        </w:rPr>
        <w:t>1</w:t>
      </w:r>
      <w:r w:rsidRPr="004471E7">
        <w:rPr>
          <w:rFonts w:ascii="Arial" w:hAnsi="Arial" w:cs="Arial"/>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0"/>
        <w:gridCol w:w="4780"/>
      </w:tblGrid>
      <w:tr w:rsidR="001723DB" w:rsidRPr="00083D63" w:rsidTr="00AA5B5A">
        <w:trPr>
          <w:trHeight w:val="287"/>
          <w:tblHeader/>
        </w:trPr>
        <w:tc>
          <w:tcPr>
            <w:tcW w:w="4680" w:type="dxa"/>
            <w:shd w:val="clear" w:color="auto" w:fill="C0C0C0"/>
            <w:vAlign w:val="center"/>
          </w:tcPr>
          <w:p w:rsidR="00AA5B5A" w:rsidRPr="00221851" w:rsidRDefault="00AA5B5A" w:rsidP="001723DB">
            <w:pPr>
              <w:pStyle w:val="CommentText"/>
              <w:spacing w:after="0"/>
              <w:jc w:val="center"/>
              <w:rPr>
                <w:rFonts w:ascii="Arial" w:hAnsi="Arial" w:cs="Arial"/>
                <w:b/>
              </w:rPr>
            </w:pPr>
            <w:r w:rsidRPr="00221851">
              <w:rPr>
                <w:rFonts w:ascii="Arial" w:hAnsi="Arial" w:cs="Arial"/>
                <w:b/>
              </w:rPr>
              <w:t>Population</w:t>
            </w:r>
          </w:p>
        </w:tc>
        <w:tc>
          <w:tcPr>
            <w:tcW w:w="4780" w:type="dxa"/>
            <w:shd w:val="clear" w:color="auto" w:fill="C0C0C0"/>
            <w:vAlign w:val="center"/>
          </w:tcPr>
          <w:p w:rsidR="00AA5B5A" w:rsidRPr="00221851" w:rsidRDefault="00AA5B5A" w:rsidP="001723DB">
            <w:pPr>
              <w:pStyle w:val="CommentText"/>
              <w:spacing w:after="0"/>
              <w:jc w:val="center"/>
              <w:rPr>
                <w:rFonts w:ascii="Arial" w:hAnsi="Arial" w:cs="Arial"/>
                <w:b/>
              </w:rPr>
            </w:pPr>
            <w:r w:rsidRPr="00221851">
              <w:rPr>
                <w:rFonts w:ascii="Arial" w:hAnsi="Arial" w:cs="Arial"/>
                <w:b/>
              </w:rPr>
              <w:t>Precaution</w:t>
            </w:r>
          </w:p>
        </w:tc>
      </w:tr>
      <w:tr w:rsidR="001723DB" w:rsidRPr="00083D63" w:rsidTr="00AA5B5A">
        <w:tc>
          <w:tcPr>
            <w:tcW w:w="4680" w:type="dxa"/>
          </w:tcPr>
          <w:p w:rsidR="00AA5B5A" w:rsidRPr="00221851" w:rsidRDefault="00AA5B5A" w:rsidP="001723DB">
            <w:pPr>
              <w:pStyle w:val="CommentText"/>
              <w:spacing w:after="0"/>
              <w:rPr>
                <w:rFonts w:ascii="Arial" w:hAnsi="Arial" w:cs="Arial"/>
              </w:rPr>
            </w:pPr>
            <w:r w:rsidRPr="00221851">
              <w:rPr>
                <w:rFonts w:ascii="Arial" w:hAnsi="Arial" w:cs="Arial"/>
              </w:rPr>
              <w:t>Elderly</w:t>
            </w:r>
          </w:p>
        </w:tc>
        <w:tc>
          <w:tcPr>
            <w:tcW w:w="4780" w:type="dxa"/>
          </w:tcPr>
          <w:p w:rsidR="00AA5B5A" w:rsidRPr="00221851" w:rsidRDefault="006A231C" w:rsidP="004471E7">
            <w:pPr>
              <w:pStyle w:val="CommentText"/>
              <w:spacing w:after="0"/>
              <w:rPr>
                <w:rFonts w:ascii="Arial" w:hAnsi="Arial" w:cs="Arial"/>
              </w:rPr>
            </w:pPr>
            <w:r w:rsidRPr="00221851">
              <w:rPr>
                <w:rFonts w:ascii="Arial" w:hAnsi="Arial" w:cs="Arial"/>
              </w:rPr>
              <w:t xml:space="preserve">No significant differences </w:t>
            </w:r>
            <w:r w:rsidR="004471E7" w:rsidRPr="00221851">
              <w:rPr>
                <w:rFonts w:ascii="Arial" w:hAnsi="Arial" w:cs="Arial"/>
              </w:rPr>
              <w:t>in pharmacokinetic data have been identified.</w:t>
            </w:r>
          </w:p>
        </w:tc>
      </w:tr>
      <w:tr w:rsidR="001723DB" w:rsidRPr="00083D63" w:rsidTr="00AA5B5A">
        <w:tc>
          <w:tcPr>
            <w:tcW w:w="4680" w:type="dxa"/>
          </w:tcPr>
          <w:p w:rsidR="00AA5B5A" w:rsidRPr="00221851" w:rsidRDefault="00AA5B5A" w:rsidP="001723DB">
            <w:pPr>
              <w:pStyle w:val="CommentText"/>
              <w:spacing w:after="0"/>
              <w:rPr>
                <w:rFonts w:ascii="Arial" w:hAnsi="Arial" w:cs="Arial"/>
              </w:rPr>
            </w:pPr>
            <w:r w:rsidRPr="00221851">
              <w:rPr>
                <w:rFonts w:ascii="Arial" w:hAnsi="Arial" w:cs="Arial"/>
              </w:rPr>
              <w:t>Renal Dysfunction</w:t>
            </w:r>
          </w:p>
        </w:tc>
        <w:tc>
          <w:tcPr>
            <w:tcW w:w="4780" w:type="dxa"/>
          </w:tcPr>
          <w:p w:rsidR="00AA5B5A" w:rsidRPr="00221851" w:rsidRDefault="00AA5B5A" w:rsidP="007542F0">
            <w:pPr>
              <w:pStyle w:val="CommentText"/>
              <w:spacing w:after="0"/>
              <w:rPr>
                <w:rFonts w:ascii="Arial" w:hAnsi="Arial" w:cs="Arial"/>
              </w:rPr>
            </w:pPr>
            <w:r w:rsidRPr="00221851">
              <w:rPr>
                <w:rFonts w:ascii="Arial" w:hAnsi="Arial" w:cs="Arial"/>
              </w:rPr>
              <w:t xml:space="preserve">Initiate therapy with </w:t>
            </w:r>
            <w:r w:rsidR="007542F0">
              <w:rPr>
                <w:rFonts w:ascii="Arial" w:hAnsi="Arial" w:cs="Arial"/>
              </w:rPr>
              <w:t xml:space="preserve">a </w:t>
            </w:r>
            <w:r w:rsidR="00493B77">
              <w:rPr>
                <w:rFonts w:ascii="Arial" w:hAnsi="Arial" w:cs="Arial"/>
              </w:rPr>
              <w:t>l</w:t>
            </w:r>
            <w:r w:rsidR="00C9511A" w:rsidRPr="00221851">
              <w:rPr>
                <w:rFonts w:ascii="Arial" w:hAnsi="Arial" w:cs="Arial"/>
              </w:rPr>
              <w:t>ow</w:t>
            </w:r>
            <w:r w:rsidRPr="00221851">
              <w:rPr>
                <w:rFonts w:ascii="Arial" w:hAnsi="Arial" w:cs="Arial"/>
              </w:rPr>
              <w:t xml:space="preserve"> dose in patients with renal impairment and monitor closely for adverse </w:t>
            </w:r>
            <w:r w:rsidRPr="00221851">
              <w:rPr>
                <w:rFonts w:ascii="Arial" w:hAnsi="Arial" w:cs="Arial"/>
              </w:rPr>
              <w:lastRenderedPageBreak/>
              <w:t>events.</w:t>
            </w:r>
          </w:p>
        </w:tc>
      </w:tr>
      <w:tr w:rsidR="001723DB" w:rsidRPr="00083D63" w:rsidTr="00AA5B5A">
        <w:tc>
          <w:tcPr>
            <w:tcW w:w="4680" w:type="dxa"/>
          </w:tcPr>
          <w:p w:rsidR="00AA5B5A" w:rsidRPr="00221851" w:rsidRDefault="00AA5B5A" w:rsidP="001723DB">
            <w:pPr>
              <w:pStyle w:val="CommentText"/>
              <w:spacing w:after="0"/>
              <w:rPr>
                <w:rFonts w:ascii="Arial" w:hAnsi="Arial" w:cs="Arial"/>
              </w:rPr>
            </w:pPr>
            <w:r w:rsidRPr="00221851">
              <w:rPr>
                <w:rFonts w:ascii="Arial" w:hAnsi="Arial" w:cs="Arial"/>
              </w:rPr>
              <w:lastRenderedPageBreak/>
              <w:t>Hepatic Dysfunction</w:t>
            </w:r>
          </w:p>
        </w:tc>
        <w:tc>
          <w:tcPr>
            <w:tcW w:w="4780" w:type="dxa"/>
          </w:tcPr>
          <w:p w:rsidR="00AA5B5A" w:rsidRPr="00221851" w:rsidRDefault="00AA5B5A" w:rsidP="001723DB">
            <w:pPr>
              <w:pStyle w:val="CommentText"/>
              <w:spacing w:after="0"/>
              <w:rPr>
                <w:rFonts w:ascii="Arial" w:hAnsi="Arial" w:cs="Arial"/>
              </w:rPr>
            </w:pPr>
            <w:r w:rsidRPr="00221851">
              <w:rPr>
                <w:rFonts w:ascii="Arial" w:hAnsi="Arial" w:cs="Arial"/>
              </w:rPr>
              <w:t>No adjustment in the starting dose is required in patients with mild or moderate hepatic impairment.</w:t>
            </w:r>
          </w:p>
          <w:p w:rsidR="00AA5B5A" w:rsidRPr="00221851" w:rsidRDefault="00AA5B5A" w:rsidP="001723DB">
            <w:pPr>
              <w:pStyle w:val="CommentText"/>
              <w:spacing w:after="0"/>
              <w:rPr>
                <w:rFonts w:ascii="Arial" w:hAnsi="Arial" w:cs="Arial"/>
              </w:rPr>
            </w:pPr>
          </w:p>
          <w:p w:rsidR="00AA5B5A" w:rsidRPr="00221851" w:rsidRDefault="00AA5B5A" w:rsidP="00497F14">
            <w:pPr>
              <w:pStyle w:val="CommentText"/>
              <w:spacing w:after="0"/>
              <w:rPr>
                <w:rFonts w:ascii="Arial" w:hAnsi="Arial" w:cs="Arial"/>
              </w:rPr>
            </w:pPr>
            <w:r w:rsidRPr="00221851">
              <w:rPr>
                <w:rFonts w:ascii="Arial" w:hAnsi="Arial" w:cs="Arial"/>
              </w:rPr>
              <w:t xml:space="preserve">Initiate therapy with </w:t>
            </w:r>
            <w:r w:rsidR="00497F14" w:rsidRPr="00221851">
              <w:rPr>
                <w:rFonts w:ascii="Arial" w:hAnsi="Arial" w:cs="Arial"/>
              </w:rPr>
              <w:t xml:space="preserve">the lowest dose, 10 mg, </w:t>
            </w:r>
            <w:r w:rsidRPr="00221851">
              <w:rPr>
                <w:rFonts w:ascii="Arial" w:hAnsi="Arial" w:cs="Arial"/>
              </w:rPr>
              <w:t>in patients with severe hepatic impairment and monitor closely for adverse events.</w:t>
            </w:r>
          </w:p>
        </w:tc>
      </w:tr>
      <w:tr w:rsidR="001723DB" w:rsidRPr="00083D63" w:rsidTr="00AA5B5A">
        <w:tc>
          <w:tcPr>
            <w:tcW w:w="4680" w:type="dxa"/>
          </w:tcPr>
          <w:p w:rsidR="00AA5B5A" w:rsidRPr="00C9511A" w:rsidRDefault="00AA5B5A" w:rsidP="001723DB">
            <w:pPr>
              <w:pStyle w:val="CommentText"/>
              <w:spacing w:after="0"/>
              <w:rPr>
                <w:rFonts w:ascii="Arial" w:hAnsi="Arial" w:cs="Arial"/>
              </w:rPr>
            </w:pPr>
            <w:r w:rsidRPr="00C9511A">
              <w:rPr>
                <w:rFonts w:ascii="Arial" w:hAnsi="Arial" w:cs="Arial"/>
              </w:rPr>
              <w:t>Pregnancy/Nursing</w:t>
            </w:r>
          </w:p>
        </w:tc>
        <w:tc>
          <w:tcPr>
            <w:tcW w:w="4780" w:type="dxa"/>
          </w:tcPr>
          <w:p w:rsidR="00AA5B5A" w:rsidRPr="00C9511A" w:rsidRDefault="00AA5B5A" w:rsidP="001723DB">
            <w:pPr>
              <w:pStyle w:val="CommentText"/>
              <w:spacing w:after="0"/>
              <w:rPr>
                <w:rFonts w:ascii="Arial" w:hAnsi="Arial" w:cs="Arial"/>
              </w:rPr>
            </w:pPr>
            <w:r w:rsidRPr="00C9511A">
              <w:rPr>
                <w:rFonts w:ascii="Arial" w:hAnsi="Arial" w:cs="Arial"/>
              </w:rPr>
              <w:t>Category: C</w:t>
            </w:r>
          </w:p>
          <w:p w:rsidR="00AA5B5A" w:rsidRPr="00C9511A" w:rsidRDefault="00AA5B5A" w:rsidP="001723DB">
            <w:pPr>
              <w:pStyle w:val="CommentText"/>
              <w:spacing w:after="0"/>
              <w:rPr>
                <w:rFonts w:ascii="Arial" w:hAnsi="Arial" w:cs="Arial"/>
              </w:rPr>
            </w:pPr>
          </w:p>
          <w:p w:rsidR="00AA5B5A" w:rsidRPr="00C9511A" w:rsidRDefault="00AA5B5A" w:rsidP="001723DB">
            <w:pPr>
              <w:pStyle w:val="CommentText"/>
              <w:spacing w:after="0"/>
              <w:rPr>
                <w:rFonts w:ascii="Arial" w:hAnsi="Arial" w:cs="Arial"/>
              </w:rPr>
            </w:pPr>
            <w:r w:rsidRPr="00C9511A">
              <w:rPr>
                <w:rFonts w:ascii="Arial" w:hAnsi="Arial" w:cs="Arial"/>
              </w:rPr>
              <w:t>Hydrocodone is present in human milk. Due to potential risk for serious adverse reactions in nursing infants, either the medication or nursing should be discontinued, taking into account the importance of the drug to the mother.</w:t>
            </w:r>
          </w:p>
        </w:tc>
      </w:tr>
      <w:tr w:rsidR="001723DB" w:rsidRPr="00083D63" w:rsidTr="00AA5B5A">
        <w:tc>
          <w:tcPr>
            <w:tcW w:w="4680" w:type="dxa"/>
          </w:tcPr>
          <w:p w:rsidR="00AA5B5A" w:rsidRPr="00C9511A" w:rsidRDefault="00AA5B5A" w:rsidP="001723DB">
            <w:pPr>
              <w:pStyle w:val="CommentText"/>
              <w:spacing w:after="0"/>
              <w:rPr>
                <w:rFonts w:ascii="Arial" w:hAnsi="Arial" w:cs="Arial"/>
              </w:rPr>
            </w:pPr>
            <w:r w:rsidRPr="00C9511A">
              <w:rPr>
                <w:rFonts w:ascii="Arial" w:hAnsi="Arial" w:cs="Arial"/>
              </w:rPr>
              <w:t>Children</w:t>
            </w:r>
          </w:p>
        </w:tc>
        <w:tc>
          <w:tcPr>
            <w:tcW w:w="4780" w:type="dxa"/>
          </w:tcPr>
          <w:p w:rsidR="00AA5B5A" w:rsidRPr="00C9511A" w:rsidRDefault="00AA5B5A" w:rsidP="001723DB">
            <w:pPr>
              <w:pStyle w:val="CommentText"/>
              <w:spacing w:after="0"/>
              <w:rPr>
                <w:rFonts w:ascii="Arial" w:hAnsi="Arial" w:cs="Arial"/>
              </w:rPr>
            </w:pPr>
            <w:r w:rsidRPr="00C9511A">
              <w:rPr>
                <w:rFonts w:ascii="Arial" w:hAnsi="Arial" w:cs="Arial"/>
              </w:rPr>
              <w:t>Safety and efficacy in children have not been established.</w:t>
            </w:r>
          </w:p>
        </w:tc>
      </w:tr>
      <w:tr w:rsidR="001723DB" w:rsidRPr="00083D63" w:rsidTr="00AA5B5A">
        <w:tc>
          <w:tcPr>
            <w:tcW w:w="4680" w:type="dxa"/>
          </w:tcPr>
          <w:p w:rsidR="00364EDE" w:rsidRPr="004471E7" w:rsidRDefault="00364EDE" w:rsidP="00AA5B5A">
            <w:pPr>
              <w:pStyle w:val="CommentText"/>
              <w:spacing w:after="0"/>
              <w:rPr>
                <w:rFonts w:ascii="Arial" w:hAnsi="Arial" w:cs="Arial"/>
              </w:rPr>
            </w:pPr>
            <w:r w:rsidRPr="004471E7">
              <w:rPr>
                <w:rFonts w:ascii="Arial" w:hAnsi="Arial" w:cs="Arial"/>
              </w:rPr>
              <w:t>Gender/Race</w:t>
            </w:r>
          </w:p>
        </w:tc>
        <w:tc>
          <w:tcPr>
            <w:tcW w:w="4780" w:type="dxa"/>
          </w:tcPr>
          <w:p w:rsidR="00364EDE" w:rsidRPr="004471E7" w:rsidRDefault="00364EDE" w:rsidP="00364EDE">
            <w:pPr>
              <w:pStyle w:val="CommentText"/>
              <w:spacing w:after="0"/>
              <w:rPr>
                <w:rFonts w:ascii="Arial" w:hAnsi="Arial" w:cs="Arial"/>
              </w:rPr>
            </w:pPr>
            <w:r w:rsidRPr="004471E7">
              <w:rPr>
                <w:rFonts w:ascii="Arial" w:hAnsi="Arial" w:cs="Arial"/>
              </w:rPr>
              <w:t xml:space="preserve">No specific differences in pharmacokinetic data have been identified.  </w:t>
            </w:r>
          </w:p>
        </w:tc>
      </w:tr>
    </w:tbl>
    <w:p w:rsidR="00AA5B5A" w:rsidRPr="00083D63" w:rsidRDefault="00AA5B5A" w:rsidP="00AE32D7">
      <w:pPr>
        <w:pStyle w:val="CommentText"/>
        <w:spacing w:after="0" w:line="240" w:lineRule="auto"/>
        <w:rPr>
          <w:rFonts w:ascii="Arial" w:hAnsi="Arial" w:cs="Arial"/>
          <w:color w:val="008000"/>
          <w:highlight w:val="yellow"/>
        </w:rPr>
      </w:pPr>
    </w:p>
    <w:p w:rsidR="00793E3B" w:rsidRPr="00533214" w:rsidRDefault="00793E3B" w:rsidP="00793E3B">
      <w:pPr>
        <w:pStyle w:val="NoSpacing"/>
        <w:rPr>
          <w:rFonts w:ascii="Arial" w:hAnsi="Arial" w:cs="Arial"/>
          <w:b/>
          <w:sz w:val="20"/>
          <w:szCs w:val="20"/>
          <w:u w:val="single"/>
        </w:rPr>
      </w:pPr>
      <w:bookmarkStart w:id="3" w:name="DosageAdministration"/>
      <w:r w:rsidRPr="00533214">
        <w:rPr>
          <w:rFonts w:ascii="Arial" w:hAnsi="Arial" w:cs="Arial"/>
          <w:b/>
          <w:sz w:val="20"/>
          <w:szCs w:val="20"/>
          <w:u w:val="single"/>
        </w:rPr>
        <w:t xml:space="preserve">Dosage </w:t>
      </w:r>
      <w:r w:rsidR="005732F0" w:rsidRPr="00533214">
        <w:rPr>
          <w:rFonts w:ascii="Arial" w:hAnsi="Arial" w:cs="Arial"/>
          <w:b/>
          <w:sz w:val="20"/>
          <w:szCs w:val="20"/>
          <w:u w:val="single"/>
        </w:rPr>
        <w:t>Forms</w:t>
      </w:r>
    </w:p>
    <w:bookmarkEnd w:id="3"/>
    <w:p w:rsidR="00373B99" w:rsidRPr="00533214" w:rsidRDefault="00373B99" w:rsidP="00793E3B">
      <w:pPr>
        <w:pStyle w:val="NoSpacing"/>
        <w:rPr>
          <w:rFonts w:ascii="Arial" w:hAnsi="Arial" w:cs="Arial"/>
          <w:color w:val="0000FF"/>
          <w:sz w:val="20"/>
          <w:szCs w:val="20"/>
        </w:rPr>
      </w:pPr>
    </w:p>
    <w:p w:rsidR="00793E3B" w:rsidRPr="00533214" w:rsidRDefault="00793E3B" w:rsidP="00793E3B">
      <w:pPr>
        <w:spacing w:after="0" w:line="240" w:lineRule="auto"/>
        <w:rPr>
          <w:rFonts w:ascii="Arial" w:hAnsi="Arial" w:cs="Arial"/>
          <w:bCs/>
          <w:sz w:val="20"/>
          <w:szCs w:val="20"/>
          <w:vertAlign w:val="superscript"/>
        </w:rPr>
      </w:pPr>
      <w:r w:rsidRPr="00533214">
        <w:rPr>
          <w:rFonts w:ascii="Arial" w:hAnsi="Arial" w:cs="Arial"/>
          <w:b/>
          <w:sz w:val="20"/>
          <w:szCs w:val="20"/>
        </w:rPr>
        <w:t xml:space="preserve">Table </w:t>
      </w:r>
      <w:r w:rsidR="00364EDE" w:rsidRPr="00533214">
        <w:rPr>
          <w:rFonts w:ascii="Arial" w:hAnsi="Arial" w:cs="Arial"/>
          <w:b/>
          <w:sz w:val="20"/>
          <w:szCs w:val="20"/>
        </w:rPr>
        <w:t>5</w:t>
      </w:r>
      <w:r w:rsidR="005732F0" w:rsidRPr="00533214">
        <w:rPr>
          <w:rFonts w:ascii="Arial" w:hAnsi="Arial" w:cs="Arial"/>
          <w:b/>
          <w:sz w:val="20"/>
          <w:szCs w:val="20"/>
        </w:rPr>
        <w:t>. Availability, Storage and Handling</w:t>
      </w:r>
      <w:r w:rsidR="00AC29F5" w:rsidRPr="00533214">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3080"/>
        <w:gridCol w:w="3190"/>
      </w:tblGrid>
      <w:tr w:rsidR="00793E3B" w:rsidRPr="00533214" w:rsidTr="00F9017C">
        <w:trPr>
          <w:tblHeader/>
        </w:trPr>
        <w:tc>
          <w:tcPr>
            <w:tcW w:w="3190" w:type="dxa"/>
            <w:tcBorders>
              <w:bottom w:val="single" w:sz="4" w:space="0" w:color="000000"/>
            </w:tcBorders>
            <w:shd w:val="clear" w:color="auto" w:fill="C0C0C0"/>
            <w:vAlign w:val="center"/>
          </w:tcPr>
          <w:p w:rsidR="00793E3B" w:rsidRPr="00533214" w:rsidRDefault="001861F2" w:rsidP="00F9017C">
            <w:pPr>
              <w:pStyle w:val="NoSpacing"/>
              <w:jc w:val="center"/>
              <w:rPr>
                <w:rFonts w:ascii="Arial" w:hAnsi="Arial" w:cs="Arial"/>
                <w:b/>
                <w:sz w:val="20"/>
                <w:szCs w:val="20"/>
              </w:rPr>
            </w:pPr>
            <w:r w:rsidRPr="00533214">
              <w:rPr>
                <w:rFonts w:ascii="Arial" w:hAnsi="Arial" w:cs="Arial"/>
                <w:b/>
                <w:sz w:val="20"/>
                <w:szCs w:val="20"/>
              </w:rPr>
              <w:t>Dosage Form</w:t>
            </w:r>
          </w:p>
        </w:tc>
        <w:tc>
          <w:tcPr>
            <w:tcW w:w="3080" w:type="dxa"/>
            <w:tcBorders>
              <w:bottom w:val="single" w:sz="4" w:space="0" w:color="000000"/>
            </w:tcBorders>
            <w:shd w:val="clear" w:color="auto" w:fill="C0C0C0"/>
            <w:vAlign w:val="center"/>
          </w:tcPr>
          <w:p w:rsidR="00793E3B" w:rsidRPr="00533214" w:rsidRDefault="001861F2" w:rsidP="00F9017C">
            <w:pPr>
              <w:pStyle w:val="NoSpacing"/>
              <w:jc w:val="center"/>
              <w:rPr>
                <w:rFonts w:ascii="Arial" w:hAnsi="Arial" w:cs="Arial"/>
                <w:b/>
                <w:sz w:val="20"/>
                <w:szCs w:val="20"/>
              </w:rPr>
            </w:pPr>
            <w:r w:rsidRPr="00533214">
              <w:rPr>
                <w:rFonts w:ascii="Arial" w:hAnsi="Arial" w:cs="Arial"/>
                <w:b/>
                <w:sz w:val="20"/>
                <w:szCs w:val="20"/>
              </w:rPr>
              <w:t>Strength</w:t>
            </w:r>
          </w:p>
        </w:tc>
        <w:tc>
          <w:tcPr>
            <w:tcW w:w="3190" w:type="dxa"/>
            <w:tcBorders>
              <w:bottom w:val="single" w:sz="4" w:space="0" w:color="000000"/>
            </w:tcBorders>
            <w:shd w:val="clear" w:color="auto" w:fill="C0C0C0"/>
            <w:vAlign w:val="center"/>
          </w:tcPr>
          <w:p w:rsidR="00793E3B" w:rsidRPr="00533214" w:rsidRDefault="005732F0" w:rsidP="00F9017C">
            <w:pPr>
              <w:pStyle w:val="NoSpacing"/>
              <w:jc w:val="center"/>
              <w:rPr>
                <w:rFonts w:ascii="Arial" w:hAnsi="Arial" w:cs="Arial"/>
                <w:b/>
                <w:sz w:val="20"/>
                <w:szCs w:val="20"/>
              </w:rPr>
            </w:pPr>
            <w:r w:rsidRPr="00533214">
              <w:rPr>
                <w:rFonts w:ascii="Arial" w:hAnsi="Arial" w:cs="Arial"/>
                <w:b/>
                <w:sz w:val="20"/>
                <w:szCs w:val="20"/>
              </w:rPr>
              <w:t>Special Handling</w:t>
            </w:r>
            <w:r w:rsidR="001861F2" w:rsidRPr="00533214">
              <w:rPr>
                <w:rFonts w:ascii="Arial" w:hAnsi="Arial" w:cs="Arial"/>
                <w:b/>
                <w:sz w:val="20"/>
                <w:szCs w:val="20"/>
              </w:rPr>
              <w:t xml:space="preserve"> or Storage</w:t>
            </w:r>
          </w:p>
        </w:tc>
      </w:tr>
      <w:tr w:rsidR="00793E3B" w:rsidRPr="00533214" w:rsidTr="00F9017C">
        <w:tc>
          <w:tcPr>
            <w:tcW w:w="3190" w:type="dxa"/>
          </w:tcPr>
          <w:p w:rsidR="005732F0" w:rsidRPr="00533214" w:rsidRDefault="00533214" w:rsidP="005732F0">
            <w:pPr>
              <w:spacing w:after="0" w:line="240" w:lineRule="auto"/>
              <w:rPr>
                <w:rFonts w:ascii="Arial" w:hAnsi="Arial" w:cs="Arial"/>
                <w:sz w:val="20"/>
                <w:szCs w:val="20"/>
              </w:rPr>
            </w:pPr>
            <w:r w:rsidRPr="00533214">
              <w:rPr>
                <w:rFonts w:ascii="Arial" w:hAnsi="Arial" w:cs="Arial"/>
                <w:sz w:val="20"/>
                <w:szCs w:val="20"/>
              </w:rPr>
              <w:t>Extended-release capsule</w:t>
            </w:r>
          </w:p>
          <w:p w:rsidR="00793E3B" w:rsidRPr="00533214" w:rsidRDefault="00793E3B" w:rsidP="005732F0">
            <w:pPr>
              <w:spacing w:after="0" w:line="240" w:lineRule="auto"/>
              <w:rPr>
                <w:rFonts w:ascii="Arial" w:hAnsi="Arial" w:cs="Arial"/>
                <w:sz w:val="20"/>
                <w:szCs w:val="20"/>
              </w:rPr>
            </w:pPr>
          </w:p>
        </w:tc>
        <w:tc>
          <w:tcPr>
            <w:tcW w:w="3080" w:type="dxa"/>
          </w:tcPr>
          <w:p w:rsidR="001861F2" w:rsidRPr="00533214" w:rsidRDefault="008250E8" w:rsidP="001723DB">
            <w:pPr>
              <w:spacing w:after="0" w:line="240" w:lineRule="auto"/>
              <w:jc w:val="center"/>
              <w:rPr>
                <w:rFonts w:ascii="Arial" w:hAnsi="Arial" w:cs="Arial"/>
                <w:sz w:val="20"/>
                <w:szCs w:val="20"/>
              </w:rPr>
            </w:pPr>
            <w:r w:rsidRPr="00533214">
              <w:rPr>
                <w:rFonts w:ascii="Arial" w:hAnsi="Arial" w:cs="Arial"/>
                <w:sz w:val="20"/>
                <w:szCs w:val="20"/>
              </w:rPr>
              <w:t>10</w:t>
            </w:r>
            <w:r w:rsidR="001861F2" w:rsidRPr="00533214">
              <w:rPr>
                <w:rFonts w:ascii="Arial" w:hAnsi="Arial" w:cs="Arial"/>
                <w:sz w:val="20"/>
                <w:szCs w:val="20"/>
              </w:rPr>
              <w:t xml:space="preserve"> mg</w:t>
            </w:r>
          </w:p>
          <w:p w:rsidR="001861F2" w:rsidRPr="00533214" w:rsidRDefault="008250E8" w:rsidP="001723DB">
            <w:pPr>
              <w:spacing w:after="0" w:line="240" w:lineRule="auto"/>
              <w:jc w:val="center"/>
              <w:rPr>
                <w:rFonts w:ascii="Arial" w:hAnsi="Arial" w:cs="Arial"/>
                <w:sz w:val="20"/>
                <w:szCs w:val="20"/>
              </w:rPr>
            </w:pPr>
            <w:r w:rsidRPr="00533214">
              <w:rPr>
                <w:rFonts w:ascii="Arial" w:hAnsi="Arial" w:cs="Arial"/>
                <w:sz w:val="20"/>
                <w:szCs w:val="20"/>
              </w:rPr>
              <w:t>15</w:t>
            </w:r>
            <w:r w:rsidR="001861F2" w:rsidRPr="00533214">
              <w:rPr>
                <w:rFonts w:ascii="Arial" w:hAnsi="Arial" w:cs="Arial"/>
                <w:sz w:val="20"/>
                <w:szCs w:val="20"/>
              </w:rPr>
              <w:t xml:space="preserve"> mg</w:t>
            </w:r>
          </w:p>
          <w:p w:rsidR="001861F2" w:rsidRPr="00533214" w:rsidRDefault="008250E8" w:rsidP="001723DB">
            <w:pPr>
              <w:spacing w:after="0" w:line="240" w:lineRule="auto"/>
              <w:jc w:val="center"/>
              <w:rPr>
                <w:rFonts w:ascii="Arial" w:hAnsi="Arial" w:cs="Arial"/>
                <w:sz w:val="20"/>
                <w:szCs w:val="20"/>
              </w:rPr>
            </w:pPr>
            <w:r w:rsidRPr="00533214">
              <w:rPr>
                <w:rFonts w:ascii="Arial" w:hAnsi="Arial" w:cs="Arial"/>
                <w:sz w:val="20"/>
                <w:szCs w:val="20"/>
              </w:rPr>
              <w:t>2</w:t>
            </w:r>
            <w:r w:rsidR="001861F2" w:rsidRPr="00533214">
              <w:rPr>
                <w:rFonts w:ascii="Arial" w:hAnsi="Arial" w:cs="Arial"/>
                <w:sz w:val="20"/>
                <w:szCs w:val="20"/>
              </w:rPr>
              <w:t>0 mg</w:t>
            </w:r>
          </w:p>
          <w:p w:rsidR="001861F2" w:rsidRPr="00533214" w:rsidRDefault="008250E8" w:rsidP="001723DB">
            <w:pPr>
              <w:spacing w:after="0" w:line="240" w:lineRule="auto"/>
              <w:jc w:val="center"/>
              <w:rPr>
                <w:rFonts w:ascii="Arial" w:hAnsi="Arial" w:cs="Arial"/>
                <w:sz w:val="20"/>
                <w:szCs w:val="20"/>
              </w:rPr>
            </w:pPr>
            <w:r w:rsidRPr="00533214">
              <w:rPr>
                <w:rFonts w:ascii="Arial" w:hAnsi="Arial" w:cs="Arial"/>
                <w:sz w:val="20"/>
                <w:szCs w:val="20"/>
              </w:rPr>
              <w:t>3</w:t>
            </w:r>
            <w:r w:rsidR="001861F2" w:rsidRPr="00533214">
              <w:rPr>
                <w:rFonts w:ascii="Arial" w:hAnsi="Arial" w:cs="Arial"/>
                <w:sz w:val="20"/>
                <w:szCs w:val="20"/>
              </w:rPr>
              <w:t>0 mg</w:t>
            </w:r>
          </w:p>
          <w:p w:rsidR="001861F2" w:rsidRPr="00533214" w:rsidRDefault="008250E8" w:rsidP="001723DB">
            <w:pPr>
              <w:spacing w:after="0" w:line="240" w:lineRule="auto"/>
              <w:jc w:val="center"/>
              <w:rPr>
                <w:rFonts w:ascii="Arial" w:hAnsi="Arial" w:cs="Arial"/>
                <w:sz w:val="20"/>
                <w:szCs w:val="20"/>
              </w:rPr>
            </w:pPr>
            <w:r w:rsidRPr="00533214">
              <w:rPr>
                <w:rFonts w:ascii="Arial" w:hAnsi="Arial" w:cs="Arial"/>
                <w:sz w:val="20"/>
                <w:szCs w:val="20"/>
              </w:rPr>
              <w:t>4</w:t>
            </w:r>
            <w:r w:rsidR="001861F2" w:rsidRPr="00533214">
              <w:rPr>
                <w:rFonts w:ascii="Arial" w:hAnsi="Arial" w:cs="Arial"/>
                <w:sz w:val="20"/>
                <w:szCs w:val="20"/>
              </w:rPr>
              <w:t>0 mg</w:t>
            </w:r>
          </w:p>
          <w:p w:rsidR="00793E3B" w:rsidRPr="00533214" w:rsidRDefault="008250E8" w:rsidP="008250E8">
            <w:pPr>
              <w:spacing w:after="0" w:line="240" w:lineRule="auto"/>
              <w:jc w:val="center"/>
              <w:rPr>
                <w:rFonts w:ascii="Arial" w:hAnsi="Arial" w:cs="Arial"/>
                <w:sz w:val="20"/>
                <w:szCs w:val="20"/>
              </w:rPr>
            </w:pPr>
            <w:r w:rsidRPr="00533214">
              <w:rPr>
                <w:rFonts w:ascii="Arial" w:hAnsi="Arial" w:cs="Arial"/>
                <w:sz w:val="20"/>
                <w:szCs w:val="20"/>
              </w:rPr>
              <w:t>50 mg</w:t>
            </w:r>
          </w:p>
        </w:tc>
        <w:tc>
          <w:tcPr>
            <w:tcW w:w="3190" w:type="dxa"/>
          </w:tcPr>
          <w:p w:rsidR="001861F2" w:rsidRPr="00533214" w:rsidRDefault="001861F2" w:rsidP="001861F2">
            <w:pPr>
              <w:pStyle w:val="NoSpacing"/>
              <w:rPr>
                <w:rFonts w:ascii="Arial" w:hAnsi="Arial" w:cs="Arial"/>
                <w:sz w:val="20"/>
                <w:szCs w:val="20"/>
              </w:rPr>
            </w:pPr>
            <w:r w:rsidRPr="00533214">
              <w:rPr>
                <w:rFonts w:ascii="Arial" w:hAnsi="Arial" w:cs="Arial"/>
                <w:sz w:val="20"/>
                <w:szCs w:val="20"/>
              </w:rPr>
              <w:t>Store at 25</w:t>
            </w:r>
            <w:r w:rsidRPr="00533214">
              <w:rPr>
                <w:rFonts w:ascii="Times New Roman" w:hAnsi="Times New Roman"/>
                <w:sz w:val="20"/>
                <w:szCs w:val="20"/>
              </w:rPr>
              <w:t>°</w:t>
            </w:r>
            <w:r w:rsidRPr="00533214">
              <w:rPr>
                <w:rFonts w:ascii="Arial" w:hAnsi="Arial" w:cs="Arial"/>
                <w:sz w:val="20"/>
                <w:szCs w:val="20"/>
              </w:rPr>
              <w:t>C (77</w:t>
            </w:r>
            <w:r w:rsidRPr="00533214">
              <w:rPr>
                <w:rFonts w:ascii="Times New Roman" w:hAnsi="Times New Roman"/>
                <w:sz w:val="20"/>
                <w:szCs w:val="20"/>
              </w:rPr>
              <w:t>°</w:t>
            </w:r>
            <w:r w:rsidRPr="00533214">
              <w:rPr>
                <w:rFonts w:ascii="Arial" w:hAnsi="Arial" w:cs="Arial"/>
                <w:sz w:val="20"/>
                <w:szCs w:val="20"/>
              </w:rPr>
              <w:t>F); excursions between 15</w:t>
            </w:r>
            <w:r w:rsidRPr="00533214">
              <w:rPr>
                <w:rFonts w:ascii="Times New Roman" w:hAnsi="Times New Roman"/>
                <w:sz w:val="20"/>
                <w:szCs w:val="20"/>
              </w:rPr>
              <w:t>°</w:t>
            </w:r>
            <w:r w:rsidRPr="00533214">
              <w:rPr>
                <w:rFonts w:ascii="Arial" w:hAnsi="Arial" w:cs="Arial"/>
                <w:sz w:val="20"/>
                <w:szCs w:val="20"/>
              </w:rPr>
              <w:t>C to 30</w:t>
            </w:r>
            <w:r w:rsidRPr="00533214">
              <w:rPr>
                <w:rFonts w:ascii="Times New Roman" w:hAnsi="Times New Roman"/>
                <w:sz w:val="20"/>
                <w:szCs w:val="20"/>
              </w:rPr>
              <w:t>°</w:t>
            </w:r>
            <w:r w:rsidRPr="00533214">
              <w:rPr>
                <w:rFonts w:ascii="Arial" w:hAnsi="Arial" w:cs="Arial"/>
                <w:sz w:val="20"/>
                <w:szCs w:val="20"/>
              </w:rPr>
              <w:t>C (59</w:t>
            </w:r>
            <w:r w:rsidRPr="00533214">
              <w:rPr>
                <w:rFonts w:ascii="Times New Roman" w:hAnsi="Times New Roman"/>
                <w:sz w:val="20"/>
                <w:szCs w:val="20"/>
              </w:rPr>
              <w:t>°</w:t>
            </w:r>
            <w:r w:rsidRPr="00533214">
              <w:rPr>
                <w:rFonts w:ascii="Arial" w:hAnsi="Arial" w:cs="Arial"/>
                <w:sz w:val="20"/>
                <w:szCs w:val="20"/>
              </w:rPr>
              <w:t>F to 86</w:t>
            </w:r>
            <w:r w:rsidRPr="00533214">
              <w:rPr>
                <w:rFonts w:ascii="Times New Roman" w:hAnsi="Times New Roman"/>
                <w:sz w:val="20"/>
                <w:szCs w:val="20"/>
              </w:rPr>
              <w:t>°</w:t>
            </w:r>
            <w:r w:rsidRPr="00533214">
              <w:rPr>
                <w:rFonts w:ascii="Arial" w:hAnsi="Arial" w:cs="Arial"/>
                <w:sz w:val="20"/>
                <w:szCs w:val="20"/>
              </w:rPr>
              <w:t>F) permitted.</w:t>
            </w:r>
          </w:p>
          <w:p w:rsidR="001861F2" w:rsidRPr="00533214" w:rsidRDefault="001861F2" w:rsidP="001861F2">
            <w:pPr>
              <w:pStyle w:val="NoSpacing"/>
              <w:rPr>
                <w:rFonts w:ascii="Arial" w:hAnsi="Arial" w:cs="Arial"/>
                <w:sz w:val="20"/>
                <w:szCs w:val="20"/>
              </w:rPr>
            </w:pPr>
          </w:p>
          <w:p w:rsidR="00793E3B" w:rsidRPr="00533214" w:rsidRDefault="001861F2" w:rsidP="008250E8">
            <w:pPr>
              <w:pStyle w:val="NoSpacing"/>
              <w:rPr>
                <w:rFonts w:ascii="Arial" w:hAnsi="Arial" w:cs="Arial"/>
                <w:sz w:val="20"/>
                <w:szCs w:val="20"/>
              </w:rPr>
            </w:pPr>
            <w:r w:rsidRPr="00533214">
              <w:rPr>
                <w:rFonts w:ascii="Arial" w:hAnsi="Arial" w:cs="Arial"/>
                <w:sz w:val="20"/>
                <w:szCs w:val="20"/>
              </w:rPr>
              <w:t>Dispense and store in a tight, light-resistant container.</w:t>
            </w:r>
          </w:p>
        </w:tc>
      </w:tr>
    </w:tbl>
    <w:p w:rsidR="00793E3B" w:rsidRPr="00083D63" w:rsidRDefault="00793E3B" w:rsidP="004920E8">
      <w:pPr>
        <w:pStyle w:val="BodyTextIndent"/>
        <w:ind w:left="0"/>
        <w:rPr>
          <w:rFonts w:ascii="Arial" w:hAnsi="Arial" w:cs="Arial"/>
          <w:b/>
          <w:highlight w:val="yellow"/>
          <w:u w:val="single"/>
        </w:rPr>
      </w:pPr>
    </w:p>
    <w:p w:rsidR="005732F0" w:rsidRPr="007542F0" w:rsidRDefault="005732F0" w:rsidP="004920E8">
      <w:pPr>
        <w:pStyle w:val="BodyTextIndent"/>
        <w:ind w:left="0"/>
        <w:rPr>
          <w:rFonts w:ascii="Arial" w:hAnsi="Arial" w:cs="Arial"/>
          <w:b/>
          <w:u w:val="single"/>
        </w:rPr>
      </w:pPr>
      <w:r w:rsidRPr="007542F0">
        <w:rPr>
          <w:rFonts w:ascii="Arial" w:hAnsi="Arial" w:cs="Arial"/>
          <w:b/>
          <w:u w:val="single"/>
        </w:rPr>
        <w:t>Dosage Range</w:t>
      </w:r>
    </w:p>
    <w:p w:rsidR="005732F0" w:rsidRPr="007542F0" w:rsidRDefault="005732F0" w:rsidP="004920E8">
      <w:pPr>
        <w:pStyle w:val="BodyTextIndent"/>
        <w:ind w:left="0"/>
        <w:rPr>
          <w:rFonts w:ascii="Arial" w:hAnsi="Arial" w:cs="Arial"/>
          <w:b/>
          <w:u w:val="single"/>
        </w:rPr>
      </w:pPr>
    </w:p>
    <w:p w:rsidR="005732F0" w:rsidRPr="007542F0" w:rsidRDefault="004F27CC" w:rsidP="004920E8">
      <w:pPr>
        <w:pStyle w:val="BodyTextIndent"/>
        <w:ind w:left="0"/>
        <w:rPr>
          <w:rFonts w:ascii="Arial" w:hAnsi="Arial" w:cs="Arial"/>
          <w:b/>
        </w:rPr>
      </w:pPr>
      <w:r w:rsidRPr="007542F0">
        <w:rPr>
          <w:rFonts w:ascii="Arial" w:hAnsi="Arial" w:cs="Arial"/>
          <w:b/>
        </w:rPr>
        <w:t xml:space="preserve">Table </w:t>
      </w:r>
      <w:r w:rsidR="00364EDE" w:rsidRPr="007542F0">
        <w:rPr>
          <w:rFonts w:ascii="Arial" w:hAnsi="Arial" w:cs="Arial"/>
          <w:b/>
        </w:rPr>
        <w:t>6</w:t>
      </w:r>
      <w:r w:rsidR="005732F0" w:rsidRPr="007542F0">
        <w:rPr>
          <w:rFonts w:ascii="Arial" w:hAnsi="Arial" w:cs="Arial"/>
          <w:b/>
        </w:rPr>
        <w:t>. Dosing and Administration</w:t>
      </w:r>
      <w:r w:rsidR="00AC29F5" w:rsidRPr="007542F0">
        <w:rPr>
          <w:rFonts w:ascii="Arial" w:hAnsi="Arial" w:cs="Arial"/>
          <w:b/>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1760"/>
        <w:gridCol w:w="2250"/>
        <w:gridCol w:w="2250"/>
      </w:tblGrid>
      <w:tr w:rsidR="00E223B5" w:rsidRPr="007542F0" w:rsidTr="0083476D">
        <w:trPr>
          <w:tblHeader/>
        </w:trPr>
        <w:tc>
          <w:tcPr>
            <w:tcW w:w="3190" w:type="dxa"/>
            <w:tcBorders>
              <w:bottom w:val="single" w:sz="4" w:space="0" w:color="000000"/>
            </w:tcBorders>
            <w:shd w:val="clear" w:color="auto" w:fill="C0C0C0"/>
            <w:vAlign w:val="center"/>
          </w:tcPr>
          <w:p w:rsidR="00E223B5" w:rsidRPr="007542F0" w:rsidRDefault="00E223B5" w:rsidP="00F9017C">
            <w:pPr>
              <w:pStyle w:val="NoSpacing"/>
              <w:jc w:val="center"/>
              <w:rPr>
                <w:rFonts w:ascii="Arial" w:hAnsi="Arial" w:cs="Arial"/>
                <w:b/>
                <w:sz w:val="20"/>
                <w:szCs w:val="20"/>
              </w:rPr>
            </w:pPr>
            <w:r w:rsidRPr="007542F0">
              <w:rPr>
                <w:rFonts w:ascii="Arial" w:hAnsi="Arial" w:cs="Arial"/>
                <w:b/>
                <w:sz w:val="20"/>
                <w:szCs w:val="20"/>
              </w:rPr>
              <w:t>Adult Dose</w:t>
            </w:r>
          </w:p>
        </w:tc>
        <w:tc>
          <w:tcPr>
            <w:tcW w:w="1760" w:type="dxa"/>
            <w:tcBorders>
              <w:bottom w:val="single" w:sz="4" w:space="0" w:color="000000"/>
            </w:tcBorders>
            <w:shd w:val="clear" w:color="auto" w:fill="C0C0C0"/>
            <w:vAlign w:val="center"/>
          </w:tcPr>
          <w:p w:rsidR="00E223B5" w:rsidRPr="007542F0" w:rsidRDefault="00E223B5" w:rsidP="00F9017C">
            <w:pPr>
              <w:pStyle w:val="NoSpacing"/>
              <w:jc w:val="center"/>
              <w:rPr>
                <w:rFonts w:ascii="Arial" w:hAnsi="Arial" w:cs="Arial"/>
                <w:b/>
                <w:sz w:val="20"/>
                <w:szCs w:val="20"/>
              </w:rPr>
            </w:pPr>
            <w:r w:rsidRPr="007542F0">
              <w:rPr>
                <w:rFonts w:ascii="Arial" w:hAnsi="Arial" w:cs="Arial"/>
                <w:b/>
                <w:sz w:val="20"/>
                <w:szCs w:val="20"/>
              </w:rPr>
              <w:t>Pediatric Dose</w:t>
            </w:r>
          </w:p>
        </w:tc>
        <w:tc>
          <w:tcPr>
            <w:tcW w:w="2250" w:type="dxa"/>
            <w:tcBorders>
              <w:bottom w:val="single" w:sz="4" w:space="0" w:color="000000"/>
            </w:tcBorders>
            <w:shd w:val="clear" w:color="auto" w:fill="C0C0C0"/>
            <w:vAlign w:val="center"/>
          </w:tcPr>
          <w:p w:rsidR="00E223B5" w:rsidRPr="007542F0" w:rsidRDefault="00E223B5" w:rsidP="00F9017C">
            <w:pPr>
              <w:pStyle w:val="NoSpacing"/>
              <w:jc w:val="center"/>
              <w:rPr>
                <w:rFonts w:ascii="Arial" w:hAnsi="Arial" w:cs="Arial"/>
                <w:b/>
                <w:sz w:val="20"/>
                <w:szCs w:val="20"/>
              </w:rPr>
            </w:pPr>
            <w:r w:rsidRPr="007542F0">
              <w:rPr>
                <w:rFonts w:ascii="Arial" w:hAnsi="Arial" w:cs="Arial"/>
                <w:b/>
                <w:sz w:val="20"/>
                <w:szCs w:val="20"/>
              </w:rPr>
              <w:t>Renal Dose</w:t>
            </w:r>
          </w:p>
        </w:tc>
        <w:tc>
          <w:tcPr>
            <w:tcW w:w="2250" w:type="dxa"/>
            <w:tcBorders>
              <w:bottom w:val="single" w:sz="4" w:space="0" w:color="000000"/>
            </w:tcBorders>
            <w:shd w:val="clear" w:color="auto" w:fill="C0C0C0"/>
            <w:vAlign w:val="center"/>
          </w:tcPr>
          <w:p w:rsidR="00E223B5" w:rsidRPr="007542F0" w:rsidRDefault="00E223B5" w:rsidP="00E223B5">
            <w:pPr>
              <w:pStyle w:val="NoSpacing"/>
              <w:jc w:val="center"/>
              <w:rPr>
                <w:rFonts w:ascii="Arial" w:hAnsi="Arial" w:cs="Arial"/>
                <w:b/>
                <w:sz w:val="20"/>
                <w:szCs w:val="20"/>
              </w:rPr>
            </w:pPr>
            <w:r w:rsidRPr="007542F0">
              <w:rPr>
                <w:rFonts w:ascii="Arial" w:hAnsi="Arial" w:cs="Arial"/>
                <w:b/>
                <w:sz w:val="20"/>
                <w:szCs w:val="20"/>
              </w:rPr>
              <w:t>Hepatic Dose</w:t>
            </w:r>
          </w:p>
        </w:tc>
      </w:tr>
      <w:tr w:rsidR="00E223B5" w:rsidRPr="00083D63" w:rsidTr="0083476D">
        <w:tc>
          <w:tcPr>
            <w:tcW w:w="3190" w:type="dxa"/>
          </w:tcPr>
          <w:p w:rsidR="00E223B5" w:rsidRPr="006E1C3F" w:rsidRDefault="00E223B5" w:rsidP="00F9017C">
            <w:pPr>
              <w:spacing w:after="0" w:line="240" w:lineRule="auto"/>
              <w:rPr>
                <w:rFonts w:ascii="Arial" w:hAnsi="Arial" w:cs="Arial"/>
                <w:sz w:val="20"/>
                <w:szCs w:val="20"/>
                <w:u w:val="single"/>
              </w:rPr>
            </w:pPr>
            <w:r w:rsidRPr="006E1C3F">
              <w:rPr>
                <w:rFonts w:ascii="Arial" w:hAnsi="Arial" w:cs="Arial"/>
                <w:sz w:val="20"/>
                <w:szCs w:val="20"/>
                <w:u w:val="single"/>
              </w:rPr>
              <w:t>Pain severe enough to require daily, around-the-clock, long-term opioid treatment for which alternative treatment options are inadequate:</w:t>
            </w:r>
          </w:p>
          <w:p w:rsidR="00F9017C" w:rsidRPr="00083D63" w:rsidRDefault="00F9017C" w:rsidP="00F9017C">
            <w:pPr>
              <w:spacing w:after="0" w:line="240" w:lineRule="auto"/>
              <w:rPr>
                <w:rFonts w:ascii="Arial" w:hAnsi="Arial" w:cs="Arial"/>
                <w:sz w:val="20"/>
                <w:szCs w:val="20"/>
                <w:highlight w:val="yellow"/>
              </w:rPr>
            </w:pPr>
          </w:p>
          <w:p w:rsidR="00F9017C" w:rsidRPr="00F94F2F" w:rsidRDefault="00F9017C" w:rsidP="00F9017C">
            <w:pPr>
              <w:spacing w:after="0" w:line="240" w:lineRule="auto"/>
              <w:rPr>
                <w:rFonts w:ascii="Arial" w:hAnsi="Arial" w:cs="Arial"/>
                <w:sz w:val="20"/>
                <w:szCs w:val="20"/>
              </w:rPr>
            </w:pPr>
            <w:r w:rsidRPr="00F94F2F">
              <w:rPr>
                <w:rFonts w:ascii="Arial" w:hAnsi="Arial" w:cs="Arial"/>
                <w:sz w:val="20"/>
                <w:szCs w:val="20"/>
              </w:rPr>
              <w:t>I</w:t>
            </w:r>
            <w:r w:rsidR="00E223B5" w:rsidRPr="00F94F2F">
              <w:rPr>
                <w:rFonts w:ascii="Arial" w:hAnsi="Arial" w:cs="Arial"/>
                <w:sz w:val="20"/>
                <w:szCs w:val="20"/>
              </w:rPr>
              <w:t>nitial (opioid naïve or pat</w:t>
            </w:r>
            <w:r w:rsidRPr="00F94F2F">
              <w:rPr>
                <w:rFonts w:ascii="Arial" w:hAnsi="Arial" w:cs="Arial"/>
                <w:sz w:val="20"/>
                <w:szCs w:val="20"/>
              </w:rPr>
              <w:t>ients without opioid tolerance</w:t>
            </w:r>
            <w:r w:rsidR="00F94F2F" w:rsidRPr="00F94F2F">
              <w:rPr>
                <w:rFonts w:ascii="Arial" w:hAnsi="Arial" w:cs="Arial"/>
                <w:sz w:val="20"/>
                <w:szCs w:val="20"/>
              </w:rPr>
              <w:t xml:space="preserve"> for whom </w:t>
            </w:r>
            <w:proofErr w:type="spellStart"/>
            <w:r w:rsidR="00F94F2F" w:rsidRPr="00F94F2F">
              <w:rPr>
                <w:rFonts w:ascii="Arial" w:hAnsi="Arial" w:cs="Arial"/>
                <w:sz w:val="20"/>
                <w:szCs w:val="20"/>
              </w:rPr>
              <w:t>Zohydro</w:t>
            </w:r>
            <w:proofErr w:type="spellEnd"/>
            <w:r w:rsidR="00F94F2F" w:rsidRPr="00F94F2F">
              <w:rPr>
                <w:rFonts w:ascii="Arial" w:hAnsi="Arial" w:cs="Arial"/>
                <w:sz w:val="20"/>
                <w:szCs w:val="20"/>
              </w:rPr>
              <w:t xml:space="preserve"> ER</w:t>
            </w:r>
            <w:r w:rsidR="00AE5757" w:rsidRPr="00F94F2F">
              <w:rPr>
                <w:rFonts w:ascii="Arial" w:hAnsi="Arial" w:cs="Arial"/>
                <w:sz w:val="20"/>
                <w:szCs w:val="20"/>
                <w:vertAlign w:val="superscript"/>
              </w:rPr>
              <w:t>®</w:t>
            </w:r>
            <w:r w:rsidR="00F94F2F" w:rsidRPr="00F94F2F">
              <w:rPr>
                <w:rFonts w:ascii="Arial" w:hAnsi="Arial" w:cs="Arial"/>
                <w:sz w:val="20"/>
                <w:szCs w:val="20"/>
              </w:rPr>
              <w:t xml:space="preserve"> is the first opioid analgesic</w:t>
            </w:r>
            <w:r w:rsidRPr="00F94F2F">
              <w:rPr>
                <w:rFonts w:ascii="Arial" w:hAnsi="Arial" w:cs="Arial"/>
                <w:sz w:val="20"/>
                <w:szCs w:val="20"/>
              </w:rPr>
              <w:t>):</w:t>
            </w:r>
            <w:r w:rsidR="00E223B5" w:rsidRPr="00F94F2F">
              <w:rPr>
                <w:rFonts w:ascii="Arial" w:hAnsi="Arial" w:cs="Arial"/>
                <w:sz w:val="20"/>
                <w:szCs w:val="20"/>
              </w:rPr>
              <w:t xml:space="preserve"> </w:t>
            </w:r>
            <w:r w:rsidR="00F94F2F" w:rsidRPr="00F94F2F">
              <w:rPr>
                <w:rFonts w:ascii="Arial" w:hAnsi="Arial" w:cs="Arial"/>
                <w:sz w:val="20"/>
                <w:szCs w:val="20"/>
              </w:rPr>
              <w:t xml:space="preserve">10 </w:t>
            </w:r>
            <w:r w:rsidR="00E223B5" w:rsidRPr="00F94F2F">
              <w:rPr>
                <w:rFonts w:ascii="Arial" w:hAnsi="Arial" w:cs="Arial"/>
                <w:sz w:val="20"/>
                <w:szCs w:val="20"/>
              </w:rPr>
              <w:t xml:space="preserve">mg </w:t>
            </w:r>
            <w:r w:rsidR="00F94F2F" w:rsidRPr="00F94F2F">
              <w:rPr>
                <w:rFonts w:ascii="Arial" w:hAnsi="Arial" w:cs="Arial"/>
                <w:sz w:val="20"/>
                <w:szCs w:val="20"/>
              </w:rPr>
              <w:t>every 12 hours</w:t>
            </w:r>
            <w:r w:rsidRPr="00F94F2F">
              <w:rPr>
                <w:rFonts w:ascii="Arial" w:hAnsi="Arial" w:cs="Arial"/>
                <w:sz w:val="20"/>
                <w:szCs w:val="20"/>
              </w:rPr>
              <w:t>.</w:t>
            </w:r>
          </w:p>
          <w:p w:rsidR="00F9017C" w:rsidRPr="00F94F2F" w:rsidRDefault="00F9017C" w:rsidP="00F9017C">
            <w:pPr>
              <w:spacing w:after="0" w:line="240" w:lineRule="auto"/>
              <w:rPr>
                <w:rFonts w:ascii="Arial" w:hAnsi="Arial" w:cs="Arial"/>
                <w:sz w:val="20"/>
                <w:szCs w:val="20"/>
              </w:rPr>
            </w:pPr>
          </w:p>
          <w:p w:rsidR="00F9017C" w:rsidRPr="00F94F2F" w:rsidRDefault="00F9017C" w:rsidP="00F9017C">
            <w:pPr>
              <w:spacing w:after="0" w:line="240" w:lineRule="auto"/>
              <w:rPr>
                <w:rFonts w:ascii="Arial" w:hAnsi="Arial" w:cs="Arial"/>
                <w:sz w:val="20"/>
                <w:szCs w:val="20"/>
              </w:rPr>
            </w:pPr>
            <w:r w:rsidRPr="00F94F2F">
              <w:rPr>
                <w:rFonts w:ascii="Arial" w:hAnsi="Arial" w:cs="Arial"/>
                <w:sz w:val="20"/>
                <w:szCs w:val="20"/>
              </w:rPr>
              <w:t>I</w:t>
            </w:r>
            <w:r w:rsidR="00E223B5" w:rsidRPr="00F94F2F">
              <w:rPr>
                <w:rFonts w:ascii="Arial" w:hAnsi="Arial" w:cs="Arial"/>
                <w:sz w:val="20"/>
                <w:szCs w:val="20"/>
              </w:rPr>
              <w:t xml:space="preserve">nitial </w:t>
            </w:r>
            <w:r w:rsidRPr="00F94F2F">
              <w:rPr>
                <w:rFonts w:ascii="Arial" w:hAnsi="Arial" w:cs="Arial"/>
                <w:sz w:val="20"/>
                <w:szCs w:val="20"/>
              </w:rPr>
              <w:t>(conversion from other opioids):</w:t>
            </w:r>
            <w:r w:rsidR="00E223B5" w:rsidRPr="00F94F2F">
              <w:rPr>
                <w:rFonts w:ascii="Arial" w:hAnsi="Arial" w:cs="Arial"/>
                <w:sz w:val="20"/>
                <w:szCs w:val="20"/>
              </w:rPr>
              <w:t xml:space="preserve"> use provided table (Table </w:t>
            </w:r>
            <w:r w:rsidR="001861F2" w:rsidRPr="00F94F2F">
              <w:rPr>
                <w:rFonts w:ascii="Arial" w:hAnsi="Arial" w:cs="Arial"/>
                <w:sz w:val="20"/>
                <w:szCs w:val="20"/>
              </w:rPr>
              <w:t>7</w:t>
            </w:r>
            <w:r w:rsidRPr="00F94F2F">
              <w:rPr>
                <w:rFonts w:ascii="Arial" w:hAnsi="Arial" w:cs="Arial"/>
                <w:sz w:val="20"/>
                <w:szCs w:val="20"/>
              </w:rPr>
              <w:t>) to calculate starting dose.</w:t>
            </w:r>
          </w:p>
          <w:p w:rsidR="00F9017C" w:rsidRPr="00151BDF" w:rsidRDefault="00F9017C" w:rsidP="00F9017C">
            <w:pPr>
              <w:spacing w:after="0" w:line="240" w:lineRule="auto"/>
              <w:rPr>
                <w:rFonts w:ascii="Arial" w:hAnsi="Arial" w:cs="Arial"/>
                <w:sz w:val="20"/>
                <w:szCs w:val="20"/>
              </w:rPr>
            </w:pPr>
          </w:p>
          <w:p w:rsidR="00F9017C" w:rsidRPr="00151BDF" w:rsidRDefault="00F9017C" w:rsidP="00F9017C">
            <w:pPr>
              <w:spacing w:after="0" w:line="240" w:lineRule="auto"/>
              <w:rPr>
                <w:rFonts w:ascii="Arial" w:hAnsi="Arial" w:cs="Arial"/>
                <w:sz w:val="20"/>
                <w:szCs w:val="20"/>
              </w:rPr>
            </w:pPr>
            <w:r w:rsidRPr="00151BDF">
              <w:rPr>
                <w:rFonts w:ascii="Arial" w:hAnsi="Arial" w:cs="Arial"/>
                <w:sz w:val="20"/>
                <w:szCs w:val="20"/>
              </w:rPr>
              <w:t>Maintenance:</w:t>
            </w:r>
            <w:r w:rsidR="00E223B5" w:rsidRPr="00151BDF">
              <w:rPr>
                <w:rFonts w:ascii="Arial" w:hAnsi="Arial" w:cs="Arial"/>
                <w:sz w:val="20"/>
                <w:szCs w:val="20"/>
              </w:rPr>
              <w:t xml:space="preserve"> titrate dose to efficacy in increments of 10 mg </w:t>
            </w:r>
            <w:r w:rsidR="00151BDF" w:rsidRPr="00151BDF">
              <w:rPr>
                <w:rFonts w:ascii="Arial" w:hAnsi="Arial" w:cs="Arial"/>
                <w:sz w:val="20"/>
                <w:szCs w:val="20"/>
              </w:rPr>
              <w:t xml:space="preserve">every 12 hours </w:t>
            </w:r>
            <w:r w:rsidR="00E223B5" w:rsidRPr="00151BDF">
              <w:rPr>
                <w:rFonts w:ascii="Arial" w:hAnsi="Arial" w:cs="Arial"/>
                <w:sz w:val="20"/>
                <w:szCs w:val="20"/>
              </w:rPr>
              <w:t xml:space="preserve">every three to </w:t>
            </w:r>
            <w:r w:rsidR="00151BDF" w:rsidRPr="00151BDF">
              <w:rPr>
                <w:rFonts w:ascii="Arial" w:hAnsi="Arial" w:cs="Arial"/>
                <w:sz w:val="20"/>
                <w:szCs w:val="20"/>
              </w:rPr>
              <w:t>seven</w:t>
            </w:r>
            <w:r w:rsidRPr="00151BDF">
              <w:rPr>
                <w:rFonts w:ascii="Arial" w:hAnsi="Arial" w:cs="Arial"/>
                <w:sz w:val="20"/>
                <w:szCs w:val="20"/>
              </w:rPr>
              <w:t xml:space="preserve"> days as necessary.</w:t>
            </w:r>
          </w:p>
          <w:p w:rsidR="00F9017C" w:rsidRPr="00083D63" w:rsidRDefault="00F9017C" w:rsidP="00F9017C">
            <w:pPr>
              <w:spacing w:after="0" w:line="240" w:lineRule="auto"/>
              <w:rPr>
                <w:rFonts w:ascii="Arial" w:hAnsi="Arial" w:cs="Arial"/>
                <w:sz w:val="20"/>
                <w:szCs w:val="20"/>
                <w:highlight w:val="yellow"/>
              </w:rPr>
            </w:pPr>
          </w:p>
          <w:p w:rsidR="00E223B5" w:rsidRPr="00083D63" w:rsidRDefault="00F9017C" w:rsidP="00F9017C">
            <w:pPr>
              <w:spacing w:after="0" w:line="240" w:lineRule="auto"/>
              <w:rPr>
                <w:rFonts w:ascii="Arial" w:hAnsi="Arial" w:cs="Arial"/>
                <w:sz w:val="20"/>
                <w:szCs w:val="20"/>
                <w:highlight w:val="yellow"/>
              </w:rPr>
            </w:pPr>
            <w:r w:rsidRPr="00151BDF">
              <w:rPr>
                <w:rFonts w:ascii="Arial" w:hAnsi="Arial" w:cs="Arial"/>
                <w:sz w:val="20"/>
                <w:szCs w:val="20"/>
              </w:rPr>
              <w:t>Maximum:</w:t>
            </w:r>
            <w:r w:rsidR="00E223B5" w:rsidRPr="00151BDF">
              <w:rPr>
                <w:rFonts w:ascii="Arial" w:hAnsi="Arial" w:cs="Arial"/>
                <w:sz w:val="20"/>
                <w:szCs w:val="20"/>
              </w:rPr>
              <w:t xml:space="preserve"> no maximum dose provided.</w:t>
            </w:r>
          </w:p>
        </w:tc>
        <w:tc>
          <w:tcPr>
            <w:tcW w:w="1760" w:type="dxa"/>
          </w:tcPr>
          <w:p w:rsidR="00E223B5" w:rsidRPr="007542F0" w:rsidRDefault="00E223B5" w:rsidP="00F9017C">
            <w:pPr>
              <w:pStyle w:val="NoSpacing"/>
              <w:rPr>
                <w:rFonts w:ascii="Arial" w:hAnsi="Arial" w:cs="Arial"/>
                <w:sz w:val="20"/>
                <w:szCs w:val="20"/>
              </w:rPr>
            </w:pPr>
            <w:r w:rsidRPr="007542F0">
              <w:rPr>
                <w:rFonts w:ascii="Arial" w:hAnsi="Arial" w:cs="Arial"/>
                <w:sz w:val="20"/>
                <w:szCs w:val="20"/>
              </w:rPr>
              <w:lastRenderedPageBreak/>
              <w:t>Safety and efficacy in pediatric patients have not been established.</w:t>
            </w:r>
          </w:p>
          <w:p w:rsidR="00E223B5" w:rsidRPr="007542F0" w:rsidRDefault="00E223B5" w:rsidP="00F9017C">
            <w:pPr>
              <w:pStyle w:val="NoSpacing"/>
              <w:rPr>
                <w:rFonts w:ascii="Arial" w:hAnsi="Arial" w:cs="Arial"/>
                <w:color w:val="0000FF"/>
                <w:sz w:val="20"/>
                <w:szCs w:val="20"/>
              </w:rPr>
            </w:pPr>
          </w:p>
          <w:p w:rsidR="00E223B5" w:rsidRPr="007542F0" w:rsidRDefault="00E223B5" w:rsidP="00F9017C">
            <w:pPr>
              <w:pStyle w:val="NoSpacing"/>
              <w:rPr>
                <w:rFonts w:ascii="Arial" w:hAnsi="Arial" w:cs="Arial"/>
                <w:i/>
                <w:sz w:val="20"/>
                <w:szCs w:val="20"/>
              </w:rPr>
            </w:pPr>
          </w:p>
        </w:tc>
        <w:tc>
          <w:tcPr>
            <w:tcW w:w="2250" w:type="dxa"/>
          </w:tcPr>
          <w:p w:rsidR="00E223B5" w:rsidRPr="007542F0" w:rsidRDefault="00E223B5" w:rsidP="007542F0">
            <w:pPr>
              <w:spacing w:after="0" w:line="240" w:lineRule="auto"/>
              <w:rPr>
                <w:rFonts w:ascii="Arial" w:hAnsi="Arial" w:cs="Arial"/>
                <w:sz w:val="20"/>
                <w:szCs w:val="20"/>
              </w:rPr>
            </w:pPr>
            <w:r w:rsidRPr="007542F0">
              <w:rPr>
                <w:rFonts w:ascii="Arial" w:hAnsi="Arial" w:cs="Arial"/>
                <w:sz w:val="20"/>
                <w:szCs w:val="20"/>
              </w:rPr>
              <w:t xml:space="preserve">Initiate </w:t>
            </w:r>
            <w:r w:rsidR="007542F0" w:rsidRPr="007542F0">
              <w:rPr>
                <w:rFonts w:ascii="Arial" w:hAnsi="Arial" w:cs="Arial"/>
                <w:sz w:val="20"/>
                <w:szCs w:val="20"/>
              </w:rPr>
              <w:t>therapy with a low</w:t>
            </w:r>
            <w:r w:rsidRPr="007542F0">
              <w:rPr>
                <w:rFonts w:ascii="Arial" w:hAnsi="Arial" w:cs="Arial"/>
                <w:sz w:val="20"/>
                <w:szCs w:val="20"/>
              </w:rPr>
              <w:t xml:space="preserve"> dose and monitor closely for respiratory depression and sedation.</w:t>
            </w:r>
          </w:p>
        </w:tc>
        <w:tc>
          <w:tcPr>
            <w:tcW w:w="2250" w:type="dxa"/>
          </w:tcPr>
          <w:p w:rsidR="00E223B5" w:rsidRPr="007542F0" w:rsidRDefault="00E223B5" w:rsidP="007542F0">
            <w:pPr>
              <w:spacing w:after="0" w:line="240" w:lineRule="auto"/>
              <w:rPr>
                <w:rFonts w:ascii="Arial" w:hAnsi="Arial" w:cs="Arial"/>
                <w:sz w:val="20"/>
                <w:szCs w:val="20"/>
              </w:rPr>
            </w:pPr>
            <w:r w:rsidRPr="007542F0">
              <w:rPr>
                <w:rFonts w:ascii="Arial" w:hAnsi="Arial" w:cs="Arial"/>
                <w:sz w:val="20"/>
                <w:szCs w:val="20"/>
              </w:rPr>
              <w:t xml:space="preserve">Initiate dosing with </w:t>
            </w:r>
            <w:r w:rsidR="007542F0" w:rsidRPr="007542F0">
              <w:rPr>
                <w:rFonts w:ascii="Arial" w:hAnsi="Arial" w:cs="Arial"/>
                <w:sz w:val="20"/>
                <w:szCs w:val="20"/>
              </w:rPr>
              <w:t xml:space="preserve">the lowest dose, 10 mg, </w:t>
            </w:r>
            <w:r w:rsidRPr="007542F0">
              <w:rPr>
                <w:rFonts w:ascii="Arial" w:hAnsi="Arial" w:cs="Arial"/>
                <w:sz w:val="20"/>
                <w:szCs w:val="20"/>
              </w:rPr>
              <w:t>and monitor closely for respiratory depression and sedation.</w:t>
            </w:r>
          </w:p>
        </w:tc>
      </w:tr>
    </w:tbl>
    <w:p w:rsidR="005732F0" w:rsidRPr="00083D63" w:rsidRDefault="005732F0" w:rsidP="004920E8">
      <w:pPr>
        <w:pStyle w:val="BodyTextIndent"/>
        <w:ind w:left="0"/>
        <w:rPr>
          <w:rFonts w:ascii="Arial" w:hAnsi="Arial" w:cs="Arial"/>
          <w:b/>
          <w:highlight w:val="yellow"/>
        </w:rPr>
      </w:pPr>
    </w:p>
    <w:p w:rsidR="00AC29F5" w:rsidRPr="007542F0" w:rsidRDefault="00981A22" w:rsidP="004920E8">
      <w:pPr>
        <w:pStyle w:val="BodyTextIndent"/>
        <w:ind w:left="0"/>
        <w:rPr>
          <w:rFonts w:ascii="Arial" w:hAnsi="Arial" w:cs="Arial"/>
        </w:rPr>
      </w:pPr>
      <w:r w:rsidRPr="007542F0">
        <w:rPr>
          <w:rFonts w:ascii="Arial" w:hAnsi="Arial" w:cs="Arial"/>
        </w:rPr>
        <w:t xml:space="preserve">For patients converting from a different opioid to </w:t>
      </w:r>
      <w:proofErr w:type="spellStart"/>
      <w:r w:rsidR="007542F0" w:rsidRPr="007542F0">
        <w:rPr>
          <w:rFonts w:ascii="Arial" w:hAnsi="Arial" w:cs="Arial"/>
        </w:rPr>
        <w:t>Zohydro</w:t>
      </w:r>
      <w:proofErr w:type="spellEnd"/>
      <w:r w:rsidRPr="007542F0">
        <w:rPr>
          <w:rFonts w:ascii="Arial" w:hAnsi="Arial" w:cs="Arial"/>
        </w:rPr>
        <w:t xml:space="preserve"> ER</w:t>
      </w:r>
      <w:r w:rsidR="00AE5757" w:rsidRPr="007542F0">
        <w:rPr>
          <w:rFonts w:ascii="Arial" w:hAnsi="Arial" w:cs="Arial"/>
          <w:vertAlign w:val="superscript"/>
        </w:rPr>
        <w:t>®</w:t>
      </w:r>
      <w:r w:rsidRPr="007542F0">
        <w:rPr>
          <w:rFonts w:ascii="Arial" w:hAnsi="Arial" w:cs="Arial"/>
        </w:rPr>
        <w:t xml:space="preserve"> (hydrocodone extended-release), the manufacturer provides a table to estimate a total hydrocodone daily dose.</w:t>
      </w:r>
    </w:p>
    <w:p w:rsidR="00981A22" w:rsidRPr="0096771C" w:rsidRDefault="00981A22" w:rsidP="004920E8">
      <w:pPr>
        <w:pStyle w:val="BodyTextIndent"/>
        <w:ind w:left="0"/>
        <w:rPr>
          <w:rFonts w:ascii="Arial" w:hAnsi="Arial" w:cs="Arial"/>
        </w:rPr>
      </w:pPr>
    </w:p>
    <w:p w:rsidR="00981A22" w:rsidRPr="0096771C" w:rsidRDefault="00981A22" w:rsidP="004920E8">
      <w:pPr>
        <w:pStyle w:val="BodyTextIndent"/>
        <w:ind w:left="0"/>
        <w:rPr>
          <w:rFonts w:ascii="Arial" w:hAnsi="Arial" w:cs="Arial"/>
          <w:b/>
        </w:rPr>
      </w:pPr>
      <w:r w:rsidRPr="0096771C">
        <w:rPr>
          <w:rFonts w:ascii="Arial" w:hAnsi="Arial" w:cs="Arial"/>
          <w:b/>
        </w:rPr>
        <w:t xml:space="preserve">Table </w:t>
      </w:r>
      <w:r w:rsidR="00364EDE" w:rsidRPr="0096771C">
        <w:rPr>
          <w:rFonts w:ascii="Arial" w:hAnsi="Arial" w:cs="Arial"/>
          <w:b/>
        </w:rPr>
        <w:t>7</w:t>
      </w:r>
      <w:r w:rsidRPr="0096771C">
        <w:rPr>
          <w:rFonts w:ascii="Arial" w:hAnsi="Arial" w:cs="Arial"/>
          <w:b/>
        </w:rPr>
        <w:t>. Opioid Conversion Factors</w:t>
      </w:r>
      <w:r w:rsidRPr="0096771C">
        <w:rPr>
          <w:rFonts w:ascii="Arial" w:hAnsi="Arial" w:cs="Arial"/>
          <w:b/>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3080"/>
        <w:gridCol w:w="3190"/>
      </w:tblGrid>
      <w:tr w:rsidR="00981A22" w:rsidRPr="0096771C" w:rsidTr="00F9017C">
        <w:trPr>
          <w:tblHeader/>
        </w:trPr>
        <w:tc>
          <w:tcPr>
            <w:tcW w:w="3190" w:type="dxa"/>
            <w:tcBorders>
              <w:bottom w:val="single" w:sz="4" w:space="0" w:color="000000"/>
            </w:tcBorders>
            <w:shd w:val="clear" w:color="auto" w:fill="C0C0C0"/>
            <w:vAlign w:val="center"/>
          </w:tcPr>
          <w:p w:rsidR="00981A22" w:rsidRPr="0096771C" w:rsidRDefault="00981A22" w:rsidP="00F9017C">
            <w:pPr>
              <w:pStyle w:val="NoSpacing"/>
              <w:jc w:val="center"/>
              <w:rPr>
                <w:rFonts w:ascii="Arial" w:hAnsi="Arial" w:cs="Arial"/>
                <w:b/>
                <w:sz w:val="20"/>
                <w:szCs w:val="20"/>
              </w:rPr>
            </w:pPr>
            <w:r w:rsidRPr="0096771C">
              <w:rPr>
                <w:rFonts w:ascii="Arial" w:hAnsi="Arial" w:cs="Arial"/>
                <w:b/>
                <w:sz w:val="20"/>
                <w:szCs w:val="20"/>
              </w:rPr>
              <w:t>Opioid</w:t>
            </w:r>
          </w:p>
        </w:tc>
        <w:tc>
          <w:tcPr>
            <w:tcW w:w="3080" w:type="dxa"/>
            <w:tcBorders>
              <w:bottom w:val="single" w:sz="4" w:space="0" w:color="000000"/>
            </w:tcBorders>
            <w:shd w:val="clear" w:color="auto" w:fill="C0C0C0"/>
            <w:vAlign w:val="center"/>
          </w:tcPr>
          <w:p w:rsidR="00981A22" w:rsidRPr="0096771C" w:rsidRDefault="00981A22" w:rsidP="00020DBE">
            <w:pPr>
              <w:pStyle w:val="NoSpacing"/>
              <w:jc w:val="center"/>
              <w:rPr>
                <w:rFonts w:ascii="Arial" w:hAnsi="Arial" w:cs="Arial"/>
                <w:b/>
                <w:sz w:val="20"/>
                <w:szCs w:val="20"/>
              </w:rPr>
            </w:pPr>
            <w:r w:rsidRPr="0096771C">
              <w:rPr>
                <w:rFonts w:ascii="Arial" w:hAnsi="Arial" w:cs="Arial"/>
                <w:b/>
                <w:sz w:val="20"/>
                <w:szCs w:val="20"/>
              </w:rPr>
              <w:t>Oral Dose</w:t>
            </w:r>
            <w:r w:rsidR="00020DBE" w:rsidRPr="0096771C">
              <w:rPr>
                <w:rFonts w:ascii="Arial" w:hAnsi="Arial" w:cs="Arial"/>
                <w:b/>
                <w:sz w:val="20"/>
                <w:szCs w:val="20"/>
              </w:rPr>
              <w:t>*</w:t>
            </w:r>
          </w:p>
        </w:tc>
        <w:tc>
          <w:tcPr>
            <w:tcW w:w="3190" w:type="dxa"/>
            <w:tcBorders>
              <w:bottom w:val="single" w:sz="4" w:space="0" w:color="000000"/>
            </w:tcBorders>
            <w:shd w:val="clear" w:color="auto" w:fill="C0C0C0"/>
            <w:vAlign w:val="center"/>
          </w:tcPr>
          <w:p w:rsidR="00981A22" w:rsidRPr="0096771C" w:rsidRDefault="00981A22" w:rsidP="00020DBE">
            <w:pPr>
              <w:pStyle w:val="NoSpacing"/>
              <w:jc w:val="center"/>
              <w:rPr>
                <w:rFonts w:ascii="Arial" w:hAnsi="Arial" w:cs="Arial"/>
                <w:b/>
                <w:sz w:val="20"/>
                <w:szCs w:val="20"/>
              </w:rPr>
            </w:pPr>
            <w:r w:rsidRPr="0096771C">
              <w:rPr>
                <w:rFonts w:ascii="Arial" w:hAnsi="Arial" w:cs="Arial"/>
                <w:b/>
                <w:sz w:val="20"/>
                <w:szCs w:val="20"/>
              </w:rPr>
              <w:t>Approximate Oral Conversion Factor</w:t>
            </w:r>
          </w:p>
        </w:tc>
      </w:tr>
      <w:tr w:rsidR="00981A22" w:rsidRPr="0096771C" w:rsidTr="00F9017C">
        <w:tc>
          <w:tcPr>
            <w:tcW w:w="3190" w:type="dxa"/>
          </w:tcPr>
          <w:p w:rsidR="00981A22" w:rsidRPr="0096771C" w:rsidRDefault="00020DBE" w:rsidP="00F9017C">
            <w:pPr>
              <w:spacing w:after="0" w:line="240" w:lineRule="auto"/>
              <w:rPr>
                <w:rFonts w:ascii="Arial" w:hAnsi="Arial" w:cs="Arial"/>
                <w:sz w:val="20"/>
                <w:szCs w:val="20"/>
              </w:rPr>
            </w:pPr>
            <w:r w:rsidRPr="0096771C">
              <w:rPr>
                <w:rFonts w:ascii="Arial" w:hAnsi="Arial" w:cs="Arial"/>
                <w:sz w:val="20"/>
                <w:szCs w:val="20"/>
              </w:rPr>
              <w:t>Codeine</w:t>
            </w:r>
          </w:p>
        </w:tc>
        <w:tc>
          <w:tcPr>
            <w:tcW w:w="3080" w:type="dxa"/>
          </w:tcPr>
          <w:p w:rsidR="00981A22" w:rsidRPr="0096771C" w:rsidRDefault="00706D8D" w:rsidP="00020DBE">
            <w:pPr>
              <w:pStyle w:val="NoSpacing"/>
              <w:jc w:val="center"/>
              <w:rPr>
                <w:rFonts w:ascii="Arial" w:hAnsi="Arial" w:cs="Arial"/>
                <w:sz w:val="20"/>
                <w:szCs w:val="20"/>
              </w:rPr>
            </w:pPr>
            <w:r w:rsidRPr="0096771C">
              <w:rPr>
                <w:rFonts w:ascii="Arial" w:hAnsi="Arial" w:cs="Arial"/>
                <w:sz w:val="20"/>
                <w:szCs w:val="20"/>
              </w:rPr>
              <w:t>100</w:t>
            </w:r>
            <w:r w:rsidR="00020DBE" w:rsidRPr="0096771C">
              <w:rPr>
                <w:rFonts w:ascii="Arial" w:hAnsi="Arial" w:cs="Arial"/>
                <w:sz w:val="20"/>
                <w:szCs w:val="20"/>
              </w:rPr>
              <w:t xml:space="preserve"> mg</w:t>
            </w:r>
          </w:p>
        </w:tc>
        <w:tc>
          <w:tcPr>
            <w:tcW w:w="3190" w:type="dxa"/>
          </w:tcPr>
          <w:p w:rsidR="00981A22" w:rsidRPr="0096771C" w:rsidRDefault="00706D8D" w:rsidP="00020DBE">
            <w:pPr>
              <w:spacing w:after="0" w:line="240" w:lineRule="auto"/>
              <w:jc w:val="center"/>
              <w:rPr>
                <w:rFonts w:ascii="Arial" w:hAnsi="Arial" w:cs="Arial"/>
                <w:sz w:val="20"/>
                <w:szCs w:val="20"/>
              </w:rPr>
            </w:pPr>
            <w:r w:rsidRPr="0096771C">
              <w:rPr>
                <w:rFonts w:ascii="Arial" w:hAnsi="Arial" w:cs="Arial"/>
                <w:sz w:val="20"/>
                <w:szCs w:val="20"/>
              </w:rPr>
              <w:t>0.10</w:t>
            </w:r>
          </w:p>
        </w:tc>
      </w:tr>
      <w:tr w:rsidR="00020DBE" w:rsidRPr="0096771C" w:rsidTr="00F9017C">
        <w:tc>
          <w:tcPr>
            <w:tcW w:w="3190" w:type="dxa"/>
          </w:tcPr>
          <w:p w:rsidR="00020DBE" w:rsidRPr="0096771C" w:rsidRDefault="00020DBE" w:rsidP="00F9017C">
            <w:pPr>
              <w:spacing w:after="0" w:line="240" w:lineRule="auto"/>
              <w:rPr>
                <w:rFonts w:ascii="Arial" w:hAnsi="Arial" w:cs="Arial"/>
                <w:sz w:val="20"/>
                <w:szCs w:val="20"/>
              </w:rPr>
            </w:pPr>
            <w:r w:rsidRPr="0096771C">
              <w:rPr>
                <w:rFonts w:ascii="Arial" w:hAnsi="Arial" w:cs="Arial"/>
                <w:sz w:val="20"/>
                <w:szCs w:val="20"/>
              </w:rPr>
              <w:t>Hydromorphone</w:t>
            </w:r>
          </w:p>
        </w:tc>
        <w:tc>
          <w:tcPr>
            <w:tcW w:w="3080" w:type="dxa"/>
          </w:tcPr>
          <w:p w:rsidR="00020DBE" w:rsidRPr="0096771C" w:rsidRDefault="00706D8D" w:rsidP="00020DBE">
            <w:pPr>
              <w:pStyle w:val="NoSpacing"/>
              <w:jc w:val="center"/>
              <w:rPr>
                <w:rFonts w:ascii="Arial" w:hAnsi="Arial" w:cs="Arial"/>
                <w:sz w:val="20"/>
                <w:szCs w:val="20"/>
              </w:rPr>
            </w:pPr>
            <w:r w:rsidRPr="0096771C">
              <w:rPr>
                <w:rFonts w:ascii="Arial" w:hAnsi="Arial" w:cs="Arial"/>
                <w:sz w:val="20"/>
                <w:szCs w:val="20"/>
              </w:rPr>
              <w:t>3.75</w:t>
            </w:r>
            <w:r w:rsidR="00020DBE" w:rsidRPr="0096771C">
              <w:rPr>
                <w:rFonts w:ascii="Arial" w:hAnsi="Arial" w:cs="Arial"/>
                <w:sz w:val="20"/>
                <w:szCs w:val="20"/>
              </w:rPr>
              <w:t xml:space="preserve"> mg</w:t>
            </w:r>
          </w:p>
        </w:tc>
        <w:tc>
          <w:tcPr>
            <w:tcW w:w="3190" w:type="dxa"/>
          </w:tcPr>
          <w:p w:rsidR="00020DBE" w:rsidRPr="0096771C" w:rsidRDefault="00706D8D" w:rsidP="00020DBE">
            <w:pPr>
              <w:spacing w:after="0" w:line="240" w:lineRule="auto"/>
              <w:jc w:val="center"/>
              <w:rPr>
                <w:rFonts w:ascii="Arial" w:hAnsi="Arial" w:cs="Arial"/>
                <w:sz w:val="20"/>
                <w:szCs w:val="20"/>
              </w:rPr>
            </w:pPr>
            <w:r w:rsidRPr="0096771C">
              <w:rPr>
                <w:rFonts w:ascii="Arial" w:hAnsi="Arial" w:cs="Arial"/>
                <w:sz w:val="20"/>
                <w:szCs w:val="20"/>
              </w:rPr>
              <w:t>2.67</w:t>
            </w:r>
          </w:p>
        </w:tc>
      </w:tr>
      <w:tr w:rsidR="00020DBE" w:rsidRPr="0096771C" w:rsidTr="00F9017C">
        <w:tc>
          <w:tcPr>
            <w:tcW w:w="3190" w:type="dxa"/>
          </w:tcPr>
          <w:p w:rsidR="00020DBE" w:rsidRPr="0096771C" w:rsidRDefault="00020DBE" w:rsidP="00F9017C">
            <w:pPr>
              <w:spacing w:after="0" w:line="240" w:lineRule="auto"/>
              <w:rPr>
                <w:rFonts w:ascii="Arial" w:hAnsi="Arial" w:cs="Arial"/>
                <w:sz w:val="20"/>
                <w:szCs w:val="20"/>
              </w:rPr>
            </w:pPr>
            <w:r w:rsidRPr="0096771C">
              <w:rPr>
                <w:rFonts w:ascii="Arial" w:hAnsi="Arial" w:cs="Arial"/>
                <w:sz w:val="20"/>
                <w:szCs w:val="20"/>
              </w:rPr>
              <w:t>Methadone</w:t>
            </w:r>
          </w:p>
        </w:tc>
        <w:tc>
          <w:tcPr>
            <w:tcW w:w="3080" w:type="dxa"/>
          </w:tcPr>
          <w:p w:rsidR="00020DBE" w:rsidRPr="0096771C" w:rsidRDefault="00706D8D" w:rsidP="00020DBE">
            <w:pPr>
              <w:pStyle w:val="NoSpacing"/>
              <w:jc w:val="center"/>
              <w:rPr>
                <w:rFonts w:ascii="Arial" w:hAnsi="Arial" w:cs="Arial"/>
                <w:sz w:val="20"/>
                <w:szCs w:val="20"/>
              </w:rPr>
            </w:pPr>
            <w:r w:rsidRPr="0096771C">
              <w:rPr>
                <w:rFonts w:ascii="Arial" w:hAnsi="Arial" w:cs="Arial"/>
                <w:sz w:val="20"/>
                <w:szCs w:val="20"/>
              </w:rPr>
              <w:t>10</w:t>
            </w:r>
            <w:r w:rsidR="00020DBE" w:rsidRPr="0096771C">
              <w:rPr>
                <w:rFonts w:ascii="Arial" w:hAnsi="Arial" w:cs="Arial"/>
                <w:sz w:val="20"/>
                <w:szCs w:val="20"/>
              </w:rPr>
              <w:t xml:space="preserve"> mg</w:t>
            </w:r>
          </w:p>
        </w:tc>
        <w:tc>
          <w:tcPr>
            <w:tcW w:w="3190" w:type="dxa"/>
          </w:tcPr>
          <w:p w:rsidR="00020DBE" w:rsidRPr="0096771C" w:rsidRDefault="00706D8D" w:rsidP="00020DBE">
            <w:pPr>
              <w:spacing w:after="0" w:line="240" w:lineRule="auto"/>
              <w:jc w:val="center"/>
              <w:rPr>
                <w:rFonts w:ascii="Arial" w:hAnsi="Arial" w:cs="Arial"/>
                <w:sz w:val="20"/>
                <w:szCs w:val="20"/>
              </w:rPr>
            </w:pPr>
            <w:r w:rsidRPr="0096771C">
              <w:rPr>
                <w:rFonts w:ascii="Arial" w:hAnsi="Arial" w:cs="Arial"/>
                <w:sz w:val="20"/>
                <w:szCs w:val="20"/>
              </w:rPr>
              <w:t>1</w:t>
            </w:r>
          </w:p>
        </w:tc>
      </w:tr>
      <w:tr w:rsidR="00020DBE" w:rsidRPr="0096771C" w:rsidTr="00F9017C">
        <w:tc>
          <w:tcPr>
            <w:tcW w:w="3190" w:type="dxa"/>
          </w:tcPr>
          <w:p w:rsidR="00020DBE" w:rsidRPr="0096771C" w:rsidRDefault="00020DBE" w:rsidP="00F9017C">
            <w:pPr>
              <w:spacing w:after="0" w:line="240" w:lineRule="auto"/>
              <w:rPr>
                <w:rFonts w:ascii="Arial" w:hAnsi="Arial" w:cs="Arial"/>
                <w:sz w:val="20"/>
                <w:szCs w:val="20"/>
              </w:rPr>
            </w:pPr>
            <w:r w:rsidRPr="0096771C">
              <w:rPr>
                <w:rFonts w:ascii="Arial" w:hAnsi="Arial" w:cs="Arial"/>
                <w:sz w:val="20"/>
                <w:szCs w:val="20"/>
              </w:rPr>
              <w:t>Morphine</w:t>
            </w:r>
          </w:p>
        </w:tc>
        <w:tc>
          <w:tcPr>
            <w:tcW w:w="3080" w:type="dxa"/>
          </w:tcPr>
          <w:p w:rsidR="00020DBE" w:rsidRPr="0096771C" w:rsidRDefault="00706D8D" w:rsidP="00020DBE">
            <w:pPr>
              <w:pStyle w:val="NoSpacing"/>
              <w:jc w:val="center"/>
              <w:rPr>
                <w:rFonts w:ascii="Arial" w:hAnsi="Arial" w:cs="Arial"/>
                <w:sz w:val="20"/>
                <w:szCs w:val="20"/>
              </w:rPr>
            </w:pPr>
            <w:r w:rsidRPr="0096771C">
              <w:rPr>
                <w:rFonts w:ascii="Arial" w:hAnsi="Arial" w:cs="Arial"/>
                <w:sz w:val="20"/>
                <w:szCs w:val="20"/>
              </w:rPr>
              <w:t>15</w:t>
            </w:r>
            <w:r w:rsidR="00020DBE" w:rsidRPr="0096771C">
              <w:rPr>
                <w:rFonts w:ascii="Arial" w:hAnsi="Arial" w:cs="Arial"/>
                <w:sz w:val="20"/>
                <w:szCs w:val="20"/>
              </w:rPr>
              <w:t xml:space="preserve"> mg</w:t>
            </w:r>
          </w:p>
        </w:tc>
        <w:tc>
          <w:tcPr>
            <w:tcW w:w="3190" w:type="dxa"/>
          </w:tcPr>
          <w:p w:rsidR="00020DBE" w:rsidRPr="0096771C" w:rsidRDefault="00706D8D" w:rsidP="00020DBE">
            <w:pPr>
              <w:spacing w:after="0" w:line="240" w:lineRule="auto"/>
              <w:jc w:val="center"/>
              <w:rPr>
                <w:rFonts w:ascii="Arial" w:hAnsi="Arial" w:cs="Arial"/>
                <w:sz w:val="20"/>
                <w:szCs w:val="20"/>
              </w:rPr>
            </w:pPr>
            <w:r w:rsidRPr="0096771C">
              <w:rPr>
                <w:rFonts w:ascii="Arial" w:hAnsi="Arial" w:cs="Arial"/>
                <w:sz w:val="20"/>
                <w:szCs w:val="20"/>
              </w:rPr>
              <w:t>0.67</w:t>
            </w:r>
          </w:p>
        </w:tc>
      </w:tr>
      <w:tr w:rsidR="00020DBE" w:rsidRPr="0096771C" w:rsidTr="00F9017C">
        <w:tc>
          <w:tcPr>
            <w:tcW w:w="3190" w:type="dxa"/>
          </w:tcPr>
          <w:p w:rsidR="00020DBE" w:rsidRPr="0096771C" w:rsidRDefault="00020DBE" w:rsidP="00F9017C">
            <w:pPr>
              <w:spacing w:after="0" w:line="240" w:lineRule="auto"/>
              <w:rPr>
                <w:rFonts w:ascii="Arial" w:hAnsi="Arial" w:cs="Arial"/>
                <w:sz w:val="20"/>
                <w:szCs w:val="20"/>
              </w:rPr>
            </w:pPr>
            <w:r w:rsidRPr="0096771C">
              <w:rPr>
                <w:rFonts w:ascii="Arial" w:hAnsi="Arial" w:cs="Arial"/>
                <w:sz w:val="20"/>
                <w:szCs w:val="20"/>
              </w:rPr>
              <w:t>Oxycodone</w:t>
            </w:r>
          </w:p>
        </w:tc>
        <w:tc>
          <w:tcPr>
            <w:tcW w:w="3080" w:type="dxa"/>
          </w:tcPr>
          <w:p w:rsidR="00020DBE" w:rsidRPr="0096771C" w:rsidRDefault="00706D8D" w:rsidP="00020DBE">
            <w:pPr>
              <w:pStyle w:val="NoSpacing"/>
              <w:jc w:val="center"/>
              <w:rPr>
                <w:rFonts w:ascii="Arial" w:hAnsi="Arial" w:cs="Arial"/>
                <w:sz w:val="20"/>
                <w:szCs w:val="20"/>
              </w:rPr>
            </w:pPr>
            <w:r w:rsidRPr="0096771C">
              <w:rPr>
                <w:rFonts w:ascii="Arial" w:hAnsi="Arial" w:cs="Arial"/>
                <w:sz w:val="20"/>
                <w:szCs w:val="20"/>
              </w:rPr>
              <w:t>10</w:t>
            </w:r>
            <w:r w:rsidR="00020DBE" w:rsidRPr="0096771C">
              <w:rPr>
                <w:rFonts w:ascii="Arial" w:hAnsi="Arial" w:cs="Arial"/>
                <w:sz w:val="20"/>
                <w:szCs w:val="20"/>
              </w:rPr>
              <w:t xml:space="preserve"> mg</w:t>
            </w:r>
          </w:p>
        </w:tc>
        <w:tc>
          <w:tcPr>
            <w:tcW w:w="3190" w:type="dxa"/>
          </w:tcPr>
          <w:p w:rsidR="00020DBE" w:rsidRPr="0096771C" w:rsidRDefault="00706D8D" w:rsidP="00020DBE">
            <w:pPr>
              <w:spacing w:after="0" w:line="240" w:lineRule="auto"/>
              <w:jc w:val="center"/>
              <w:rPr>
                <w:rFonts w:ascii="Arial" w:hAnsi="Arial" w:cs="Arial"/>
                <w:sz w:val="20"/>
                <w:szCs w:val="20"/>
              </w:rPr>
            </w:pPr>
            <w:r w:rsidRPr="0096771C">
              <w:rPr>
                <w:rFonts w:ascii="Arial" w:hAnsi="Arial" w:cs="Arial"/>
                <w:sz w:val="20"/>
                <w:szCs w:val="20"/>
              </w:rPr>
              <w:t>1</w:t>
            </w:r>
          </w:p>
        </w:tc>
      </w:tr>
      <w:tr w:rsidR="00020DBE" w:rsidRPr="0096771C" w:rsidTr="00F9017C">
        <w:tc>
          <w:tcPr>
            <w:tcW w:w="3190" w:type="dxa"/>
          </w:tcPr>
          <w:p w:rsidR="00020DBE" w:rsidRPr="0096771C" w:rsidRDefault="00020DBE" w:rsidP="00F9017C">
            <w:pPr>
              <w:spacing w:after="0" w:line="240" w:lineRule="auto"/>
              <w:rPr>
                <w:rFonts w:ascii="Arial" w:hAnsi="Arial" w:cs="Arial"/>
                <w:sz w:val="20"/>
                <w:szCs w:val="20"/>
              </w:rPr>
            </w:pPr>
            <w:proofErr w:type="spellStart"/>
            <w:r w:rsidRPr="0096771C">
              <w:rPr>
                <w:rFonts w:ascii="Arial" w:hAnsi="Arial" w:cs="Arial"/>
                <w:sz w:val="20"/>
                <w:szCs w:val="20"/>
              </w:rPr>
              <w:t>Oxymorphone</w:t>
            </w:r>
            <w:proofErr w:type="spellEnd"/>
          </w:p>
        </w:tc>
        <w:tc>
          <w:tcPr>
            <w:tcW w:w="3080" w:type="dxa"/>
          </w:tcPr>
          <w:p w:rsidR="00020DBE" w:rsidRPr="0096771C" w:rsidRDefault="00706D8D" w:rsidP="00020DBE">
            <w:pPr>
              <w:pStyle w:val="NoSpacing"/>
              <w:jc w:val="center"/>
              <w:rPr>
                <w:rFonts w:ascii="Arial" w:hAnsi="Arial" w:cs="Arial"/>
                <w:sz w:val="20"/>
                <w:szCs w:val="20"/>
              </w:rPr>
            </w:pPr>
            <w:r w:rsidRPr="0096771C">
              <w:rPr>
                <w:rFonts w:ascii="Arial" w:hAnsi="Arial" w:cs="Arial"/>
                <w:sz w:val="20"/>
                <w:szCs w:val="20"/>
              </w:rPr>
              <w:t>5</w:t>
            </w:r>
            <w:r w:rsidR="00020DBE" w:rsidRPr="0096771C">
              <w:rPr>
                <w:rFonts w:ascii="Arial" w:hAnsi="Arial" w:cs="Arial"/>
                <w:sz w:val="20"/>
                <w:szCs w:val="20"/>
              </w:rPr>
              <w:t xml:space="preserve"> mg</w:t>
            </w:r>
          </w:p>
        </w:tc>
        <w:tc>
          <w:tcPr>
            <w:tcW w:w="3190" w:type="dxa"/>
          </w:tcPr>
          <w:p w:rsidR="00020DBE" w:rsidRPr="0096771C" w:rsidRDefault="00706D8D" w:rsidP="00020DBE">
            <w:pPr>
              <w:spacing w:after="0" w:line="240" w:lineRule="auto"/>
              <w:jc w:val="center"/>
              <w:rPr>
                <w:rFonts w:ascii="Arial" w:hAnsi="Arial" w:cs="Arial"/>
                <w:sz w:val="20"/>
                <w:szCs w:val="20"/>
              </w:rPr>
            </w:pPr>
            <w:r w:rsidRPr="0096771C">
              <w:rPr>
                <w:rFonts w:ascii="Arial" w:hAnsi="Arial" w:cs="Arial"/>
                <w:sz w:val="20"/>
                <w:szCs w:val="20"/>
              </w:rPr>
              <w:t>2</w:t>
            </w:r>
          </w:p>
        </w:tc>
      </w:tr>
      <w:tr w:rsidR="00020DBE" w:rsidRPr="0096771C" w:rsidTr="00F9017C">
        <w:tc>
          <w:tcPr>
            <w:tcW w:w="3190" w:type="dxa"/>
          </w:tcPr>
          <w:p w:rsidR="00020DBE" w:rsidRPr="0096771C" w:rsidRDefault="00020DBE" w:rsidP="00F9017C">
            <w:pPr>
              <w:spacing w:after="0" w:line="240" w:lineRule="auto"/>
              <w:rPr>
                <w:rFonts w:ascii="Arial" w:hAnsi="Arial" w:cs="Arial"/>
                <w:sz w:val="20"/>
                <w:szCs w:val="20"/>
              </w:rPr>
            </w:pPr>
            <w:r w:rsidRPr="0096771C">
              <w:rPr>
                <w:rFonts w:ascii="Arial" w:hAnsi="Arial" w:cs="Arial"/>
                <w:sz w:val="20"/>
                <w:szCs w:val="20"/>
              </w:rPr>
              <w:t>Tramadol</w:t>
            </w:r>
          </w:p>
        </w:tc>
        <w:tc>
          <w:tcPr>
            <w:tcW w:w="3080" w:type="dxa"/>
          </w:tcPr>
          <w:p w:rsidR="00020DBE" w:rsidRPr="0096771C" w:rsidRDefault="00706D8D" w:rsidP="00706D8D">
            <w:pPr>
              <w:pStyle w:val="NoSpacing"/>
              <w:jc w:val="center"/>
              <w:rPr>
                <w:rFonts w:ascii="Arial" w:hAnsi="Arial" w:cs="Arial"/>
                <w:sz w:val="20"/>
                <w:szCs w:val="20"/>
              </w:rPr>
            </w:pPr>
            <w:r w:rsidRPr="0096771C">
              <w:rPr>
                <w:rFonts w:ascii="Arial" w:hAnsi="Arial" w:cs="Arial"/>
                <w:sz w:val="20"/>
                <w:szCs w:val="20"/>
              </w:rPr>
              <w:t>N/A</w:t>
            </w:r>
          </w:p>
        </w:tc>
        <w:tc>
          <w:tcPr>
            <w:tcW w:w="3190" w:type="dxa"/>
          </w:tcPr>
          <w:p w:rsidR="00020DBE" w:rsidRPr="0096771C" w:rsidRDefault="00706D8D" w:rsidP="00020DBE">
            <w:pPr>
              <w:spacing w:after="0" w:line="240" w:lineRule="auto"/>
              <w:jc w:val="center"/>
              <w:rPr>
                <w:rFonts w:ascii="Arial" w:hAnsi="Arial" w:cs="Arial"/>
                <w:sz w:val="20"/>
                <w:szCs w:val="20"/>
              </w:rPr>
            </w:pPr>
            <w:r w:rsidRPr="0096771C">
              <w:rPr>
                <w:rFonts w:ascii="Arial" w:hAnsi="Arial" w:cs="Arial"/>
                <w:sz w:val="20"/>
                <w:szCs w:val="20"/>
              </w:rPr>
              <w:t>N/A</w:t>
            </w:r>
          </w:p>
        </w:tc>
      </w:tr>
    </w:tbl>
    <w:p w:rsidR="00981A22" w:rsidRPr="0096771C" w:rsidRDefault="00020DBE" w:rsidP="004920E8">
      <w:pPr>
        <w:pStyle w:val="BodyTextIndent"/>
        <w:ind w:left="0"/>
        <w:rPr>
          <w:rFonts w:ascii="Arial" w:hAnsi="Arial" w:cs="Arial"/>
          <w:sz w:val="16"/>
          <w:szCs w:val="16"/>
        </w:rPr>
      </w:pPr>
      <w:r w:rsidRPr="0096771C">
        <w:rPr>
          <w:rFonts w:ascii="Arial" w:hAnsi="Arial" w:cs="Arial"/>
          <w:sz w:val="16"/>
          <w:szCs w:val="16"/>
        </w:rPr>
        <w:t xml:space="preserve">*Oral dose is the dose the manufacturer estimates to be equivalent to the lowest strength of </w:t>
      </w:r>
      <w:proofErr w:type="spellStart"/>
      <w:r w:rsidR="00706D8D" w:rsidRPr="0096771C">
        <w:rPr>
          <w:rFonts w:ascii="Arial" w:hAnsi="Arial" w:cs="Arial"/>
          <w:sz w:val="16"/>
          <w:szCs w:val="16"/>
        </w:rPr>
        <w:t>Zohydro</w:t>
      </w:r>
      <w:proofErr w:type="spellEnd"/>
      <w:r w:rsidR="00706D8D" w:rsidRPr="0096771C">
        <w:rPr>
          <w:rFonts w:ascii="Arial" w:hAnsi="Arial" w:cs="Arial"/>
          <w:sz w:val="16"/>
          <w:szCs w:val="16"/>
        </w:rPr>
        <w:t xml:space="preserve"> </w:t>
      </w:r>
      <w:r w:rsidRPr="0096771C">
        <w:rPr>
          <w:rFonts w:ascii="Arial" w:hAnsi="Arial" w:cs="Arial"/>
          <w:sz w:val="16"/>
          <w:szCs w:val="16"/>
        </w:rPr>
        <w:t>ER</w:t>
      </w:r>
      <w:r w:rsidR="00AE5757" w:rsidRPr="0096771C">
        <w:rPr>
          <w:rFonts w:ascii="Arial" w:hAnsi="Arial" w:cs="Arial"/>
          <w:sz w:val="16"/>
          <w:szCs w:val="16"/>
          <w:vertAlign w:val="superscript"/>
        </w:rPr>
        <w:t>®</w:t>
      </w:r>
      <w:r w:rsidRPr="0096771C">
        <w:rPr>
          <w:rFonts w:ascii="Arial" w:hAnsi="Arial" w:cs="Arial"/>
          <w:sz w:val="16"/>
          <w:szCs w:val="16"/>
        </w:rPr>
        <w:t xml:space="preserve"> (hydrocodone extended-release) using the approximate oral conversion factor</w:t>
      </w:r>
    </w:p>
    <w:p w:rsidR="00020DBE" w:rsidRPr="00083D63" w:rsidRDefault="00020DBE" w:rsidP="004920E8">
      <w:pPr>
        <w:pStyle w:val="BodyTextIndent"/>
        <w:ind w:left="0"/>
        <w:rPr>
          <w:rFonts w:ascii="Arial" w:hAnsi="Arial" w:cs="Arial"/>
          <w:sz w:val="16"/>
          <w:szCs w:val="16"/>
          <w:highlight w:val="yellow"/>
        </w:rPr>
      </w:pPr>
    </w:p>
    <w:p w:rsidR="00020DBE" w:rsidRPr="00030765" w:rsidRDefault="00F9017C" w:rsidP="004920E8">
      <w:pPr>
        <w:pStyle w:val="BodyTextIndent"/>
        <w:ind w:left="0"/>
        <w:rPr>
          <w:rFonts w:ascii="Arial" w:hAnsi="Arial" w:cs="Arial"/>
          <w:b/>
          <w:i/>
        </w:rPr>
      </w:pPr>
      <w:r w:rsidRPr="00030765">
        <w:rPr>
          <w:rFonts w:ascii="Arial" w:hAnsi="Arial" w:cs="Arial"/>
          <w:b/>
          <w:i/>
        </w:rPr>
        <w:t>Dosing Considerations</w:t>
      </w:r>
      <w:r w:rsidR="008E4C01" w:rsidRPr="00030765">
        <w:rPr>
          <w:rFonts w:ascii="Arial" w:hAnsi="Arial" w:cs="Arial"/>
          <w:b/>
          <w:i/>
          <w:vertAlign w:val="superscript"/>
        </w:rPr>
        <w:t>1</w:t>
      </w:r>
      <w:r w:rsidRPr="00030765">
        <w:rPr>
          <w:rFonts w:ascii="Arial" w:hAnsi="Arial" w:cs="Arial"/>
          <w:b/>
          <w:i/>
        </w:rPr>
        <w:t>:</w:t>
      </w:r>
    </w:p>
    <w:p w:rsidR="00F9017C" w:rsidRPr="00030765" w:rsidRDefault="00C14751" w:rsidP="00F9017C">
      <w:pPr>
        <w:pStyle w:val="BodyTextIndent"/>
        <w:numPr>
          <w:ilvl w:val="0"/>
          <w:numId w:val="22"/>
        </w:numPr>
        <w:rPr>
          <w:rFonts w:ascii="Arial" w:hAnsi="Arial" w:cs="Arial"/>
        </w:rPr>
      </w:pPr>
      <w:r w:rsidRPr="00030765">
        <w:rPr>
          <w:rFonts w:ascii="Arial" w:hAnsi="Arial" w:cs="Arial"/>
        </w:rPr>
        <w:t>The total daily dose of the opioid a patient is taking should be calculated, and then multiplied by the conversion factor to obtain the approximate daily hydrocodone dose.</w:t>
      </w:r>
    </w:p>
    <w:p w:rsidR="00C14751" w:rsidRPr="00030765" w:rsidRDefault="00C14751" w:rsidP="00F9017C">
      <w:pPr>
        <w:pStyle w:val="BodyTextIndent"/>
        <w:numPr>
          <w:ilvl w:val="0"/>
          <w:numId w:val="22"/>
        </w:numPr>
        <w:rPr>
          <w:rFonts w:ascii="Arial" w:hAnsi="Arial" w:cs="Arial"/>
        </w:rPr>
      </w:pPr>
      <w:r w:rsidRPr="00030765">
        <w:rPr>
          <w:rFonts w:ascii="Arial" w:hAnsi="Arial" w:cs="Arial"/>
        </w:rPr>
        <w:t>If patients are on multiple opioids, the approximate hydrocodone dose for each opioid should be calculated and added together to obtain the overall approximate daily hydrocodone dose.</w:t>
      </w:r>
    </w:p>
    <w:p w:rsidR="00C14751" w:rsidRPr="003B2FE1" w:rsidRDefault="00C14751" w:rsidP="00F9017C">
      <w:pPr>
        <w:pStyle w:val="BodyTextIndent"/>
        <w:numPr>
          <w:ilvl w:val="0"/>
          <w:numId w:val="22"/>
        </w:numPr>
        <w:rPr>
          <w:rFonts w:ascii="Arial" w:hAnsi="Arial" w:cs="Arial"/>
        </w:rPr>
      </w:pPr>
      <w:r w:rsidRPr="00030765">
        <w:rPr>
          <w:rFonts w:ascii="Arial" w:hAnsi="Arial" w:cs="Arial"/>
        </w:rPr>
        <w:t xml:space="preserve">Only the opioid component of combination products such as oxycodone/acetaminophen or </w:t>
      </w:r>
      <w:r w:rsidRPr="003B2FE1">
        <w:rPr>
          <w:rFonts w:ascii="Arial" w:hAnsi="Arial" w:cs="Arial"/>
        </w:rPr>
        <w:t>codeine/acetaminophen should be used to calculate the approximate daily hydrocodone dose.</w:t>
      </w:r>
    </w:p>
    <w:p w:rsidR="00C14751" w:rsidRPr="003B2FE1" w:rsidRDefault="00C14751" w:rsidP="00F9017C">
      <w:pPr>
        <w:pStyle w:val="BodyTextIndent"/>
        <w:numPr>
          <w:ilvl w:val="0"/>
          <w:numId w:val="22"/>
        </w:numPr>
        <w:rPr>
          <w:rFonts w:ascii="Arial" w:hAnsi="Arial" w:cs="Arial"/>
        </w:rPr>
      </w:pPr>
      <w:r w:rsidRPr="003B2FE1">
        <w:rPr>
          <w:rFonts w:ascii="Arial" w:hAnsi="Arial" w:cs="Arial"/>
        </w:rPr>
        <w:t xml:space="preserve">Once the approximate daily hydrocodone dose is calculated, the dose should be </w:t>
      </w:r>
      <w:r w:rsidR="00030765" w:rsidRPr="003B2FE1">
        <w:rPr>
          <w:rFonts w:ascii="Arial" w:hAnsi="Arial" w:cs="Arial"/>
        </w:rPr>
        <w:t>divided</w:t>
      </w:r>
      <w:r w:rsidR="003B2FE1" w:rsidRPr="003B2FE1">
        <w:rPr>
          <w:rFonts w:ascii="Arial" w:hAnsi="Arial" w:cs="Arial"/>
        </w:rPr>
        <w:t xml:space="preserve"> in half for administration every 12 hours</w:t>
      </w:r>
      <w:r w:rsidRPr="003B2FE1">
        <w:rPr>
          <w:rFonts w:ascii="Arial" w:hAnsi="Arial" w:cs="Arial"/>
        </w:rPr>
        <w:t>.</w:t>
      </w:r>
    </w:p>
    <w:p w:rsidR="008E4C01" w:rsidRPr="00825B59" w:rsidRDefault="008E4C01" w:rsidP="00F9017C">
      <w:pPr>
        <w:pStyle w:val="BodyTextIndent"/>
        <w:numPr>
          <w:ilvl w:val="0"/>
          <w:numId w:val="22"/>
        </w:numPr>
        <w:rPr>
          <w:rFonts w:ascii="Arial" w:hAnsi="Arial" w:cs="Arial"/>
        </w:rPr>
      </w:pPr>
      <w:r w:rsidRPr="00825B59">
        <w:rPr>
          <w:rFonts w:ascii="Arial" w:hAnsi="Arial" w:cs="Arial"/>
        </w:rPr>
        <w:t xml:space="preserve">Patients converting from fentanyl transdermal should receive their initial dose of </w:t>
      </w:r>
      <w:proofErr w:type="spellStart"/>
      <w:r w:rsidR="007374DB">
        <w:rPr>
          <w:rFonts w:ascii="Arial" w:hAnsi="Arial" w:cs="Arial"/>
        </w:rPr>
        <w:t>Zohydro</w:t>
      </w:r>
      <w:proofErr w:type="spellEnd"/>
      <w:r w:rsidRPr="00825B59">
        <w:rPr>
          <w:rFonts w:ascii="Arial" w:hAnsi="Arial" w:cs="Arial"/>
        </w:rPr>
        <w:t xml:space="preserve"> ER</w:t>
      </w:r>
      <w:r w:rsidR="00AE5757" w:rsidRPr="00825B59">
        <w:rPr>
          <w:rFonts w:ascii="Arial" w:hAnsi="Arial" w:cs="Arial"/>
          <w:vertAlign w:val="superscript"/>
        </w:rPr>
        <w:t>®</w:t>
      </w:r>
      <w:r w:rsidRPr="00825B59">
        <w:rPr>
          <w:rFonts w:ascii="Arial" w:hAnsi="Arial" w:cs="Arial"/>
        </w:rPr>
        <w:t xml:space="preserve"> (hydrocodone extended-release) 18 hours after removal of the last fentanyl transdermal patch.</w:t>
      </w:r>
    </w:p>
    <w:p w:rsidR="008E4C01" w:rsidRPr="00825B59" w:rsidRDefault="008E4C01" w:rsidP="002F52FB">
      <w:pPr>
        <w:pStyle w:val="BodyTextIndent"/>
        <w:numPr>
          <w:ilvl w:val="0"/>
          <w:numId w:val="22"/>
        </w:numPr>
        <w:rPr>
          <w:rFonts w:ascii="Arial" w:hAnsi="Arial" w:cs="Arial"/>
        </w:rPr>
      </w:pPr>
      <w:r w:rsidRPr="00825B59">
        <w:rPr>
          <w:rFonts w:ascii="Arial" w:hAnsi="Arial" w:cs="Arial"/>
        </w:rPr>
        <w:t>Patients converting from methadone should be closely monitored as the half-life of methadone is long, and methadone can accumulate in the plasma. In addition, the equivalency ratio between methadone and other opioids may vary widely.</w:t>
      </w:r>
    </w:p>
    <w:bookmarkEnd w:id="2"/>
    <w:p w:rsidR="00D84515" w:rsidRDefault="00D84515" w:rsidP="004920E8">
      <w:pPr>
        <w:pStyle w:val="BodyTextIndent"/>
        <w:ind w:left="0"/>
        <w:rPr>
          <w:rFonts w:ascii="Arial" w:hAnsi="Arial" w:cs="Arial"/>
          <w:b/>
          <w:highlight w:val="yellow"/>
          <w:u w:val="single"/>
        </w:rPr>
      </w:pPr>
    </w:p>
    <w:p w:rsidR="001C2825" w:rsidRPr="00A2049C" w:rsidRDefault="00AE5B18" w:rsidP="004920E8">
      <w:pPr>
        <w:pStyle w:val="BodyTextIndent"/>
        <w:ind w:left="0"/>
        <w:rPr>
          <w:rFonts w:ascii="Arial" w:hAnsi="Arial" w:cs="Arial"/>
          <w:b/>
          <w:u w:val="single"/>
        </w:rPr>
      </w:pPr>
      <w:r w:rsidRPr="00A2049C">
        <w:rPr>
          <w:rFonts w:ascii="Arial" w:hAnsi="Arial" w:cs="Arial"/>
          <w:b/>
          <w:u w:val="single"/>
        </w:rPr>
        <w:t>Precautions</w:t>
      </w:r>
    </w:p>
    <w:p w:rsidR="005D585F" w:rsidRPr="00083D63" w:rsidRDefault="005D585F" w:rsidP="005D585F">
      <w:pPr>
        <w:pStyle w:val="NoSpacing"/>
        <w:rPr>
          <w:rFonts w:ascii="Arial" w:hAnsi="Arial" w:cs="Arial"/>
          <w:b/>
          <w:sz w:val="20"/>
          <w:szCs w:val="20"/>
          <w:highlight w:val="yellow"/>
        </w:rPr>
      </w:pPr>
    </w:p>
    <w:p w:rsidR="005D585F" w:rsidRPr="00A65177" w:rsidRDefault="005D585F" w:rsidP="005D585F">
      <w:pPr>
        <w:pStyle w:val="NoSpacing"/>
        <w:rPr>
          <w:rFonts w:ascii="Arial" w:hAnsi="Arial" w:cs="Arial"/>
          <w:b/>
          <w:sz w:val="20"/>
          <w:szCs w:val="20"/>
          <w:vertAlign w:val="superscript"/>
        </w:rPr>
      </w:pPr>
      <w:r w:rsidRPr="00A65177">
        <w:rPr>
          <w:rFonts w:ascii="Arial" w:hAnsi="Arial" w:cs="Arial"/>
          <w:b/>
          <w:sz w:val="20"/>
          <w:szCs w:val="20"/>
        </w:rPr>
        <w:t xml:space="preserve">Boxed Warning for </w:t>
      </w:r>
      <w:proofErr w:type="spellStart"/>
      <w:r w:rsidR="00920FE1" w:rsidRPr="00A65177">
        <w:rPr>
          <w:rFonts w:ascii="Arial" w:hAnsi="Arial" w:cs="Arial"/>
          <w:b/>
          <w:sz w:val="20"/>
          <w:szCs w:val="20"/>
        </w:rPr>
        <w:t>Zohydro</w:t>
      </w:r>
      <w:proofErr w:type="spellEnd"/>
      <w:r w:rsidRPr="00A65177">
        <w:rPr>
          <w:rFonts w:ascii="Arial" w:hAnsi="Arial" w:cs="Arial"/>
          <w:b/>
          <w:sz w:val="20"/>
          <w:szCs w:val="20"/>
        </w:rPr>
        <w:t xml:space="preserve"> ER</w:t>
      </w:r>
      <w:r w:rsidR="00AE5757" w:rsidRPr="00A65177">
        <w:rPr>
          <w:rFonts w:ascii="Arial" w:hAnsi="Arial" w:cs="Arial"/>
          <w:b/>
          <w:sz w:val="20"/>
          <w:szCs w:val="20"/>
          <w:vertAlign w:val="superscript"/>
        </w:rPr>
        <w:t>®</w:t>
      </w:r>
      <w:r w:rsidRPr="00A65177">
        <w:rPr>
          <w:rFonts w:ascii="Arial" w:hAnsi="Arial" w:cs="Arial"/>
          <w:b/>
          <w:sz w:val="20"/>
          <w:szCs w:val="20"/>
        </w:rPr>
        <w:t xml:space="preserve"> (hydrocodone extended-release)</w:t>
      </w:r>
      <w:r w:rsidRPr="00A65177">
        <w:rPr>
          <w:rFonts w:ascii="Arial" w:hAnsi="Arial" w:cs="Arial"/>
          <w:b/>
          <w:sz w:val="20"/>
          <w:szCs w:val="20"/>
          <w:vertAlign w:val="superscript"/>
        </w:rPr>
        <w:t>1</w:t>
      </w:r>
    </w:p>
    <w:tbl>
      <w:tblPr>
        <w:tblW w:w="9460" w:type="dxa"/>
        <w:tblInd w:w="115" w:type="dxa"/>
        <w:tblLayout w:type="fixed"/>
        <w:tblCellMar>
          <w:left w:w="115" w:type="dxa"/>
          <w:right w:w="115" w:type="dxa"/>
        </w:tblCellMar>
        <w:tblLook w:val="0000" w:firstRow="0" w:lastRow="0" w:firstColumn="0" w:lastColumn="0" w:noHBand="0" w:noVBand="0"/>
      </w:tblPr>
      <w:tblGrid>
        <w:gridCol w:w="9460"/>
      </w:tblGrid>
      <w:tr w:rsidR="005D585F" w:rsidRPr="00A65177" w:rsidTr="00D42930">
        <w:trPr>
          <w:tblHeader/>
        </w:trPr>
        <w:tc>
          <w:tcPr>
            <w:tcW w:w="9460" w:type="dxa"/>
            <w:tcBorders>
              <w:top w:val="single" w:sz="18" w:space="0" w:color="auto"/>
              <w:left w:val="single" w:sz="18" w:space="0" w:color="auto"/>
              <w:bottom w:val="single" w:sz="18" w:space="0" w:color="auto"/>
              <w:right w:val="single" w:sz="18" w:space="0" w:color="auto"/>
            </w:tcBorders>
          </w:tcPr>
          <w:p w:rsidR="005D585F" w:rsidRPr="00A65177" w:rsidRDefault="005D585F" w:rsidP="00D42930">
            <w:pPr>
              <w:spacing w:after="0" w:line="240" w:lineRule="auto"/>
              <w:jc w:val="center"/>
              <w:rPr>
                <w:rFonts w:ascii="Arial" w:hAnsi="Arial" w:cs="Arial"/>
                <w:b/>
                <w:sz w:val="20"/>
                <w:szCs w:val="20"/>
              </w:rPr>
            </w:pPr>
            <w:r w:rsidRPr="00A65177">
              <w:rPr>
                <w:rFonts w:ascii="Arial" w:hAnsi="Arial" w:cs="Arial"/>
                <w:b/>
                <w:sz w:val="20"/>
                <w:szCs w:val="20"/>
              </w:rPr>
              <w:t>WARNING</w:t>
            </w:r>
          </w:p>
        </w:tc>
      </w:tr>
      <w:tr w:rsidR="005D585F" w:rsidRPr="00083D63" w:rsidTr="00D42930">
        <w:tc>
          <w:tcPr>
            <w:tcW w:w="9460" w:type="dxa"/>
            <w:tcBorders>
              <w:top w:val="nil"/>
              <w:left w:val="single" w:sz="18" w:space="0" w:color="auto"/>
              <w:bottom w:val="single" w:sz="18" w:space="0" w:color="auto"/>
              <w:right w:val="single" w:sz="18" w:space="0" w:color="auto"/>
            </w:tcBorders>
          </w:tcPr>
          <w:p w:rsidR="005D585F" w:rsidRPr="00920FE1"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920FE1">
              <w:rPr>
                <w:rFonts w:ascii="Arial" w:eastAsia="MyriadPro-BoldCond" w:hAnsi="Arial" w:cs="Arial"/>
                <w:bCs/>
                <w:sz w:val="20"/>
                <w:szCs w:val="20"/>
                <w:u w:val="single"/>
              </w:rPr>
              <w:t xml:space="preserve">Addiction, Abuse and Misuse </w:t>
            </w:r>
          </w:p>
          <w:p w:rsidR="005D585F" w:rsidRPr="00920FE1" w:rsidRDefault="00920FE1" w:rsidP="00D42930">
            <w:pPr>
              <w:autoSpaceDE w:val="0"/>
              <w:autoSpaceDN w:val="0"/>
              <w:adjustRightInd w:val="0"/>
              <w:spacing w:after="0" w:line="240" w:lineRule="auto"/>
              <w:rPr>
                <w:rFonts w:ascii="Arial" w:eastAsia="MyriadPro-BoldCond" w:hAnsi="Arial" w:cs="Arial"/>
                <w:bCs/>
                <w:sz w:val="20"/>
                <w:szCs w:val="20"/>
              </w:rPr>
            </w:pPr>
            <w:proofErr w:type="spellStart"/>
            <w:r w:rsidRPr="00920FE1">
              <w:rPr>
                <w:rFonts w:ascii="Arial" w:eastAsia="MyriadPro-BoldCond" w:hAnsi="Arial" w:cs="Arial"/>
                <w:bCs/>
                <w:sz w:val="20"/>
                <w:szCs w:val="20"/>
              </w:rPr>
              <w:t>Zohydro</w:t>
            </w:r>
            <w:proofErr w:type="spellEnd"/>
            <w:r w:rsidRPr="00920FE1">
              <w:rPr>
                <w:rFonts w:ascii="Arial" w:eastAsia="MyriadPro-BoldCond" w:hAnsi="Arial" w:cs="Arial"/>
                <w:bCs/>
                <w:sz w:val="20"/>
                <w:szCs w:val="20"/>
              </w:rPr>
              <w:t xml:space="preserve"> ER</w:t>
            </w:r>
            <w:r w:rsidR="00AE5757" w:rsidRPr="00A360D8">
              <w:rPr>
                <w:rFonts w:ascii="Arial" w:eastAsia="MyriadPro-BoldCond" w:hAnsi="Arial" w:cs="Arial"/>
                <w:bCs/>
                <w:sz w:val="20"/>
                <w:szCs w:val="20"/>
                <w:vertAlign w:val="superscript"/>
              </w:rPr>
              <w:t>®</w:t>
            </w:r>
            <w:r w:rsidRPr="00920FE1">
              <w:rPr>
                <w:rFonts w:ascii="Arial" w:eastAsia="MyriadPro-BoldCond" w:hAnsi="Arial" w:cs="Arial"/>
                <w:bCs/>
                <w:sz w:val="20"/>
                <w:szCs w:val="20"/>
              </w:rPr>
              <w:t xml:space="preserve"> (hydrocodone extended-release) </w:t>
            </w:r>
            <w:r w:rsidR="005D585F" w:rsidRPr="00920FE1">
              <w:rPr>
                <w:rFonts w:ascii="Arial" w:eastAsia="MyriadPro-BoldCond" w:hAnsi="Arial" w:cs="Arial"/>
                <w:bCs/>
                <w:sz w:val="20"/>
                <w:szCs w:val="20"/>
              </w:rPr>
              <w:t xml:space="preserve">exposes patients and other users to the risks of opioid addiction, abuse and misuse, which can lead to overdose and death. Assess each patient’s risk prior to prescribing </w:t>
            </w:r>
            <w:proofErr w:type="spellStart"/>
            <w:r w:rsidRPr="00920FE1">
              <w:rPr>
                <w:rFonts w:ascii="Arial" w:eastAsia="MyriadPro-BoldCond" w:hAnsi="Arial" w:cs="Arial"/>
                <w:bCs/>
                <w:sz w:val="20"/>
                <w:szCs w:val="20"/>
              </w:rPr>
              <w:t>Zohydro</w:t>
            </w:r>
            <w:proofErr w:type="spellEnd"/>
            <w:r w:rsidRPr="00920FE1">
              <w:rPr>
                <w:rFonts w:ascii="Arial" w:eastAsia="MyriadPro-BoldCond" w:hAnsi="Arial" w:cs="Arial"/>
                <w:bCs/>
                <w:sz w:val="20"/>
                <w:szCs w:val="20"/>
              </w:rPr>
              <w:t xml:space="preserve"> ER</w:t>
            </w:r>
            <w:r w:rsidR="005907C0" w:rsidRPr="00A360D8">
              <w:rPr>
                <w:rFonts w:ascii="Arial" w:eastAsia="MyriadPro-BoldCond" w:hAnsi="Arial" w:cs="Arial"/>
                <w:bCs/>
                <w:sz w:val="20"/>
                <w:szCs w:val="20"/>
                <w:vertAlign w:val="superscript"/>
              </w:rPr>
              <w:t>®</w:t>
            </w:r>
            <w:r w:rsidRPr="00920FE1">
              <w:rPr>
                <w:rFonts w:ascii="Arial" w:eastAsia="MyriadPro-BoldCond" w:hAnsi="Arial" w:cs="Arial"/>
                <w:bCs/>
                <w:sz w:val="20"/>
                <w:szCs w:val="20"/>
              </w:rPr>
              <w:t xml:space="preserve"> (hydrocodone extended-release), </w:t>
            </w:r>
            <w:r w:rsidR="005D585F" w:rsidRPr="00920FE1">
              <w:rPr>
                <w:rFonts w:ascii="Arial" w:eastAsia="MyriadPro-BoldCond" w:hAnsi="Arial" w:cs="Arial"/>
                <w:bCs/>
                <w:sz w:val="20"/>
                <w:szCs w:val="20"/>
              </w:rPr>
              <w:t>and monitor all patients regularly for the development of these behaviors or conditions.</w:t>
            </w:r>
          </w:p>
          <w:p w:rsidR="005D585F" w:rsidRPr="00083D63" w:rsidRDefault="005D585F" w:rsidP="00D42930">
            <w:pPr>
              <w:spacing w:after="0" w:line="240" w:lineRule="auto"/>
              <w:rPr>
                <w:rFonts w:ascii="Arial" w:hAnsi="Arial" w:cs="Arial"/>
                <w:color w:val="339966"/>
                <w:sz w:val="20"/>
                <w:szCs w:val="20"/>
                <w:highlight w:val="yellow"/>
              </w:rPr>
            </w:pPr>
          </w:p>
          <w:p w:rsidR="005D585F" w:rsidRPr="00D123A0"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D123A0">
              <w:rPr>
                <w:rFonts w:ascii="Arial" w:eastAsia="MyriadPro-BoldCond" w:hAnsi="Arial" w:cs="Arial"/>
                <w:bCs/>
                <w:sz w:val="20"/>
                <w:szCs w:val="20"/>
                <w:u w:val="single"/>
              </w:rPr>
              <w:t xml:space="preserve">Life-Threatening Respiratory Depression </w:t>
            </w:r>
          </w:p>
          <w:p w:rsidR="005D585F" w:rsidRPr="00D123A0" w:rsidRDefault="005D585F" w:rsidP="00D42930">
            <w:pPr>
              <w:autoSpaceDE w:val="0"/>
              <w:autoSpaceDN w:val="0"/>
              <w:adjustRightInd w:val="0"/>
              <w:spacing w:after="0" w:line="240" w:lineRule="auto"/>
              <w:rPr>
                <w:rFonts w:ascii="Arial" w:eastAsia="MyriadPro-BoldCond" w:hAnsi="Arial" w:cs="Arial"/>
                <w:bCs/>
                <w:sz w:val="20"/>
                <w:szCs w:val="20"/>
              </w:rPr>
            </w:pPr>
            <w:r w:rsidRPr="00D123A0">
              <w:rPr>
                <w:rFonts w:ascii="Arial" w:eastAsia="MyriadPro-BoldCond" w:hAnsi="Arial" w:cs="Arial"/>
                <w:bCs/>
                <w:sz w:val="20"/>
                <w:szCs w:val="20"/>
              </w:rPr>
              <w:t xml:space="preserve">Serious, life-threatening, or fatal respiratory depression may occur with use of </w:t>
            </w:r>
            <w:proofErr w:type="spellStart"/>
            <w:r w:rsidR="00A360D8" w:rsidRPr="00D123A0">
              <w:rPr>
                <w:rFonts w:ascii="Arial" w:eastAsia="MyriadPro-BoldCond" w:hAnsi="Arial" w:cs="Arial"/>
                <w:bCs/>
                <w:sz w:val="20"/>
                <w:szCs w:val="20"/>
              </w:rPr>
              <w:t>Zohydro</w:t>
            </w:r>
            <w:proofErr w:type="spellEnd"/>
            <w:r w:rsidR="00A360D8" w:rsidRPr="00D123A0">
              <w:rPr>
                <w:rFonts w:ascii="Arial" w:eastAsia="MyriadPro-BoldCond" w:hAnsi="Arial" w:cs="Arial"/>
                <w:bCs/>
                <w:sz w:val="20"/>
                <w:szCs w:val="20"/>
              </w:rPr>
              <w:t xml:space="preserve"> ER</w:t>
            </w:r>
            <w:r w:rsidR="005907C0" w:rsidRPr="00D123A0">
              <w:rPr>
                <w:rFonts w:ascii="Arial" w:eastAsia="MyriadPro-BoldCond" w:hAnsi="Arial" w:cs="Arial"/>
                <w:bCs/>
                <w:sz w:val="20"/>
                <w:szCs w:val="20"/>
                <w:vertAlign w:val="superscript"/>
              </w:rPr>
              <w:t>®</w:t>
            </w:r>
            <w:r w:rsidR="00A360D8" w:rsidRPr="00D123A0">
              <w:rPr>
                <w:rFonts w:ascii="Arial" w:eastAsia="MyriadPro-BoldCond" w:hAnsi="Arial" w:cs="Arial"/>
                <w:bCs/>
                <w:sz w:val="20"/>
                <w:szCs w:val="20"/>
              </w:rPr>
              <w:t xml:space="preserve"> </w:t>
            </w:r>
            <w:r w:rsidR="00A360D8" w:rsidRPr="00D123A0">
              <w:rPr>
                <w:rFonts w:ascii="Arial" w:eastAsia="MyriadPro-BoldCond" w:hAnsi="Arial" w:cs="Arial"/>
                <w:bCs/>
                <w:sz w:val="20"/>
                <w:szCs w:val="20"/>
              </w:rPr>
              <w:lastRenderedPageBreak/>
              <w:t xml:space="preserve">(hydrocodone extended-release). </w:t>
            </w:r>
            <w:r w:rsidRPr="00D123A0">
              <w:rPr>
                <w:rFonts w:ascii="Arial" w:eastAsia="MyriadPro-BoldCond" w:hAnsi="Arial" w:cs="Arial"/>
                <w:bCs/>
                <w:sz w:val="20"/>
                <w:szCs w:val="20"/>
              </w:rPr>
              <w:t xml:space="preserve">Monitor for respiratory depression, especially during initiation of </w:t>
            </w:r>
            <w:proofErr w:type="spellStart"/>
            <w:r w:rsidR="00A360D8" w:rsidRPr="00D123A0">
              <w:rPr>
                <w:rFonts w:ascii="Arial" w:eastAsia="MyriadPro-BoldCond" w:hAnsi="Arial" w:cs="Arial"/>
                <w:bCs/>
                <w:sz w:val="20"/>
                <w:szCs w:val="20"/>
              </w:rPr>
              <w:t>Zohydro</w:t>
            </w:r>
            <w:proofErr w:type="spellEnd"/>
            <w:r w:rsidR="00A360D8" w:rsidRPr="00D123A0">
              <w:rPr>
                <w:rFonts w:ascii="Arial" w:eastAsia="MyriadPro-BoldCond" w:hAnsi="Arial" w:cs="Arial"/>
                <w:bCs/>
                <w:sz w:val="20"/>
                <w:szCs w:val="20"/>
              </w:rPr>
              <w:t xml:space="preserve"> ER</w:t>
            </w:r>
            <w:r w:rsidR="005907C0" w:rsidRPr="00D123A0">
              <w:rPr>
                <w:rFonts w:ascii="Arial" w:eastAsia="MyriadPro-BoldCond" w:hAnsi="Arial" w:cs="Arial"/>
                <w:bCs/>
                <w:sz w:val="20"/>
                <w:szCs w:val="20"/>
                <w:vertAlign w:val="superscript"/>
              </w:rPr>
              <w:t>®</w:t>
            </w:r>
            <w:r w:rsidR="00A360D8" w:rsidRPr="00D123A0">
              <w:rPr>
                <w:rFonts w:ascii="Arial" w:eastAsia="MyriadPro-BoldCond" w:hAnsi="Arial" w:cs="Arial"/>
                <w:bCs/>
                <w:sz w:val="20"/>
                <w:szCs w:val="20"/>
              </w:rPr>
              <w:t xml:space="preserve"> (hydrocodone extended-release) </w:t>
            </w:r>
            <w:r w:rsidRPr="00D123A0">
              <w:rPr>
                <w:rFonts w:ascii="Arial" w:eastAsia="MyriadPro-BoldCond" w:hAnsi="Arial" w:cs="Arial"/>
                <w:bCs/>
                <w:sz w:val="20"/>
                <w:szCs w:val="20"/>
              </w:rPr>
              <w:t xml:space="preserve">or following a dose increase. Instruct patients to swallow </w:t>
            </w:r>
            <w:proofErr w:type="spellStart"/>
            <w:r w:rsidR="00A360D8" w:rsidRPr="00D123A0">
              <w:rPr>
                <w:rFonts w:ascii="Arial" w:eastAsia="MyriadPro-BoldCond" w:hAnsi="Arial" w:cs="Arial"/>
                <w:bCs/>
                <w:sz w:val="20"/>
                <w:szCs w:val="20"/>
              </w:rPr>
              <w:t>Zohydro</w:t>
            </w:r>
            <w:proofErr w:type="spellEnd"/>
            <w:r w:rsidR="00A360D8" w:rsidRPr="00D123A0">
              <w:rPr>
                <w:rFonts w:ascii="Arial" w:eastAsia="MyriadPro-BoldCond" w:hAnsi="Arial" w:cs="Arial"/>
                <w:bCs/>
                <w:sz w:val="20"/>
                <w:szCs w:val="20"/>
              </w:rPr>
              <w:t xml:space="preserve"> ER</w:t>
            </w:r>
            <w:r w:rsidR="005907C0" w:rsidRPr="00D123A0">
              <w:rPr>
                <w:rFonts w:ascii="Arial" w:eastAsia="MyriadPro-BoldCond" w:hAnsi="Arial" w:cs="Arial"/>
                <w:bCs/>
                <w:sz w:val="20"/>
                <w:szCs w:val="20"/>
                <w:vertAlign w:val="superscript"/>
              </w:rPr>
              <w:t>®</w:t>
            </w:r>
            <w:r w:rsidR="00A360D8" w:rsidRPr="00D123A0">
              <w:rPr>
                <w:rFonts w:ascii="Arial" w:eastAsia="MyriadPro-BoldCond" w:hAnsi="Arial" w:cs="Arial"/>
                <w:bCs/>
                <w:sz w:val="20"/>
                <w:szCs w:val="20"/>
              </w:rPr>
              <w:t xml:space="preserve"> capsules</w:t>
            </w:r>
            <w:r w:rsidR="00EE6398" w:rsidRPr="00D123A0">
              <w:rPr>
                <w:rFonts w:ascii="Arial" w:eastAsia="MyriadPro-BoldCond" w:hAnsi="Arial" w:cs="Arial"/>
                <w:bCs/>
                <w:sz w:val="20"/>
                <w:szCs w:val="20"/>
              </w:rPr>
              <w:t xml:space="preserve"> whole to avoid </w:t>
            </w:r>
            <w:r w:rsidRPr="00D123A0">
              <w:rPr>
                <w:rFonts w:ascii="Arial" w:eastAsia="MyriadPro-BoldCond" w:hAnsi="Arial" w:cs="Arial"/>
                <w:bCs/>
                <w:sz w:val="20"/>
                <w:szCs w:val="20"/>
              </w:rPr>
              <w:t>a potentially fatal dose of hydrocodone.</w:t>
            </w:r>
          </w:p>
          <w:p w:rsidR="005D585F" w:rsidRPr="00083D63" w:rsidRDefault="005D585F" w:rsidP="00D42930">
            <w:pPr>
              <w:spacing w:after="0" w:line="240" w:lineRule="auto"/>
              <w:rPr>
                <w:rFonts w:ascii="Arial" w:hAnsi="Arial" w:cs="Arial"/>
                <w:color w:val="339966"/>
                <w:sz w:val="20"/>
                <w:szCs w:val="20"/>
                <w:highlight w:val="yellow"/>
              </w:rPr>
            </w:pPr>
          </w:p>
          <w:p w:rsidR="005D585F" w:rsidRPr="00A625DA"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A625DA">
              <w:rPr>
                <w:rFonts w:ascii="Arial" w:eastAsia="MyriadPro-BoldCond" w:hAnsi="Arial" w:cs="Arial"/>
                <w:bCs/>
                <w:sz w:val="20"/>
                <w:szCs w:val="20"/>
                <w:u w:val="single"/>
              </w:rPr>
              <w:t xml:space="preserve">Accidental Ingestion </w:t>
            </w:r>
          </w:p>
          <w:p w:rsidR="005D585F" w:rsidRPr="00A625DA" w:rsidRDefault="005D585F" w:rsidP="00D42930">
            <w:pPr>
              <w:autoSpaceDE w:val="0"/>
              <w:autoSpaceDN w:val="0"/>
              <w:adjustRightInd w:val="0"/>
              <w:spacing w:after="0" w:line="240" w:lineRule="auto"/>
              <w:rPr>
                <w:rFonts w:ascii="Arial" w:eastAsia="MyriadPro-BoldCond" w:hAnsi="Arial" w:cs="Arial"/>
                <w:bCs/>
                <w:sz w:val="20"/>
                <w:szCs w:val="20"/>
              </w:rPr>
            </w:pPr>
            <w:r w:rsidRPr="00A625DA">
              <w:rPr>
                <w:rFonts w:ascii="Arial" w:eastAsia="MyriadPro-BoldCond" w:hAnsi="Arial" w:cs="Arial"/>
                <w:bCs/>
                <w:sz w:val="20"/>
                <w:szCs w:val="20"/>
              </w:rPr>
              <w:t xml:space="preserve">Accidental ingestion of </w:t>
            </w:r>
            <w:proofErr w:type="spellStart"/>
            <w:r w:rsidR="00A625DA" w:rsidRPr="00A625DA">
              <w:rPr>
                <w:rFonts w:ascii="Arial" w:eastAsia="MyriadPro-BoldCond" w:hAnsi="Arial" w:cs="Arial"/>
                <w:bCs/>
                <w:sz w:val="20"/>
                <w:szCs w:val="20"/>
              </w:rPr>
              <w:t>Zohydro</w:t>
            </w:r>
            <w:proofErr w:type="spellEnd"/>
            <w:r w:rsidR="00A625DA" w:rsidRPr="00A625DA">
              <w:rPr>
                <w:rFonts w:ascii="Arial" w:eastAsia="MyriadPro-BoldCond" w:hAnsi="Arial" w:cs="Arial"/>
                <w:bCs/>
                <w:sz w:val="20"/>
                <w:szCs w:val="20"/>
              </w:rPr>
              <w:t xml:space="preserve"> ER</w:t>
            </w:r>
            <w:r w:rsidR="005907C0" w:rsidRPr="00A625DA">
              <w:rPr>
                <w:rFonts w:ascii="Arial" w:eastAsia="MyriadPro-BoldCond" w:hAnsi="Arial" w:cs="Arial"/>
                <w:bCs/>
                <w:sz w:val="20"/>
                <w:szCs w:val="20"/>
                <w:vertAlign w:val="superscript"/>
              </w:rPr>
              <w:t>®</w:t>
            </w:r>
            <w:r w:rsidR="00A625DA" w:rsidRPr="00A625DA">
              <w:rPr>
                <w:rFonts w:ascii="Arial" w:eastAsia="MyriadPro-BoldCond" w:hAnsi="Arial" w:cs="Arial"/>
                <w:bCs/>
                <w:sz w:val="20"/>
                <w:szCs w:val="20"/>
              </w:rPr>
              <w:t xml:space="preserve"> (hydrocodone extended-release), </w:t>
            </w:r>
            <w:r w:rsidRPr="00A625DA">
              <w:rPr>
                <w:rFonts w:ascii="Arial" w:eastAsia="MyriadPro-BoldCond" w:hAnsi="Arial" w:cs="Arial"/>
                <w:bCs/>
                <w:sz w:val="20"/>
                <w:szCs w:val="20"/>
              </w:rPr>
              <w:t>especially by children, can result in a fatal overdose of hydrocodone.</w:t>
            </w:r>
          </w:p>
          <w:p w:rsidR="005D585F" w:rsidRPr="00083D63" w:rsidRDefault="005D585F" w:rsidP="00D42930">
            <w:pPr>
              <w:spacing w:after="0" w:line="240" w:lineRule="auto"/>
              <w:rPr>
                <w:rFonts w:ascii="Arial" w:hAnsi="Arial" w:cs="Arial"/>
                <w:color w:val="339966"/>
                <w:sz w:val="20"/>
                <w:szCs w:val="20"/>
                <w:highlight w:val="yellow"/>
              </w:rPr>
            </w:pPr>
          </w:p>
          <w:p w:rsidR="005D585F" w:rsidRPr="00A625DA"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A625DA">
              <w:rPr>
                <w:rFonts w:ascii="Arial" w:eastAsia="MyriadPro-BoldCond" w:hAnsi="Arial" w:cs="Arial"/>
                <w:bCs/>
                <w:sz w:val="20"/>
                <w:szCs w:val="20"/>
                <w:u w:val="single"/>
              </w:rPr>
              <w:t xml:space="preserve">Neonatal Opioid Withdrawal Syndrome </w:t>
            </w:r>
          </w:p>
          <w:p w:rsidR="005D585F" w:rsidRPr="00A625DA" w:rsidRDefault="005D585F" w:rsidP="00D42930">
            <w:pPr>
              <w:autoSpaceDE w:val="0"/>
              <w:autoSpaceDN w:val="0"/>
              <w:adjustRightInd w:val="0"/>
              <w:spacing w:after="0" w:line="240" w:lineRule="auto"/>
              <w:rPr>
                <w:rFonts w:ascii="Arial" w:eastAsia="MyriadPro-BoldCond" w:hAnsi="Arial" w:cs="Arial"/>
                <w:bCs/>
                <w:sz w:val="20"/>
                <w:szCs w:val="20"/>
              </w:rPr>
            </w:pPr>
            <w:r w:rsidRPr="00A625DA">
              <w:rPr>
                <w:rFonts w:ascii="Arial" w:eastAsia="MyriadPro-BoldCond" w:hAnsi="Arial" w:cs="Arial"/>
                <w:bCs/>
                <w:sz w:val="20"/>
                <w:szCs w:val="20"/>
              </w:rPr>
              <w:t xml:space="preserve">Prolonged use of </w:t>
            </w:r>
            <w:proofErr w:type="spellStart"/>
            <w:r w:rsidR="00A625DA" w:rsidRPr="00A625DA">
              <w:rPr>
                <w:rFonts w:ascii="Arial" w:eastAsia="MyriadPro-BoldCond" w:hAnsi="Arial" w:cs="Arial"/>
                <w:bCs/>
                <w:sz w:val="20"/>
                <w:szCs w:val="20"/>
              </w:rPr>
              <w:t>Zohydro</w:t>
            </w:r>
            <w:proofErr w:type="spellEnd"/>
            <w:r w:rsidR="00A625DA" w:rsidRPr="00A625DA">
              <w:rPr>
                <w:rFonts w:ascii="Arial" w:eastAsia="MyriadPro-BoldCond" w:hAnsi="Arial" w:cs="Arial"/>
                <w:bCs/>
                <w:sz w:val="20"/>
                <w:szCs w:val="20"/>
              </w:rPr>
              <w:t xml:space="preserve"> ER</w:t>
            </w:r>
            <w:r w:rsidR="005907C0" w:rsidRPr="00A625DA">
              <w:rPr>
                <w:rFonts w:ascii="Arial" w:eastAsia="MyriadPro-BoldCond" w:hAnsi="Arial" w:cs="Arial"/>
                <w:bCs/>
                <w:sz w:val="20"/>
                <w:szCs w:val="20"/>
                <w:vertAlign w:val="superscript"/>
              </w:rPr>
              <w:t>®</w:t>
            </w:r>
            <w:r w:rsidR="00A625DA" w:rsidRPr="00A625DA">
              <w:rPr>
                <w:rFonts w:ascii="Arial" w:eastAsia="MyriadPro-BoldCond" w:hAnsi="Arial" w:cs="Arial"/>
                <w:bCs/>
                <w:sz w:val="20"/>
                <w:szCs w:val="20"/>
              </w:rPr>
              <w:t xml:space="preserve"> (hydrocodone extended-release) </w:t>
            </w:r>
            <w:r w:rsidRPr="00A625DA">
              <w:rPr>
                <w:rFonts w:ascii="Arial" w:eastAsia="MyriadPro-BoldCond" w:hAnsi="Arial" w:cs="Arial"/>
                <w:bCs/>
                <w:sz w:val="20"/>
                <w:szCs w:val="20"/>
              </w:rPr>
              <w:t>during pregnancy can result in neonatal opioid withdrawal syndrome, which may be life-threatening if not recognized and treated, and requires management according to protocols developed by neonatology experts. If opioid use is required for a prolonged period in a pregnant woman, advise the patient of the risk of neonatal opioid withdrawal syndrome and ensure that appropriate treatment will be available.</w:t>
            </w:r>
          </w:p>
          <w:p w:rsidR="005D585F" w:rsidRPr="0034133F" w:rsidRDefault="005D585F" w:rsidP="00D42930">
            <w:pPr>
              <w:spacing w:after="0" w:line="240" w:lineRule="auto"/>
              <w:rPr>
                <w:rFonts w:ascii="Arial" w:hAnsi="Arial" w:cs="Arial"/>
                <w:sz w:val="20"/>
                <w:szCs w:val="20"/>
                <w:highlight w:val="yellow"/>
              </w:rPr>
            </w:pPr>
          </w:p>
          <w:p w:rsidR="00D21648" w:rsidRDefault="00D21648" w:rsidP="0034133F">
            <w:pPr>
              <w:spacing w:after="0" w:line="240" w:lineRule="auto"/>
              <w:rPr>
                <w:rFonts w:ascii="Arial" w:hAnsi="Arial" w:cs="Arial"/>
                <w:sz w:val="20"/>
                <w:szCs w:val="20"/>
                <w:u w:val="single"/>
              </w:rPr>
            </w:pPr>
            <w:r w:rsidRPr="00D21648">
              <w:rPr>
                <w:rFonts w:ascii="Arial" w:hAnsi="Arial" w:cs="Arial"/>
                <w:sz w:val="20"/>
                <w:szCs w:val="20"/>
                <w:u w:val="single"/>
              </w:rPr>
              <w:t>Interaction with Alcohol</w:t>
            </w:r>
          </w:p>
          <w:p w:rsidR="0034133F" w:rsidRPr="0034133F" w:rsidRDefault="0034133F" w:rsidP="0034133F">
            <w:pPr>
              <w:spacing w:after="0" w:line="240" w:lineRule="auto"/>
              <w:rPr>
                <w:rFonts w:ascii="Arial" w:hAnsi="Arial" w:cs="Arial"/>
                <w:sz w:val="20"/>
                <w:szCs w:val="20"/>
              </w:rPr>
            </w:pPr>
            <w:r w:rsidRPr="0034133F">
              <w:rPr>
                <w:rFonts w:ascii="Arial" w:hAnsi="Arial" w:cs="Arial"/>
                <w:sz w:val="20"/>
                <w:szCs w:val="20"/>
              </w:rPr>
              <w:t xml:space="preserve">Co-ingestion of </w:t>
            </w:r>
            <w:proofErr w:type="spellStart"/>
            <w:r w:rsidRPr="0034133F">
              <w:rPr>
                <w:rFonts w:ascii="Arial" w:eastAsia="MyriadPro-BoldCond" w:hAnsi="Arial" w:cs="Arial"/>
                <w:bCs/>
                <w:sz w:val="20"/>
                <w:szCs w:val="20"/>
              </w:rPr>
              <w:t>Zohydro</w:t>
            </w:r>
            <w:proofErr w:type="spellEnd"/>
            <w:r w:rsidRPr="0034133F">
              <w:rPr>
                <w:rFonts w:ascii="Arial" w:eastAsia="MyriadPro-BoldCond" w:hAnsi="Arial" w:cs="Arial"/>
                <w:bCs/>
                <w:sz w:val="20"/>
                <w:szCs w:val="20"/>
              </w:rPr>
              <w:t xml:space="preserve"> ER</w:t>
            </w:r>
            <w:r w:rsidR="005907C0" w:rsidRPr="0034133F">
              <w:rPr>
                <w:rFonts w:ascii="Arial" w:eastAsia="MyriadPro-BoldCond" w:hAnsi="Arial" w:cs="Arial"/>
                <w:bCs/>
                <w:sz w:val="20"/>
                <w:szCs w:val="20"/>
                <w:vertAlign w:val="superscript"/>
              </w:rPr>
              <w:t>®</w:t>
            </w:r>
            <w:r w:rsidRPr="0034133F">
              <w:rPr>
                <w:rFonts w:ascii="Arial" w:eastAsia="MyriadPro-BoldCond" w:hAnsi="Arial" w:cs="Arial"/>
                <w:bCs/>
                <w:sz w:val="20"/>
                <w:szCs w:val="20"/>
              </w:rPr>
              <w:t xml:space="preserve"> (hydrocodone extended-release) and </w:t>
            </w:r>
            <w:r w:rsidRPr="0034133F">
              <w:rPr>
                <w:rFonts w:ascii="Arial" w:hAnsi="Arial" w:cs="Arial"/>
                <w:sz w:val="20"/>
                <w:szCs w:val="20"/>
              </w:rPr>
              <w:t xml:space="preserve">alcohol or any products containing alcohol can result in fatal plasma hydrocodone levels. Patients should be instructed not to consume alcohol or any products containing alcohol while taking </w:t>
            </w:r>
            <w:proofErr w:type="spellStart"/>
            <w:r w:rsidRPr="0034133F">
              <w:rPr>
                <w:rFonts w:ascii="Arial" w:eastAsia="MyriadPro-BoldCond" w:hAnsi="Arial" w:cs="Arial"/>
                <w:bCs/>
                <w:sz w:val="20"/>
                <w:szCs w:val="20"/>
              </w:rPr>
              <w:t>Zohydro</w:t>
            </w:r>
            <w:proofErr w:type="spellEnd"/>
            <w:r w:rsidRPr="0034133F">
              <w:rPr>
                <w:rFonts w:ascii="Arial" w:eastAsia="MyriadPro-BoldCond" w:hAnsi="Arial" w:cs="Arial"/>
                <w:bCs/>
                <w:sz w:val="20"/>
                <w:szCs w:val="20"/>
              </w:rPr>
              <w:t xml:space="preserve"> ER</w:t>
            </w:r>
            <w:r w:rsidR="005907C0" w:rsidRPr="0034133F">
              <w:rPr>
                <w:rFonts w:ascii="Arial" w:eastAsia="MyriadPro-BoldCond" w:hAnsi="Arial" w:cs="Arial"/>
                <w:bCs/>
                <w:sz w:val="20"/>
                <w:szCs w:val="20"/>
                <w:vertAlign w:val="superscript"/>
              </w:rPr>
              <w:t>®</w:t>
            </w:r>
            <w:r w:rsidRPr="0034133F">
              <w:rPr>
                <w:rFonts w:ascii="Arial" w:eastAsia="MyriadPro-BoldCond" w:hAnsi="Arial" w:cs="Arial"/>
                <w:bCs/>
                <w:sz w:val="20"/>
                <w:szCs w:val="20"/>
              </w:rPr>
              <w:t xml:space="preserve"> (hydrocodone extended-release).</w:t>
            </w:r>
          </w:p>
          <w:p w:rsidR="0034133F" w:rsidRPr="00083D63" w:rsidRDefault="0034133F" w:rsidP="0034133F">
            <w:pPr>
              <w:spacing w:after="0" w:line="240" w:lineRule="auto"/>
              <w:rPr>
                <w:rFonts w:ascii="Arial" w:hAnsi="Arial" w:cs="Arial"/>
                <w:color w:val="339966"/>
                <w:sz w:val="20"/>
                <w:szCs w:val="20"/>
                <w:highlight w:val="yellow"/>
              </w:rPr>
            </w:pPr>
          </w:p>
          <w:p w:rsidR="005D585F" w:rsidRPr="00A65177" w:rsidRDefault="005D585F" w:rsidP="00D42930">
            <w:pPr>
              <w:autoSpaceDE w:val="0"/>
              <w:autoSpaceDN w:val="0"/>
              <w:adjustRightInd w:val="0"/>
              <w:spacing w:after="0" w:line="240" w:lineRule="auto"/>
              <w:rPr>
                <w:rFonts w:ascii="Arial" w:hAnsi="Arial" w:cs="Arial"/>
                <w:sz w:val="20"/>
                <w:szCs w:val="20"/>
                <w:u w:val="single"/>
              </w:rPr>
            </w:pPr>
            <w:r w:rsidRPr="00A65177">
              <w:rPr>
                <w:rFonts w:ascii="Arial" w:hAnsi="Arial" w:cs="Arial"/>
                <w:sz w:val="20"/>
                <w:szCs w:val="20"/>
                <w:u w:val="single"/>
              </w:rPr>
              <w:t>Cytochrome P450 3A4 Interaction</w:t>
            </w:r>
          </w:p>
          <w:p w:rsidR="005D585F" w:rsidRPr="00083D63" w:rsidRDefault="005D585F" w:rsidP="005907C0">
            <w:pPr>
              <w:spacing w:after="0" w:line="240" w:lineRule="auto"/>
              <w:rPr>
                <w:rFonts w:ascii="Arial" w:hAnsi="Arial" w:cs="Arial"/>
                <w:color w:val="339966"/>
                <w:sz w:val="20"/>
                <w:szCs w:val="20"/>
                <w:highlight w:val="yellow"/>
              </w:rPr>
            </w:pPr>
            <w:r w:rsidRPr="00A65177">
              <w:rPr>
                <w:rFonts w:ascii="Arial" w:hAnsi="Arial" w:cs="Arial"/>
                <w:sz w:val="20"/>
                <w:szCs w:val="20"/>
              </w:rPr>
              <w:t xml:space="preserve">The concomitant use </w:t>
            </w:r>
            <w:r w:rsidR="0034133F" w:rsidRPr="00A65177">
              <w:rPr>
                <w:rFonts w:ascii="Arial" w:hAnsi="Arial" w:cs="Arial"/>
                <w:sz w:val="20"/>
                <w:szCs w:val="20"/>
              </w:rPr>
              <w:t xml:space="preserve">of </w:t>
            </w:r>
            <w:proofErr w:type="spellStart"/>
            <w:r w:rsidR="0034133F" w:rsidRPr="00A65177">
              <w:rPr>
                <w:rFonts w:ascii="Arial" w:eastAsia="MyriadPro-BoldCond" w:hAnsi="Arial" w:cs="Arial"/>
                <w:bCs/>
                <w:sz w:val="20"/>
                <w:szCs w:val="20"/>
              </w:rPr>
              <w:t>Zohydro</w:t>
            </w:r>
            <w:proofErr w:type="spellEnd"/>
            <w:r w:rsidR="0034133F" w:rsidRPr="00A65177">
              <w:rPr>
                <w:rFonts w:ascii="Arial" w:eastAsia="MyriadPro-BoldCond" w:hAnsi="Arial" w:cs="Arial"/>
                <w:bCs/>
                <w:sz w:val="20"/>
                <w:szCs w:val="20"/>
              </w:rPr>
              <w:t xml:space="preserve"> ER</w:t>
            </w:r>
            <w:r w:rsidR="005907C0" w:rsidRPr="00A65177">
              <w:rPr>
                <w:rFonts w:ascii="Arial" w:eastAsia="MyriadPro-BoldCond" w:hAnsi="Arial" w:cs="Arial"/>
                <w:bCs/>
                <w:sz w:val="20"/>
                <w:szCs w:val="20"/>
                <w:vertAlign w:val="superscript"/>
              </w:rPr>
              <w:t>®</w:t>
            </w:r>
            <w:r w:rsidR="0034133F" w:rsidRPr="00A65177">
              <w:rPr>
                <w:rFonts w:ascii="Arial" w:eastAsia="MyriadPro-BoldCond" w:hAnsi="Arial" w:cs="Arial"/>
                <w:bCs/>
                <w:sz w:val="20"/>
                <w:szCs w:val="20"/>
              </w:rPr>
              <w:t xml:space="preserve"> (hydrocodone extended-release) </w:t>
            </w:r>
            <w:r w:rsidRPr="00A65177">
              <w:rPr>
                <w:rFonts w:ascii="Arial" w:hAnsi="Arial" w:cs="Arial"/>
                <w:sz w:val="20"/>
                <w:szCs w:val="20"/>
              </w:rPr>
              <w:t xml:space="preserve">with all cytochrome P450 CYP3A4 inhibitors may result in an increase in hydrocodone plasma concentrations, which could increase or prolong adverse drug effects and may cause potentially fatal respiratory depression. In addition, discontinuation of a concomitantly used cytochrome P450 3A4 inducer may result in an increase in hydrocodone plasma concentration. Monitor patients receiving </w:t>
            </w:r>
            <w:proofErr w:type="spellStart"/>
            <w:r w:rsidR="00A65177" w:rsidRPr="00A65177">
              <w:rPr>
                <w:rFonts w:ascii="Arial" w:eastAsia="MyriadPro-BoldCond" w:hAnsi="Arial" w:cs="Arial"/>
                <w:bCs/>
                <w:sz w:val="20"/>
                <w:szCs w:val="20"/>
              </w:rPr>
              <w:t>Zohydro</w:t>
            </w:r>
            <w:proofErr w:type="spellEnd"/>
            <w:r w:rsidR="00A65177" w:rsidRPr="00A65177">
              <w:rPr>
                <w:rFonts w:ascii="Arial" w:eastAsia="MyriadPro-BoldCond" w:hAnsi="Arial" w:cs="Arial"/>
                <w:bCs/>
                <w:sz w:val="20"/>
                <w:szCs w:val="20"/>
              </w:rPr>
              <w:t xml:space="preserve"> ER</w:t>
            </w:r>
            <w:r w:rsidR="005907C0" w:rsidRPr="00A65177">
              <w:rPr>
                <w:rFonts w:ascii="Arial" w:eastAsia="MyriadPro-BoldCond" w:hAnsi="Arial" w:cs="Arial"/>
                <w:bCs/>
                <w:sz w:val="20"/>
                <w:szCs w:val="20"/>
                <w:vertAlign w:val="superscript"/>
              </w:rPr>
              <w:t>®</w:t>
            </w:r>
            <w:r w:rsidR="00A65177" w:rsidRPr="00A65177">
              <w:rPr>
                <w:rFonts w:ascii="Arial" w:eastAsia="MyriadPro-BoldCond" w:hAnsi="Arial" w:cs="Arial"/>
                <w:bCs/>
                <w:sz w:val="20"/>
                <w:szCs w:val="20"/>
              </w:rPr>
              <w:t xml:space="preserve"> (hydrocodone extended-release) </w:t>
            </w:r>
            <w:r w:rsidRPr="00A65177">
              <w:rPr>
                <w:rFonts w:ascii="Arial" w:hAnsi="Arial" w:cs="Arial"/>
                <w:sz w:val="20"/>
                <w:szCs w:val="20"/>
              </w:rPr>
              <w:t>and any CYP3A4 inhibitor or inducer.</w:t>
            </w:r>
          </w:p>
        </w:tc>
      </w:tr>
    </w:tbl>
    <w:p w:rsidR="0096691E" w:rsidRDefault="0096691E" w:rsidP="005960E0">
      <w:pPr>
        <w:pStyle w:val="NoSpacing"/>
        <w:rPr>
          <w:rFonts w:ascii="Arial" w:hAnsi="Arial" w:cs="Arial"/>
          <w:b/>
          <w:sz w:val="20"/>
          <w:szCs w:val="20"/>
          <w:highlight w:val="yellow"/>
        </w:rPr>
      </w:pPr>
    </w:p>
    <w:p w:rsidR="005D585F" w:rsidRPr="004A4F2A" w:rsidRDefault="00396C34" w:rsidP="005D585F">
      <w:pPr>
        <w:pStyle w:val="NoSpacing"/>
        <w:rPr>
          <w:rFonts w:ascii="Arial" w:hAnsi="Arial" w:cs="Arial"/>
          <w:b/>
          <w:sz w:val="20"/>
          <w:szCs w:val="20"/>
          <w:vertAlign w:val="superscript"/>
        </w:rPr>
      </w:pPr>
      <w:r w:rsidRPr="004A4F2A">
        <w:rPr>
          <w:rFonts w:ascii="Arial" w:hAnsi="Arial" w:cs="Arial"/>
          <w:b/>
          <w:sz w:val="20"/>
          <w:szCs w:val="20"/>
        </w:rPr>
        <w:t xml:space="preserve">Table </w:t>
      </w:r>
      <w:r w:rsidR="00364EDE" w:rsidRPr="004A4F2A">
        <w:rPr>
          <w:rFonts w:ascii="Arial" w:hAnsi="Arial" w:cs="Arial"/>
          <w:b/>
          <w:sz w:val="20"/>
          <w:szCs w:val="20"/>
        </w:rPr>
        <w:t>8</w:t>
      </w:r>
      <w:r w:rsidR="005D585F" w:rsidRPr="004A4F2A">
        <w:rPr>
          <w:rFonts w:ascii="Arial" w:hAnsi="Arial" w:cs="Arial"/>
          <w:b/>
          <w:sz w:val="20"/>
          <w:szCs w:val="20"/>
        </w:rPr>
        <w:t>. Warnings/Precautions</w:t>
      </w:r>
      <w:r w:rsidR="001F1A7E" w:rsidRPr="004A4F2A">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5D585F" w:rsidRPr="004A4F2A" w:rsidTr="00D42930">
        <w:tc>
          <w:tcPr>
            <w:tcW w:w="1890" w:type="dxa"/>
            <w:vMerge w:val="restart"/>
            <w:tcBorders>
              <w:top w:val="single" w:sz="4" w:space="0" w:color="auto"/>
            </w:tcBorders>
            <w:shd w:val="clear" w:color="auto" w:fill="B18ED0" w:themeFill="background1" w:themeFillShade="BF"/>
          </w:tcPr>
          <w:p w:rsidR="005D585F" w:rsidRPr="004A4F2A" w:rsidRDefault="005D585F" w:rsidP="00D42930">
            <w:pPr>
              <w:pStyle w:val="NoSpacing"/>
              <w:rPr>
                <w:rFonts w:ascii="Arial" w:hAnsi="Arial" w:cs="Arial"/>
                <w:color w:val="00B050"/>
                <w:sz w:val="20"/>
                <w:szCs w:val="20"/>
              </w:rPr>
            </w:pPr>
            <w:r w:rsidRPr="004A4F2A">
              <w:rPr>
                <w:rFonts w:ascii="Arial" w:hAnsi="Arial" w:cs="Arial"/>
                <w:b/>
                <w:sz w:val="20"/>
                <w:szCs w:val="20"/>
              </w:rPr>
              <w:t>Warning/ Precaution</w:t>
            </w:r>
          </w:p>
        </w:tc>
        <w:tc>
          <w:tcPr>
            <w:tcW w:w="7578" w:type="dxa"/>
          </w:tcPr>
          <w:p w:rsidR="005D585F" w:rsidRPr="004A4F2A" w:rsidRDefault="005D585F" w:rsidP="005907C0">
            <w:pPr>
              <w:autoSpaceDE w:val="0"/>
              <w:autoSpaceDN w:val="0"/>
              <w:adjustRightInd w:val="0"/>
              <w:spacing w:after="0" w:line="240" w:lineRule="auto"/>
              <w:rPr>
                <w:rFonts w:ascii="Arial" w:eastAsia="MyriadPro-BoldCond" w:hAnsi="Arial" w:cs="Arial"/>
                <w:bCs/>
                <w:sz w:val="20"/>
                <w:szCs w:val="20"/>
              </w:rPr>
            </w:pPr>
            <w:r w:rsidRPr="004A4F2A">
              <w:rPr>
                <w:rFonts w:ascii="Arial" w:hAnsi="Arial" w:cs="Arial"/>
                <w:sz w:val="20"/>
                <w:szCs w:val="20"/>
              </w:rPr>
              <w:t xml:space="preserve">Addiction, Abuse and Misuse; </w:t>
            </w:r>
            <w:proofErr w:type="spellStart"/>
            <w:r w:rsidR="00D21648" w:rsidRPr="004A4F2A">
              <w:rPr>
                <w:rFonts w:ascii="Arial" w:eastAsia="MyriadPro-BoldCond" w:hAnsi="Arial" w:cs="Arial"/>
                <w:bCs/>
                <w:sz w:val="20"/>
                <w:szCs w:val="20"/>
              </w:rPr>
              <w:t>Zohydro</w:t>
            </w:r>
            <w:proofErr w:type="spellEnd"/>
            <w:r w:rsidR="00D21648" w:rsidRPr="004A4F2A">
              <w:rPr>
                <w:rFonts w:ascii="Arial" w:eastAsia="MyriadPro-BoldCond" w:hAnsi="Arial" w:cs="Arial"/>
                <w:bCs/>
                <w:sz w:val="20"/>
                <w:szCs w:val="20"/>
              </w:rPr>
              <w:t xml:space="preserve"> ER</w:t>
            </w:r>
            <w:r w:rsidR="005907C0" w:rsidRPr="004A4F2A">
              <w:rPr>
                <w:rFonts w:ascii="Arial" w:eastAsia="MyriadPro-BoldCond" w:hAnsi="Arial" w:cs="Arial"/>
                <w:bCs/>
                <w:sz w:val="20"/>
                <w:szCs w:val="20"/>
                <w:vertAlign w:val="superscript"/>
              </w:rPr>
              <w:t>®</w:t>
            </w:r>
            <w:r w:rsidR="00D21648" w:rsidRPr="004A4F2A">
              <w:rPr>
                <w:rFonts w:ascii="Arial" w:eastAsia="MyriadPro-BoldCond" w:hAnsi="Arial" w:cs="Arial"/>
                <w:bCs/>
                <w:sz w:val="20"/>
                <w:szCs w:val="20"/>
              </w:rPr>
              <w:t xml:space="preserve"> (hydrocodone extended-release) exposes patients and other users to the risks of opioid addiction, abuse and misuse, which can lead to overdose and death. Assess each patient’s risk prior to prescribing </w:t>
            </w:r>
            <w:proofErr w:type="spellStart"/>
            <w:r w:rsidR="00D21648" w:rsidRPr="004A4F2A">
              <w:rPr>
                <w:rFonts w:ascii="Arial" w:eastAsia="MyriadPro-BoldCond" w:hAnsi="Arial" w:cs="Arial"/>
                <w:bCs/>
                <w:sz w:val="20"/>
                <w:szCs w:val="20"/>
              </w:rPr>
              <w:t>Zohydro</w:t>
            </w:r>
            <w:proofErr w:type="spellEnd"/>
            <w:r w:rsidR="00D21648" w:rsidRPr="004A4F2A">
              <w:rPr>
                <w:rFonts w:ascii="Arial" w:eastAsia="MyriadPro-BoldCond" w:hAnsi="Arial" w:cs="Arial"/>
                <w:bCs/>
                <w:sz w:val="20"/>
                <w:szCs w:val="20"/>
              </w:rPr>
              <w:t xml:space="preserve"> ER</w:t>
            </w:r>
            <w:r w:rsidR="005907C0" w:rsidRPr="004A4F2A">
              <w:rPr>
                <w:rFonts w:ascii="Arial" w:eastAsia="MyriadPro-BoldCond" w:hAnsi="Arial" w:cs="Arial"/>
                <w:bCs/>
                <w:sz w:val="20"/>
                <w:szCs w:val="20"/>
                <w:vertAlign w:val="superscript"/>
              </w:rPr>
              <w:t>®</w:t>
            </w:r>
            <w:r w:rsidR="00D21648" w:rsidRPr="004A4F2A">
              <w:rPr>
                <w:rFonts w:ascii="Arial" w:eastAsia="MyriadPro-BoldCond" w:hAnsi="Arial" w:cs="Arial"/>
                <w:bCs/>
                <w:sz w:val="20"/>
                <w:szCs w:val="20"/>
              </w:rPr>
              <w:t xml:space="preserve"> (hydrocodone extended-release), and monitor all patients regularly for the development of these behaviors or conditions.</w:t>
            </w:r>
          </w:p>
        </w:tc>
      </w:tr>
      <w:tr w:rsidR="005D585F" w:rsidRPr="00083D63" w:rsidTr="00D42930">
        <w:tc>
          <w:tcPr>
            <w:tcW w:w="1890" w:type="dxa"/>
            <w:vMerge/>
            <w:shd w:val="clear" w:color="auto" w:fill="B18ED0" w:themeFill="background1" w:themeFillShade="BF"/>
          </w:tcPr>
          <w:p w:rsidR="005D585F" w:rsidRPr="00083D63" w:rsidRDefault="005D585F" w:rsidP="00D42930">
            <w:pPr>
              <w:pStyle w:val="NoSpacing"/>
              <w:rPr>
                <w:rFonts w:ascii="Arial" w:hAnsi="Arial" w:cs="Arial"/>
                <w:b/>
                <w:sz w:val="20"/>
                <w:szCs w:val="20"/>
                <w:highlight w:val="yellow"/>
              </w:rPr>
            </w:pPr>
          </w:p>
        </w:tc>
        <w:tc>
          <w:tcPr>
            <w:tcW w:w="7578" w:type="dxa"/>
          </w:tcPr>
          <w:p w:rsidR="005D585F" w:rsidRPr="00083D63" w:rsidRDefault="005D585F" w:rsidP="005907C0">
            <w:pPr>
              <w:autoSpaceDE w:val="0"/>
              <w:autoSpaceDN w:val="0"/>
              <w:adjustRightInd w:val="0"/>
              <w:spacing w:after="0" w:line="240" w:lineRule="auto"/>
              <w:rPr>
                <w:rFonts w:ascii="Arial" w:eastAsia="MyriadPro-BoldCond" w:hAnsi="Arial" w:cs="Arial"/>
                <w:bCs/>
                <w:sz w:val="20"/>
                <w:szCs w:val="20"/>
                <w:highlight w:val="yellow"/>
              </w:rPr>
            </w:pPr>
            <w:r w:rsidRPr="003D085B">
              <w:rPr>
                <w:rFonts w:ascii="Arial" w:hAnsi="Arial" w:cs="Arial"/>
                <w:sz w:val="20"/>
                <w:szCs w:val="20"/>
              </w:rPr>
              <w:t xml:space="preserve">Life-Threatening Respiratory Depression; </w:t>
            </w:r>
            <w:r w:rsidR="00D21648" w:rsidRPr="00D21648">
              <w:rPr>
                <w:rFonts w:ascii="Arial" w:eastAsia="MyriadPro-BoldCond" w:hAnsi="Arial" w:cs="Arial"/>
                <w:bCs/>
                <w:sz w:val="20"/>
                <w:szCs w:val="20"/>
              </w:rPr>
              <w:t xml:space="preserve">Serious, life-threatening, or fatal respiratory depression may occur with use of </w:t>
            </w:r>
            <w:proofErr w:type="spellStart"/>
            <w:r w:rsidR="00D21648" w:rsidRPr="00D21648">
              <w:rPr>
                <w:rFonts w:ascii="Arial" w:eastAsia="MyriadPro-BoldCond" w:hAnsi="Arial" w:cs="Arial"/>
                <w:bCs/>
                <w:sz w:val="20"/>
                <w:szCs w:val="20"/>
              </w:rPr>
              <w:t>Zohydro</w:t>
            </w:r>
            <w:proofErr w:type="spellEnd"/>
            <w:r w:rsidR="00D21648" w:rsidRPr="00D21648">
              <w:rPr>
                <w:rFonts w:ascii="Arial" w:eastAsia="MyriadPro-BoldCond" w:hAnsi="Arial" w:cs="Arial"/>
                <w:bCs/>
                <w:sz w:val="20"/>
                <w:szCs w:val="20"/>
              </w:rPr>
              <w:t xml:space="preserve"> ER</w:t>
            </w:r>
            <w:r w:rsidR="005907C0" w:rsidRPr="00734B3E">
              <w:rPr>
                <w:rFonts w:ascii="Arial" w:eastAsia="MyriadPro-BoldCond" w:hAnsi="Arial" w:cs="Arial"/>
                <w:bCs/>
                <w:sz w:val="20"/>
                <w:szCs w:val="20"/>
                <w:vertAlign w:val="superscript"/>
              </w:rPr>
              <w:t>®</w:t>
            </w:r>
            <w:r w:rsidR="00D21648" w:rsidRPr="00D21648">
              <w:rPr>
                <w:rFonts w:ascii="Arial" w:eastAsia="MyriadPro-BoldCond" w:hAnsi="Arial" w:cs="Arial"/>
                <w:bCs/>
                <w:sz w:val="20"/>
                <w:szCs w:val="20"/>
              </w:rPr>
              <w:t xml:space="preserve"> (hydrocodone extended-release). Monitor for respiratory depression, especially during initiation of </w:t>
            </w:r>
            <w:proofErr w:type="spellStart"/>
            <w:r w:rsidR="00D21648" w:rsidRPr="00D21648">
              <w:rPr>
                <w:rFonts w:ascii="Arial" w:eastAsia="MyriadPro-BoldCond" w:hAnsi="Arial" w:cs="Arial"/>
                <w:bCs/>
                <w:sz w:val="20"/>
                <w:szCs w:val="20"/>
              </w:rPr>
              <w:t>Zohydro</w:t>
            </w:r>
            <w:proofErr w:type="spellEnd"/>
            <w:r w:rsidR="00D21648" w:rsidRPr="00D21648">
              <w:rPr>
                <w:rFonts w:ascii="Arial" w:eastAsia="MyriadPro-BoldCond" w:hAnsi="Arial" w:cs="Arial"/>
                <w:bCs/>
                <w:sz w:val="20"/>
                <w:szCs w:val="20"/>
              </w:rPr>
              <w:t xml:space="preserve"> ER</w:t>
            </w:r>
            <w:r w:rsidR="005907C0" w:rsidRPr="00734B3E">
              <w:rPr>
                <w:rFonts w:ascii="Arial" w:eastAsia="MyriadPro-BoldCond" w:hAnsi="Arial" w:cs="Arial"/>
                <w:bCs/>
                <w:sz w:val="20"/>
                <w:szCs w:val="20"/>
                <w:vertAlign w:val="superscript"/>
              </w:rPr>
              <w:t>®</w:t>
            </w:r>
            <w:r w:rsidR="00D21648" w:rsidRPr="00D21648">
              <w:rPr>
                <w:rFonts w:ascii="Arial" w:eastAsia="MyriadPro-BoldCond" w:hAnsi="Arial" w:cs="Arial"/>
                <w:bCs/>
                <w:sz w:val="20"/>
                <w:szCs w:val="20"/>
              </w:rPr>
              <w:t xml:space="preserve"> (hydrocodone extended-release) or following a dose increase. Instruct patients to swallow </w:t>
            </w:r>
            <w:proofErr w:type="spellStart"/>
            <w:r w:rsidR="00D21648" w:rsidRPr="00D21648">
              <w:rPr>
                <w:rFonts w:ascii="Arial" w:eastAsia="MyriadPro-BoldCond" w:hAnsi="Arial" w:cs="Arial"/>
                <w:bCs/>
                <w:sz w:val="20"/>
                <w:szCs w:val="20"/>
              </w:rPr>
              <w:t>Zohydro</w:t>
            </w:r>
            <w:proofErr w:type="spellEnd"/>
            <w:r w:rsidR="00D21648" w:rsidRPr="00D21648">
              <w:rPr>
                <w:rFonts w:ascii="Arial" w:eastAsia="MyriadPro-BoldCond" w:hAnsi="Arial" w:cs="Arial"/>
                <w:bCs/>
                <w:sz w:val="20"/>
                <w:szCs w:val="20"/>
              </w:rPr>
              <w:t xml:space="preserve"> ER</w:t>
            </w:r>
            <w:r w:rsidR="005907C0" w:rsidRPr="005907C0">
              <w:rPr>
                <w:rFonts w:ascii="Arial" w:eastAsia="MyriadPro-BoldCond" w:hAnsi="Arial" w:cs="Arial"/>
                <w:bCs/>
                <w:sz w:val="20"/>
                <w:szCs w:val="20"/>
                <w:vertAlign w:val="superscript"/>
              </w:rPr>
              <w:t>®</w:t>
            </w:r>
            <w:r w:rsidR="00D21648" w:rsidRPr="00D21648">
              <w:rPr>
                <w:rFonts w:ascii="Arial" w:eastAsia="MyriadPro-BoldCond" w:hAnsi="Arial" w:cs="Arial"/>
                <w:bCs/>
                <w:sz w:val="20"/>
                <w:szCs w:val="20"/>
              </w:rPr>
              <w:t xml:space="preserve"> capsules whole to avoid a potentially fatal dose of hydrocodone.</w:t>
            </w:r>
          </w:p>
        </w:tc>
      </w:tr>
      <w:tr w:rsidR="005D585F" w:rsidRPr="00083D63" w:rsidTr="00D42930">
        <w:tc>
          <w:tcPr>
            <w:tcW w:w="1890" w:type="dxa"/>
            <w:vMerge/>
            <w:shd w:val="clear" w:color="auto" w:fill="B18ED0" w:themeFill="background1" w:themeFillShade="BF"/>
          </w:tcPr>
          <w:p w:rsidR="005D585F" w:rsidRPr="00083D63" w:rsidRDefault="005D585F" w:rsidP="00D42930">
            <w:pPr>
              <w:pStyle w:val="NoSpacing"/>
              <w:rPr>
                <w:rFonts w:ascii="Arial" w:hAnsi="Arial" w:cs="Arial"/>
                <w:b/>
                <w:sz w:val="20"/>
                <w:szCs w:val="20"/>
                <w:highlight w:val="yellow"/>
              </w:rPr>
            </w:pPr>
          </w:p>
        </w:tc>
        <w:tc>
          <w:tcPr>
            <w:tcW w:w="7578" w:type="dxa"/>
          </w:tcPr>
          <w:p w:rsidR="005D585F" w:rsidRPr="00083D63" w:rsidRDefault="005D585F" w:rsidP="005907C0">
            <w:pPr>
              <w:autoSpaceDE w:val="0"/>
              <w:autoSpaceDN w:val="0"/>
              <w:adjustRightInd w:val="0"/>
              <w:spacing w:after="0" w:line="240" w:lineRule="auto"/>
              <w:rPr>
                <w:rFonts w:ascii="Arial" w:eastAsia="MyriadPro-BoldCond" w:hAnsi="Arial" w:cs="Arial"/>
                <w:bCs/>
                <w:sz w:val="20"/>
                <w:szCs w:val="20"/>
                <w:highlight w:val="yellow"/>
              </w:rPr>
            </w:pPr>
            <w:r w:rsidRPr="003D085B">
              <w:rPr>
                <w:rFonts w:ascii="Arial" w:hAnsi="Arial" w:cs="Arial"/>
                <w:sz w:val="20"/>
                <w:szCs w:val="20"/>
              </w:rPr>
              <w:t xml:space="preserve">Neonatal Opioid Withdrawal Syndrome; </w:t>
            </w:r>
            <w:r w:rsidR="00D21648" w:rsidRPr="00D21648">
              <w:rPr>
                <w:rFonts w:ascii="Arial" w:eastAsia="MyriadPro-BoldCond" w:hAnsi="Arial" w:cs="Arial"/>
                <w:bCs/>
                <w:sz w:val="20"/>
                <w:szCs w:val="20"/>
              </w:rPr>
              <w:t xml:space="preserve">Prolonged use of </w:t>
            </w:r>
            <w:proofErr w:type="spellStart"/>
            <w:r w:rsidR="00D21648" w:rsidRPr="00D21648">
              <w:rPr>
                <w:rFonts w:ascii="Arial" w:eastAsia="MyriadPro-BoldCond" w:hAnsi="Arial" w:cs="Arial"/>
                <w:bCs/>
                <w:sz w:val="20"/>
                <w:szCs w:val="20"/>
              </w:rPr>
              <w:t>Zohydro</w:t>
            </w:r>
            <w:proofErr w:type="spellEnd"/>
            <w:r w:rsidR="00D21648" w:rsidRPr="00D21648">
              <w:rPr>
                <w:rFonts w:ascii="Arial" w:eastAsia="MyriadPro-BoldCond" w:hAnsi="Arial" w:cs="Arial"/>
                <w:bCs/>
                <w:sz w:val="20"/>
                <w:szCs w:val="20"/>
              </w:rPr>
              <w:t xml:space="preserve"> ER</w:t>
            </w:r>
            <w:r w:rsidR="005907C0" w:rsidRPr="00734B3E">
              <w:rPr>
                <w:rFonts w:ascii="Arial" w:eastAsia="MyriadPro-BoldCond" w:hAnsi="Arial" w:cs="Arial"/>
                <w:bCs/>
                <w:sz w:val="20"/>
                <w:szCs w:val="20"/>
                <w:vertAlign w:val="superscript"/>
              </w:rPr>
              <w:t>®</w:t>
            </w:r>
            <w:r w:rsidR="00D21648" w:rsidRPr="00D21648">
              <w:rPr>
                <w:rFonts w:ascii="Arial" w:eastAsia="MyriadPro-BoldCond" w:hAnsi="Arial" w:cs="Arial"/>
                <w:bCs/>
                <w:sz w:val="20"/>
                <w:szCs w:val="20"/>
              </w:rPr>
              <w:t xml:space="preserve"> (hydrocodone extended-release) during pregnancy can result in neonatal opioid withdrawal syndrome, which may be life-threatening if not recognized and treated, and requires management according to protocols developed by neonatology experts. If opioid use is required for a prolonged period in a pregnant woman, advise the patient of the risk of neonatal opioid withdrawal syndrome and ensure that appropriate treatment will be available.</w:t>
            </w:r>
          </w:p>
        </w:tc>
      </w:tr>
      <w:tr w:rsidR="003D085B" w:rsidRPr="00083D63" w:rsidTr="00D42930">
        <w:tc>
          <w:tcPr>
            <w:tcW w:w="1890" w:type="dxa"/>
            <w:vMerge/>
            <w:shd w:val="clear" w:color="auto" w:fill="B18ED0" w:themeFill="background1" w:themeFillShade="BF"/>
          </w:tcPr>
          <w:p w:rsidR="003D085B" w:rsidRPr="00083D63" w:rsidRDefault="003D085B" w:rsidP="00D42930">
            <w:pPr>
              <w:pStyle w:val="NoSpacing"/>
              <w:rPr>
                <w:rFonts w:ascii="Arial" w:hAnsi="Arial" w:cs="Arial"/>
                <w:b/>
                <w:sz w:val="20"/>
                <w:szCs w:val="20"/>
                <w:highlight w:val="yellow"/>
              </w:rPr>
            </w:pPr>
          </w:p>
        </w:tc>
        <w:tc>
          <w:tcPr>
            <w:tcW w:w="7578" w:type="dxa"/>
          </w:tcPr>
          <w:p w:rsidR="003D085B" w:rsidRPr="003D085B" w:rsidRDefault="003D085B" w:rsidP="00DF0C09">
            <w:pPr>
              <w:autoSpaceDE w:val="0"/>
              <w:autoSpaceDN w:val="0"/>
              <w:adjustRightInd w:val="0"/>
              <w:spacing w:after="0" w:line="240" w:lineRule="auto"/>
              <w:rPr>
                <w:rFonts w:ascii="Arial" w:hAnsi="Arial" w:cs="Arial"/>
                <w:sz w:val="20"/>
                <w:szCs w:val="20"/>
              </w:rPr>
            </w:pPr>
            <w:r w:rsidRPr="003D085B">
              <w:rPr>
                <w:rFonts w:ascii="Arial" w:hAnsi="Arial" w:cs="Arial"/>
                <w:sz w:val="20"/>
                <w:szCs w:val="20"/>
              </w:rPr>
              <w:t xml:space="preserve">Interactions with Central Nervous System (CNS) Depressants; Hypotension, profound sedation, coma, respiratory depression and death may result if </w:t>
            </w:r>
            <w:proofErr w:type="spellStart"/>
            <w:r w:rsidRPr="003D085B">
              <w:rPr>
                <w:rFonts w:ascii="Arial" w:eastAsia="MyriadPro-BoldCond" w:hAnsi="Arial" w:cs="Arial"/>
                <w:bCs/>
                <w:sz w:val="20"/>
                <w:szCs w:val="20"/>
              </w:rPr>
              <w:t>Zohydro</w:t>
            </w:r>
            <w:proofErr w:type="spellEnd"/>
            <w:r w:rsidRPr="003D085B">
              <w:rPr>
                <w:rFonts w:ascii="Arial" w:eastAsia="MyriadPro-BoldCond" w:hAnsi="Arial" w:cs="Arial"/>
                <w:bCs/>
                <w:sz w:val="20"/>
                <w:szCs w:val="20"/>
              </w:rPr>
              <w:t xml:space="preserve"> ER</w:t>
            </w:r>
            <w:r w:rsidR="00DF0C09" w:rsidRPr="00734B3E">
              <w:rPr>
                <w:rFonts w:ascii="Arial" w:eastAsia="MyriadPro-BoldCond" w:hAnsi="Arial" w:cs="Arial"/>
                <w:bCs/>
                <w:sz w:val="20"/>
                <w:szCs w:val="20"/>
                <w:vertAlign w:val="superscript"/>
              </w:rPr>
              <w:t>®</w:t>
            </w:r>
            <w:r w:rsidRPr="003D085B">
              <w:rPr>
                <w:rFonts w:ascii="Arial" w:eastAsia="MyriadPro-BoldCond" w:hAnsi="Arial" w:cs="Arial"/>
                <w:bCs/>
                <w:sz w:val="20"/>
                <w:szCs w:val="20"/>
              </w:rPr>
              <w:t xml:space="preserve"> (hydrocodone extended-release) </w:t>
            </w:r>
            <w:r w:rsidRPr="003D085B">
              <w:rPr>
                <w:rFonts w:ascii="Arial" w:hAnsi="Arial" w:cs="Arial"/>
                <w:sz w:val="20"/>
                <w:szCs w:val="20"/>
              </w:rPr>
              <w:t>is used concomitantly with alcohol or other CNS depressants.</w:t>
            </w:r>
          </w:p>
        </w:tc>
      </w:tr>
      <w:tr w:rsidR="003D085B" w:rsidRPr="00083D63" w:rsidTr="00D42930">
        <w:tc>
          <w:tcPr>
            <w:tcW w:w="1890" w:type="dxa"/>
            <w:vMerge/>
            <w:shd w:val="clear" w:color="auto" w:fill="B18ED0" w:themeFill="background1" w:themeFillShade="BF"/>
          </w:tcPr>
          <w:p w:rsidR="003D085B" w:rsidRPr="00083D63" w:rsidRDefault="003D085B" w:rsidP="00D42930">
            <w:pPr>
              <w:pStyle w:val="NoSpacing"/>
              <w:rPr>
                <w:rFonts w:ascii="Arial" w:hAnsi="Arial" w:cs="Arial"/>
                <w:b/>
                <w:sz w:val="20"/>
                <w:szCs w:val="20"/>
                <w:highlight w:val="yellow"/>
              </w:rPr>
            </w:pPr>
          </w:p>
        </w:tc>
        <w:tc>
          <w:tcPr>
            <w:tcW w:w="7578" w:type="dxa"/>
          </w:tcPr>
          <w:p w:rsidR="003D085B" w:rsidRPr="003D085B" w:rsidRDefault="003D085B" w:rsidP="00DF0C09">
            <w:pPr>
              <w:autoSpaceDE w:val="0"/>
              <w:autoSpaceDN w:val="0"/>
              <w:adjustRightInd w:val="0"/>
              <w:spacing w:after="0" w:line="240" w:lineRule="auto"/>
              <w:rPr>
                <w:rFonts w:ascii="Arial" w:hAnsi="Arial" w:cs="Arial"/>
                <w:sz w:val="20"/>
                <w:szCs w:val="20"/>
              </w:rPr>
            </w:pPr>
            <w:r w:rsidRPr="00034CAE">
              <w:rPr>
                <w:rFonts w:ascii="Arial" w:hAnsi="Arial" w:cs="Arial"/>
                <w:sz w:val="20"/>
                <w:szCs w:val="20"/>
              </w:rPr>
              <w:t xml:space="preserve">Use in Elderly, Cachectic and Debilitated Patients; Life-threatening respiratory </w:t>
            </w:r>
            <w:r w:rsidRPr="00034CAE">
              <w:rPr>
                <w:rFonts w:ascii="Arial" w:hAnsi="Arial" w:cs="Arial"/>
                <w:sz w:val="20"/>
                <w:szCs w:val="20"/>
              </w:rPr>
              <w:lastRenderedPageBreak/>
              <w:t xml:space="preserve">depression is more likely to occur in elderly, cachectic or debilitated patients due to potential for altered pharmacokinetics or clearance compared to younger, healthier patients. These patients should be monitored closely, particularly upon initiating and titrating </w:t>
            </w:r>
            <w:proofErr w:type="spellStart"/>
            <w:r w:rsidR="00034CAE" w:rsidRPr="00034CAE">
              <w:rPr>
                <w:rFonts w:ascii="Arial" w:eastAsia="MyriadPro-BoldCond" w:hAnsi="Arial" w:cs="Arial"/>
                <w:bCs/>
                <w:sz w:val="20"/>
                <w:szCs w:val="20"/>
              </w:rPr>
              <w:t>Zohydro</w:t>
            </w:r>
            <w:proofErr w:type="spellEnd"/>
            <w:r w:rsidR="00034CAE" w:rsidRPr="00034CAE">
              <w:rPr>
                <w:rFonts w:ascii="Arial" w:eastAsia="MyriadPro-BoldCond" w:hAnsi="Arial" w:cs="Arial"/>
                <w:bCs/>
                <w:sz w:val="20"/>
                <w:szCs w:val="20"/>
              </w:rPr>
              <w:t xml:space="preserve"> ER</w:t>
            </w:r>
            <w:r w:rsidR="00DF0C09" w:rsidRPr="00734B3E">
              <w:rPr>
                <w:rFonts w:ascii="Arial" w:eastAsia="MyriadPro-BoldCond" w:hAnsi="Arial" w:cs="Arial"/>
                <w:bCs/>
                <w:sz w:val="20"/>
                <w:szCs w:val="20"/>
                <w:vertAlign w:val="superscript"/>
              </w:rPr>
              <w:t>®</w:t>
            </w:r>
            <w:r w:rsidR="00034CAE" w:rsidRPr="00034CAE">
              <w:rPr>
                <w:rFonts w:ascii="Arial" w:eastAsia="MyriadPro-BoldCond" w:hAnsi="Arial" w:cs="Arial"/>
                <w:bCs/>
                <w:sz w:val="20"/>
                <w:szCs w:val="20"/>
              </w:rPr>
              <w:t xml:space="preserve"> (hydrocodone extended-release) </w:t>
            </w:r>
            <w:r w:rsidRPr="00034CAE">
              <w:rPr>
                <w:rFonts w:ascii="Arial" w:hAnsi="Arial" w:cs="Arial"/>
                <w:sz w:val="20"/>
                <w:szCs w:val="20"/>
              </w:rPr>
              <w:t>and when other drugs that depress respiration are concomitantly administered.</w:t>
            </w:r>
          </w:p>
        </w:tc>
      </w:tr>
      <w:tr w:rsidR="003E28A9" w:rsidRPr="00083D63" w:rsidTr="00D42930">
        <w:tc>
          <w:tcPr>
            <w:tcW w:w="1890" w:type="dxa"/>
            <w:vMerge/>
            <w:shd w:val="clear" w:color="auto" w:fill="B18ED0" w:themeFill="background1" w:themeFillShade="BF"/>
          </w:tcPr>
          <w:p w:rsidR="003E28A9" w:rsidRPr="00083D63" w:rsidRDefault="003E28A9" w:rsidP="00D42930">
            <w:pPr>
              <w:pStyle w:val="NoSpacing"/>
              <w:rPr>
                <w:rFonts w:ascii="Arial" w:hAnsi="Arial" w:cs="Arial"/>
                <w:b/>
                <w:sz w:val="20"/>
                <w:szCs w:val="20"/>
                <w:highlight w:val="yellow"/>
              </w:rPr>
            </w:pPr>
          </w:p>
        </w:tc>
        <w:tc>
          <w:tcPr>
            <w:tcW w:w="7578" w:type="dxa"/>
          </w:tcPr>
          <w:p w:rsidR="003E28A9" w:rsidRPr="00034CAE" w:rsidRDefault="003E28A9" w:rsidP="00DF0C09">
            <w:pPr>
              <w:autoSpaceDE w:val="0"/>
              <w:autoSpaceDN w:val="0"/>
              <w:adjustRightInd w:val="0"/>
              <w:spacing w:after="0" w:line="240" w:lineRule="auto"/>
              <w:rPr>
                <w:rFonts w:ascii="Arial" w:hAnsi="Arial" w:cs="Arial"/>
                <w:sz w:val="20"/>
                <w:szCs w:val="20"/>
              </w:rPr>
            </w:pPr>
            <w:r w:rsidRPr="003E28A9">
              <w:rPr>
                <w:rFonts w:ascii="Arial" w:hAnsi="Arial" w:cs="Arial"/>
                <w:sz w:val="20"/>
                <w:szCs w:val="20"/>
              </w:rPr>
              <w:t xml:space="preserve">Use in Patients with Chronic Pulmonary Disease; Monitor patients with significant chronic obstructive pulmonary disease or </w:t>
            </w:r>
            <w:proofErr w:type="spellStart"/>
            <w:r w:rsidRPr="003E28A9">
              <w:rPr>
                <w:rFonts w:ascii="Arial" w:hAnsi="Arial" w:cs="Arial"/>
                <w:sz w:val="20"/>
                <w:szCs w:val="20"/>
              </w:rPr>
              <w:t>cor</w:t>
            </w:r>
            <w:proofErr w:type="spellEnd"/>
            <w:r w:rsidRPr="003E28A9">
              <w:rPr>
                <w:rFonts w:ascii="Arial" w:hAnsi="Arial" w:cs="Arial"/>
                <w:sz w:val="20"/>
                <w:szCs w:val="20"/>
              </w:rPr>
              <w:t xml:space="preserve"> </w:t>
            </w:r>
            <w:proofErr w:type="spellStart"/>
            <w:r w:rsidRPr="003E28A9">
              <w:rPr>
                <w:rFonts w:ascii="Arial" w:hAnsi="Arial" w:cs="Arial"/>
                <w:sz w:val="20"/>
                <w:szCs w:val="20"/>
              </w:rPr>
              <w:t>pulmonale</w:t>
            </w:r>
            <w:proofErr w:type="spellEnd"/>
            <w:r w:rsidRPr="003E28A9">
              <w:rPr>
                <w:rFonts w:ascii="Arial" w:hAnsi="Arial" w:cs="Arial"/>
                <w:sz w:val="20"/>
                <w:szCs w:val="20"/>
              </w:rPr>
              <w:t xml:space="preserve">, and patients that have a substantially decreased respiratory reserve, hypoxia, hypercapnia or preexisting respiratory depression for respiratory depression, particularly when initiating therapy with </w:t>
            </w:r>
            <w:proofErr w:type="spellStart"/>
            <w:r w:rsidRPr="003E28A9">
              <w:rPr>
                <w:rFonts w:ascii="Arial" w:eastAsia="MyriadPro-BoldCond" w:hAnsi="Arial" w:cs="Arial"/>
                <w:bCs/>
                <w:sz w:val="20"/>
                <w:szCs w:val="20"/>
              </w:rPr>
              <w:t>Zohydro</w:t>
            </w:r>
            <w:proofErr w:type="spellEnd"/>
            <w:r w:rsidRPr="003E28A9">
              <w:rPr>
                <w:rFonts w:ascii="Arial" w:eastAsia="MyriadPro-BoldCond" w:hAnsi="Arial" w:cs="Arial"/>
                <w:bCs/>
                <w:sz w:val="20"/>
                <w:szCs w:val="20"/>
              </w:rPr>
              <w:t xml:space="preserve"> ER</w:t>
            </w:r>
            <w:r w:rsidR="00DF0C09" w:rsidRPr="00734B3E">
              <w:rPr>
                <w:rFonts w:ascii="Arial" w:eastAsia="MyriadPro-BoldCond" w:hAnsi="Arial" w:cs="Arial"/>
                <w:bCs/>
                <w:sz w:val="20"/>
                <w:szCs w:val="20"/>
                <w:vertAlign w:val="superscript"/>
              </w:rPr>
              <w:t>®</w:t>
            </w:r>
            <w:r w:rsidRPr="003E28A9">
              <w:rPr>
                <w:rFonts w:ascii="Arial" w:eastAsia="MyriadPro-BoldCond" w:hAnsi="Arial" w:cs="Arial"/>
                <w:bCs/>
                <w:sz w:val="20"/>
                <w:szCs w:val="20"/>
              </w:rPr>
              <w:t xml:space="preserve"> (hydrocodone extended-release), </w:t>
            </w:r>
            <w:r w:rsidRPr="003E28A9">
              <w:rPr>
                <w:rFonts w:ascii="Arial" w:hAnsi="Arial" w:cs="Arial"/>
                <w:sz w:val="20"/>
                <w:szCs w:val="20"/>
              </w:rPr>
              <w:t xml:space="preserve">as even usual therapeutic doses of </w:t>
            </w:r>
            <w:proofErr w:type="spellStart"/>
            <w:r w:rsidRPr="003E28A9">
              <w:rPr>
                <w:rFonts w:ascii="Arial" w:eastAsia="MyriadPro-BoldCond" w:hAnsi="Arial" w:cs="Arial"/>
                <w:bCs/>
                <w:sz w:val="20"/>
                <w:szCs w:val="20"/>
              </w:rPr>
              <w:t>Zohydro</w:t>
            </w:r>
            <w:proofErr w:type="spellEnd"/>
            <w:r w:rsidRPr="003E28A9">
              <w:rPr>
                <w:rFonts w:ascii="Arial" w:eastAsia="MyriadPro-BoldCond" w:hAnsi="Arial" w:cs="Arial"/>
                <w:bCs/>
                <w:sz w:val="20"/>
                <w:szCs w:val="20"/>
              </w:rPr>
              <w:t xml:space="preserve"> ER</w:t>
            </w:r>
            <w:r w:rsidR="00DF0C09" w:rsidRPr="00734B3E">
              <w:rPr>
                <w:rFonts w:ascii="Arial" w:eastAsia="MyriadPro-BoldCond" w:hAnsi="Arial" w:cs="Arial"/>
                <w:bCs/>
                <w:sz w:val="20"/>
                <w:szCs w:val="20"/>
                <w:vertAlign w:val="superscript"/>
              </w:rPr>
              <w:t>®</w:t>
            </w:r>
            <w:r w:rsidRPr="003E28A9">
              <w:rPr>
                <w:rFonts w:ascii="Arial" w:eastAsia="MyriadPro-BoldCond" w:hAnsi="Arial" w:cs="Arial"/>
                <w:bCs/>
                <w:sz w:val="20"/>
                <w:szCs w:val="20"/>
              </w:rPr>
              <w:t xml:space="preserve"> (hydrocodone extended-release) </w:t>
            </w:r>
            <w:r w:rsidRPr="003E28A9">
              <w:rPr>
                <w:rFonts w:ascii="Arial" w:hAnsi="Arial" w:cs="Arial"/>
                <w:sz w:val="20"/>
                <w:szCs w:val="20"/>
              </w:rPr>
              <w:t>may decrease respiratory drive to the point of apnea in these patients. Consider the use of non-opioid analgesics in these patients if possible.</w:t>
            </w:r>
          </w:p>
        </w:tc>
      </w:tr>
      <w:tr w:rsidR="00734B3E" w:rsidRPr="00083D63" w:rsidTr="00D42930">
        <w:tc>
          <w:tcPr>
            <w:tcW w:w="1890" w:type="dxa"/>
            <w:vMerge/>
            <w:shd w:val="clear" w:color="auto" w:fill="B18ED0" w:themeFill="background1" w:themeFillShade="BF"/>
          </w:tcPr>
          <w:p w:rsidR="00734B3E" w:rsidRPr="00083D63" w:rsidRDefault="00734B3E" w:rsidP="00D42930">
            <w:pPr>
              <w:pStyle w:val="NoSpacing"/>
              <w:rPr>
                <w:rFonts w:ascii="Arial" w:hAnsi="Arial" w:cs="Arial"/>
                <w:b/>
                <w:sz w:val="20"/>
                <w:szCs w:val="20"/>
                <w:highlight w:val="yellow"/>
              </w:rPr>
            </w:pPr>
          </w:p>
        </w:tc>
        <w:tc>
          <w:tcPr>
            <w:tcW w:w="7578" w:type="dxa"/>
          </w:tcPr>
          <w:p w:rsidR="00734B3E" w:rsidRPr="003E28A9" w:rsidRDefault="00734B3E" w:rsidP="00DF0C09">
            <w:pPr>
              <w:autoSpaceDE w:val="0"/>
              <w:autoSpaceDN w:val="0"/>
              <w:adjustRightInd w:val="0"/>
              <w:spacing w:after="0" w:line="240" w:lineRule="auto"/>
              <w:rPr>
                <w:rFonts w:ascii="Arial" w:hAnsi="Arial" w:cs="Arial"/>
                <w:sz w:val="20"/>
                <w:szCs w:val="20"/>
              </w:rPr>
            </w:pPr>
            <w:r w:rsidRPr="007A29C7">
              <w:rPr>
                <w:rFonts w:ascii="Arial" w:hAnsi="Arial" w:cs="Arial"/>
                <w:sz w:val="20"/>
                <w:szCs w:val="20"/>
              </w:rPr>
              <w:t xml:space="preserve">Hypotensive Effect; </w:t>
            </w:r>
            <w:proofErr w:type="spellStart"/>
            <w:r w:rsidRPr="007A29C7">
              <w:rPr>
                <w:rFonts w:ascii="Arial" w:eastAsia="MyriadPro-BoldCond" w:hAnsi="Arial" w:cs="Arial"/>
                <w:bCs/>
                <w:sz w:val="20"/>
                <w:szCs w:val="20"/>
              </w:rPr>
              <w:t>Zohydro</w:t>
            </w:r>
            <w:proofErr w:type="spellEnd"/>
            <w:r w:rsidRPr="007A29C7">
              <w:rPr>
                <w:rFonts w:ascii="Arial" w:eastAsia="MyriadPro-BoldCond" w:hAnsi="Arial" w:cs="Arial"/>
                <w:bCs/>
                <w:sz w:val="20"/>
                <w:szCs w:val="20"/>
              </w:rPr>
              <w:t xml:space="preserve"> ER</w:t>
            </w:r>
            <w:r w:rsidR="00DF0C09" w:rsidRPr="007A29C7">
              <w:rPr>
                <w:rFonts w:ascii="Arial" w:eastAsia="MyriadPro-BoldCond" w:hAnsi="Arial" w:cs="Arial"/>
                <w:bCs/>
                <w:sz w:val="20"/>
                <w:szCs w:val="20"/>
                <w:vertAlign w:val="superscript"/>
              </w:rPr>
              <w:t>®</w:t>
            </w:r>
            <w:r w:rsidRPr="007A29C7">
              <w:rPr>
                <w:rFonts w:ascii="Arial" w:eastAsia="MyriadPro-BoldCond" w:hAnsi="Arial" w:cs="Arial"/>
                <w:bCs/>
                <w:sz w:val="20"/>
                <w:szCs w:val="20"/>
              </w:rPr>
              <w:t xml:space="preserve"> (hydrocodone extended-release) </w:t>
            </w:r>
            <w:r w:rsidRPr="007A29C7">
              <w:rPr>
                <w:rFonts w:ascii="Arial" w:hAnsi="Arial" w:cs="Arial"/>
                <w:sz w:val="20"/>
                <w:szCs w:val="20"/>
              </w:rPr>
              <w:t xml:space="preserve">may cause severe hypotension, including orthostatic hypotension and syncope in ambulatory patients. There is additional risk for patients with compromised ability to maintain blood pressure due to depleted blood volume or concomitant administration of drugs that compromise vasomotor tone, such as </w:t>
            </w:r>
            <w:proofErr w:type="spellStart"/>
            <w:r w:rsidRPr="007A29C7">
              <w:rPr>
                <w:rFonts w:ascii="Arial" w:hAnsi="Arial" w:cs="Arial"/>
                <w:sz w:val="20"/>
                <w:szCs w:val="20"/>
              </w:rPr>
              <w:t>phenothiazines</w:t>
            </w:r>
            <w:proofErr w:type="spellEnd"/>
            <w:r w:rsidRPr="007A29C7">
              <w:rPr>
                <w:rFonts w:ascii="Arial" w:hAnsi="Arial" w:cs="Arial"/>
                <w:sz w:val="20"/>
                <w:szCs w:val="20"/>
              </w:rPr>
              <w:t xml:space="preserve">. These patients should be monitored for signs of hypotension after initiating or titrating the dose of </w:t>
            </w:r>
            <w:proofErr w:type="spellStart"/>
            <w:r w:rsidR="007A29C7" w:rsidRPr="007A29C7">
              <w:rPr>
                <w:rFonts w:ascii="Arial" w:eastAsia="MyriadPro-BoldCond" w:hAnsi="Arial" w:cs="Arial"/>
                <w:bCs/>
                <w:sz w:val="20"/>
                <w:szCs w:val="20"/>
              </w:rPr>
              <w:t>Zohydro</w:t>
            </w:r>
            <w:proofErr w:type="spellEnd"/>
            <w:r w:rsidR="007A29C7" w:rsidRPr="007A29C7">
              <w:rPr>
                <w:rFonts w:ascii="Arial" w:eastAsia="MyriadPro-BoldCond" w:hAnsi="Arial" w:cs="Arial"/>
                <w:bCs/>
                <w:sz w:val="20"/>
                <w:szCs w:val="20"/>
              </w:rPr>
              <w:t xml:space="preserve"> ER</w:t>
            </w:r>
            <w:r w:rsidR="00DF0C09" w:rsidRPr="007A29C7">
              <w:rPr>
                <w:rFonts w:ascii="Arial" w:eastAsia="MyriadPro-BoldCond" w:hAnsi="Arial" w:cs="Arial"/>
                <w:bCs/>
                <w:sz w:val="20"/>
                <w:szCs w:val="20"/>
                <w:vertAlign w:val="superscript"/>
              </w:rPr>
              <w:t>®</w:t>
            </w:r>
            <w:r w:rsidR="007A29C7" w:rsidRPr="007A29C7">
              <w:rPr>
                <w:rFonts w:ascii="Arial" w:eastAsia="MyriadPro-BoldCond" w:hAnsi="Arial" w:cs="Arial"/>
                <w:bCs/>
                <w:sz w:val="20"/>
                <w:szCs w:val="20"/>
              </w:rPr>
              <w:t xml:space="preserve"> (hydrocodone extended-release).</w:t>
            </w:r>
            <w:r w:rsidRPr="007A29C7">
              <w:rPr>
                <w:rFonts w:ascii="Arial" w:hAnsi="Arial" w:cs="Arial"/>
                <w:sz w:val="20"/>
                <w:szCs w:val="20"/>
              </w:rPr>
              <w:t xml:space="preserve">The use of </w:t>
            </w:r>
            <w:proofErr w:type="spellStart"/>
            <w:r w:rsidR="007A29C7" w:rsidRPr="007A29C7">
              <w:rPr>
                <w:rFonts w:ascii="Arial" w:eastAsia="MyriadPro-BoldCond" w:hAnsi="Arial" w:cs="Arial"/>
                <w:bCs/>
                <w:sz w:val="20"/>
                <w:szCs w:val="20"/>
              </w:rPr>
              <w:t>Zohydro</w:t>
            </w:r>
            <w:proofErr w:type="spellEnd"/>
            <w:r w:rsidR="007A29C7" w:rsidRPr="007A29C7">
              <w:rPr>
                <w:rFonts w:ascii="Arial" w:eastAsia="MyriadPro-BoldCond" w:hAnsi="Arial" w:cs="Arial"/>
                <w:bCs/>
                <w:sz w:val="20"/>
                <w:szCs w:val="20"/>
              </w:rPr>
              <w:t xml:space="preserve"> ER</w:t>
            </w:r>
            <w:r w:rsidR="00DF0C09" w:rsidRPr="007A29C7">
              <w:rPr>
                <w:rFonts w:ascii="Arial" w:eastAsia="MyriadPro-BoldCond" w:hAnsi="Arial" w:cs="Arial"/>
                <w:bCs/>
                <w:sz w:val="20"/>
                <w:szCs w:val="20"/>
                <w:vertAlign w:val="superscript"/>
              </w:rPr>
              <w:t>®</w:t>
            </w:r>
            <w:r w:rsidR="007A29C7" w:rsidRPr="007A29C7">
              <w:rPr>
                <w:rFonts w:ascii="Arial" w:eastAsia="MyriadPro-BoldCond" w:hAnsi="Arial" w:cs="Arial"/>
                <w:bCs/>
                <w:sz w:val="20"/>
                <w:szCs w:val="20"/>
              </w:rPr>
              <w:t xml:space="preserve"> (hydrocodone extended-release) </w:t>
            </w:r>
            <w:r w:rsidRPr="007A29C7">
              <w:rPr>
                <w:rFonts w:ascii="Arial" w:hAnsi="Arial" w:cs="Arial"/>
                <w:sz w:val="20"/>
                <w:szCs w:val="20"/>
              </w:rPr>
              <w:t xml:space="preserve">should be avoided in patients with circulatory shock, as </w:t>
            </w:r>
            <w:proofErr w:type="spellStart"/>
            <w:r w:rsidR="007A29C7" w:rsidRPr="007A29C7">
              <w:rPr>
                <w:rFonts w:ascii="Arial" w:eastAsia="MyriadPro-BoldCond" w:hAnsi="Arial" w:cs="Arial"/>
                <w:bCs/>
                <w:sz w:val="20"/>
                <w:szCs w:val="20"/>
              </w:rPr>
              <w:t>Zohydro</w:t>
            </w:r>
            <w:proofErr w:type="spellEnd"/>
            <w:r w:rsidR="007A29C7" w:rsidRPr="007A29C7">
              <w:rPr>
                <w:rFonts w:ascii="Arial" w:eastAsia="MyriadPro-BoldCond" w:hAnsi="Arial" w:cs="Arial"/>
                <w:bCs/>
                <w:sz w:val="20"/>
                <w:szCs w:val="20"/>
              </w:rPr>
              <w:t xml:space="preserve"> ER</w:t>
            </w:r>
            <w:r w:rsidR="00DF0C09" w:rsidRPr="007A29C7">
              <w:rPr>
                <w:rFonts w:ascii="Arial" w:eastAsia="MyriadPro-BoldCond" w:hAnsi="Arial" w:cs="Arial"/>
                <w:bCs/>
                <w:sz w:val="20"/>
                <w:szCs w:val="20"/>
                <w:vertAlign w:val="superscript"/>
              </w:rPr>
              <w:t>®</w:t>
            </w:r>
            <w:r w:rsidR="007A29C7" w:rsidRPr="007A29C7">
              <w:rPr>
                <w:rFonts w:ascii="Arial" w:eastAsia="MyriadPro-BoldCond" w:hAnsi="Arial" w:cs="Arial"/>
                <w:bCs/>
                <w:sz w:val="20"/>
                <w:szCs w:val="20"/>
              </w:rPr>
              <w:t xml:space="preserve"> (hydrocodone extended-release)</w:t>
            </w:r>
            <w:r w:rsidRPr="007A29C7">
              <w:rPr>
                <w:rFonts w:ascii="Arial" w:eastAsia="MyriadPro-BoldCond" w:hAnsi="Arial" w:cs="Arial"/>
                <w:bCs/>
                <w:sz w:val="20"/>
                <w:szCs w:val="20"/>
              </w:rPr>
              <w:t xml:space="preserve"> </w:t>
            </w:r>
            <w:r w:rsidRPr="007A29C7">
              <w:rPr>
                <w:rFonts w:ascii="Arial" w:hAnsi="Arial" w:cs="Arial"/>
                <w:sz w:val="20"/>
                <w:szCs w:val="20"/>
              </w:rPr>
              <w:t>may cause vasodilation</w:t>
            </w:r>
            <w:r w:rsidR="00631189">
              <w:rPr>
                <w:rFonts w:ascii="Arial" w:hAnsi="Arial" w:cs="Arial"/>
                <w:sz w:val="20"/>
                <w:szCs w:val="20"/>
              </w:rPr>
              <w:t xml:space="preserve"> </w:t>
            </w:r>
            <w:r w:rsidR="00631189" w:rsidRPr="00630EAB">
              <w:rPr>
                <w:rFonts w:ascii="Arial" w:hAnsi="Arial" w:cs="Arial"/>
                <w:sz w:val="20"/>
                <w:szCs w:val="20"/>
              </w:rPr>
              <w:t>that can further reduce cardiac output and blood pressure.</w:t>
            </w:r>
          </w:p>
        </w:tc>
      </w:tr>
      <w:tr w:rsidR="007A29C7" w:rsidRPr="00083D63" w:rsidTr="00D42930">
        <w:tc>
          <w:tcPr>
            <w:tcW w:w="1890" w:type="dxa"/>
            <w:vMerge/>
            <w:shd w:val="clear" w:color="auto" w:fill="B18ED0" w:themeFill="background1" w:themeFillShade="BF"/>
          </w:tcPr>
          <w:p w:rsidR="007A29C7" w:rsidRPr="00083D63" w:rsidRDefault="007A29C7" w:rsidP="00D42930">
            <w:pPr>
              <w:pStyle w:val="NoSpacing"/>
              <w:rPr>
                <w:rFonts w:ascii="Arial" w:hAnsi="Arial" w:cs="Arial"/>
                <w:b/>
                <w:sz w:val="20"/>
                <w:szCs w:val="20"/>
                <w:highlight w:val="yellow"/>
              </w:rPr>
            </w:pPr>
          </w:p>
        </w:tc>
        <w:tc>
          <w:tcPr>
            <w:tcW w:w="7578" w:type="dxa"/>
          </w:tcPr>
          <w:p w:rsidR="007A29C7" w:rsidRPr="007A29C7" w:rsidRDefault="007A29C7" w:rsidP="007A29C7">
            <w:pPr>
              <w:autoSpaceDE w:val="0"/>
              <w:autoSpaceDN w:val="0"/>
              <w:adjustRightInd w:val="0"/>
              <w:spacing w:after="0" w:line="240" w:lineRule="auto"/>
              <w:rPr>
                <w:rFonts w:ascii="Arial" w:hAnsi="Arial" w:cs="Arial"/>
                <w:sz w:val="20"/>
                <w:szCs w:val="20"/>
              </w:rPr>
            </w:pPr>
            <w:r w:rsidRPr="007A29C7">
              <w:rPr>
                <w:rFonts w:ascii="Arial" w:hAnsi="Arial" w:cs="Arial"/>
                <w:sz w:val="20"/>
                <w:szCs w:val="20"/>
              </w:rPr>
              <w:t>Use in Patients with Head Injury and Increased Intracranial Pressure; In the presence of head injury, intracranial lesions or a preexisting increase in intracranial pressure, the possible respiratory depressant effects of opioids and their potential to elevate cerebrospinal fluid pressure may be markedly exaggerated. Opioid analgesics can also produce effects on pupillary response and consciousness, which may obscure neurologic signs of further increases in intracranial pressure in patients with head injuries.</w:t>
            </w:r>
          </w:p>
        </w:tc>
      </w:tr>
      <w:tr w:rsidR="007A29C7" w:rsidRPr="00083D63" w:rsidTr="00D42930">
        <w:tc>
          <w:tcPr>
            <w:tcW w:w="1890" w:type="dxa"/>
            <w:vMerge/>
            <w:shd w:val="clear" w:color="auto" w:fill="B18ED0" w:themeFill="background1" w:themeFillShade="BF"/>
          </w:tcPr>
          <w:p w:rsidR="007A29C7" w:rsidRPr="00083D63" w:rsidRDefault="007A29C7" w:rsidP="00D42930">
            <w:pPr>
              <w:pStyle w:val="NoSpacing"/>
              <w:rPr>
                <w:rFonts w:ascii="Arial" w:hAnsi="Arial" w:cs="Arial"/>
                <w:b/>
                <w:sz w:val="20"/>
                <w:szCs w:val="20"/>
                <w:highlight w:val="yellow"/>
              </w:rPr>
            </w:pPr>
          </w:p>
        </w:tc>
        <w:tc>
          <w:tcPr>
            <w:tcW w:w="7578" w:type="dxa"/>
          </w:tcPr>
          <w:p w:rsidR="007A29C7" w:rsidRPr="007A29C7" w:rsidRDefault="00915A6F" w:rsidP="00DF0C09">
            <w:pPr>
              <w:autoSpaceDE w:val="0"/>
              <w:autoSpaceDN w:val="0"/>
              <w:adjustRightInd w:val="0"/>
              <w:spacing w:after="0" w:line="240" w:lineRule="auto"/>
              <w:rPr>
                <w:rFonts w:ascii="Arial" w:hAnsi="Arial" w:cs="Arial"/>
                <w:sz w:val="20"/>
                <w:szCs w:val="20"/>
              </w:rPr>
            </w:pPr>
            <w:r w:rsidRPr="00915A6F">
              <w:rPr>
                <w:rFonts w:ascii="Arial" w:hAnsi="Arial" w:cs="Arial"/>
                <w:sz w:val="20"/>
                <w:szCs w:val="20"/>
              </w:rPr>
              <w:t xml:space="preserve">Decreased Bowel Motility; </w:t>
            </w:r>
            <w:proofErr w:type="spellStart"/>
            <w:r w:rsidRPr="007A29C7">
              <w:rPr>
                <w:rFonts w:ascii="Arial" w:eastAsia="MyriadPro-BoldCond" w:hAnsi="Arial" w:cs="Arial"/>
                <w:bCs/>
                <w:sz w:val="20"/>
                <w:szCs w:val="20"/>
              </w:rPr>
              <w:t>Zohydro</w:t>
            </w:r>
            <w:proofErr w:type="spellEnd"/>
            <w:r w:rsidRPr="007A29C7">
              <w:rPr>
                <w:rFonts w:ascii="Arial" w:eastAsia="MyriadPro-BoldCond" w:hAnsi="Arial" w:cs="Arial"/>
                <w:bCs/>
                <w:sz w:val="20"/>
                <w:szCs w:val="20"/>
              </w:rPr>
              <w:t xml:space="preserve"> ER</w:t>
            </w:r>
            <w:r w:rsidR="00DF0C09" w:rsidRPr="007A29C7">
              <w:rPr>
                <w:rFonts w:ascii="Arial" w:eastAsia="MyriadPro-BoldCond" w:hAnsi="Arial" w:cs="Arial"/>
                <w:bCs/>
                <w:sz w:val="20"/>
                <w:szCs w:val="20"/>
                <w:vertAlign w:val="superscript"/>
              </w:rPr>
              <w:t>®</w:t>
            </w:r>
            <w:r w:rsidRPr="007A29C7">
              <w:rPr>
                <w:rFonts w:ascii="Arial" w:eastAsia="MyriadPro-BoldCond" w:hAnsi="Arial" w:cs="Arial"/>
                <w:bCs/>
                <w:sz w:val="20"/>
                <w:szCs w:val="20"/>
              </w:rPr>
              <w:t xml:space="preserve"> </w:t>
            </w:r>
            <w:r w:rsidRPr="00915A6F">
              <w:rPr>
                <w:rFonts w:ascii="Arial" w:hAnsi="Arial" w:cs="Arial"/>
                <w:sz w:val="20"/>
                <w:szCs w:val="20"/>
              </w:rPr>
              <w:t xml:space="preserve">(hydrocodone extended-release) is contraindicated in patients with known or suspected gastrointestinal obstruction, including paralytic ileus. Opioids diminish propulsive peristaltic waves in the gastrointestinal tract and decrease bowel motility. Monitor for decreased bowel motility in post-operative patients receiving opioids. Administration of </w:t>
            </w:r>
            <w:proofErr w:type="spellStart"/>
            <w:r w:rsidRPr="007A29C7">
              <w:rPr>
                <w:rFonts w:ascii="Arial" w:eastAsia="MyriadPro-BoldCond" w:hAnsi="Arial" w:cs="Arial"/>
                <w:bCs/>
                <w:sz w:val="20"/>
                <w:szCs w:val="20"/>
              </w:rPr>
              <w:t>Zohydro</w:t>
            </w:r>
            <w:proofErr w:type="spellEnd"/>
            <w:r w:rsidRPr="007A29C7">
              <w:rPr>
                <w:rFonts w:ascii="Arial" w:eastAsia="MyriadPro-BoldCond" w:hAnsi="Arial" w:cs="Arial"/>
                <w:bCs/>
                <w:sz w:val="20"/>
                <w:szCs w:val="20"/>
              </w:rPr>
              <w:t xml:space="preserve"> ER</w:t>
            </w:r>
            <w:r w:rsidR="00DF0C09" w:rsidRPr="007A29C7">
              <w:rPr>
                <w:rFonts w:ascii="Arial" w:eastAsia="MyriadPro-BoldCond" w:hAnsi="Arial" w:cs="Arial"/>
                <w:bCs/>
                <w:sz w:val="20"/>
                <w:szCs w:val="20"/>
                <w:vertAlign w:val="superscript"/>
              </w:rPr>
              <w:t>®</w:t>
            </w:r>
            <w:r w:rsidRPr="007A29C7">
              <w:rPr>
                <w:rFonts w:ascii="Arial" w:eastAsia="MyriadPro-BoldCond" w:hAnsi="Arial" w:cs="Arial"/>
                <w:bCs/>
                <w:sz w:val="20"/>
                <w:szCs w:val="20"/>
              </w:rPr>
              <w:t xml:space="preserve"> </w:t>
            </w:r>
            <w:r w:rsidRPr="00915A6F">
              <w:rPr>
                <w:rFonts w:ascii="Arial" w:hAnsi="Arial" w:cs="Arial"/>
                <w:sz w:val="20"/>
                <w:szCs w:val="20"/>
              </w:rPr>
              <w:t xml:space="preserve">(hydrocodone extended-release) may obscure the diagnosis or clinical course in patients with acute abdominal conditions. Hydrocodone may cause spasm of the sphincter of </w:t>
            </w:r>
            <w:proofErr w:type="spellStart"/>
            <w:r w:rsidRPr="00915A6F">
              <w:rPr>
                <w:rFonts w:ascii="Arial" w:hAnsi="Arial" w:cs="Arial"/>
                <w:sz w:val="20"/>
                <w:szCs w:val="20"/>
              </w:rPr>
              <w:t>Oddi</w:t>
            </w:r>
            <w:proofErr w:type="spellEnd"/>
            <w:r w:rsidRPr="00915A6F">
              <w:rPr>
                <w:rFonts w:ascii="Arial" w:hAnsi="Arial" w:cs="Arial"/>
                <w:sz w:val="20"/>
                <w:szCs w:val="20"/>
              </w:rPr>
              <w:t>. Monitor patients with biliary tract disease, including acute pancreatitis.</w:t>
            </w:r>
          </w:p>
        </w:tc>
      </w:tr>
      <w:tr w:rsidR="00915A6F" w:rsidRPr="00083D63" w:rsidTr="00D42930">
        <w:tc>
          <w:tcPr>
            <w:tcW w:w="1890" w:type="dxa"/>
            <w:vMerge/>
            <w:shd w:val="clear" w:color="auto" w:fill="B18ED0" w:themeFill="background1" w:themeFillShade="BF"/>
          </w:tcPr>
          <w:p w:rsidR="00915A6F" w:rsidRPr="00083D63" w:rsidRDefault="00915A6F" w:rsidP="00D42930">
            <w:pPr>
              <w:pStyle w:val="NoSpacing"/>
              <w:rPr>
                <w:rFonts w:ascii="Arial" w:hAnsi="Arial" w:cs="Arial"/>
                <w:b/>
                <w:sz w:val="20"/>
                <w:szCs w:val="20"/>
                <w:highlight w:val="yellow"/>
              </w:rPr>
            </w:pPr>
          </w:p>
        </w:tc>
        <w:tc>
          <w:tcPr>
            <w:tcW w:w="7578" w:type="dxa"/>
          </w:tcPr>
          <w:p w:rsidR="00915A6F" w:rsidRPr="00915A6F" w:rsidRDefault="00915A6F" w:rsidP="00DF0C0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Use in Patients with Convulsive or Seizure Disorders; </w:t>
            </w:r>
            <w:proofErr w:type="spellStart"/>
            <w:r w:rsidRPr="007A29C7">
              <w:rPr>
                <w:rFonts w:ascii="Arial" w:eastAsia="MyriadPro-BoldCond" w:hAnsi="Arial" w:cs="Arial"/>
                <w:bCs/>
                <w:sz w:val="20"/>
                <w:szCs w:val="20"/>
              </w:rPr>
              <w:t>Zohydro</w:t>
            </w:r>
            <w:proofErr w:type="spellEnd"/>
            <w:r w:rsidRPr="007A29C7">
              <w:rPr>
                <w:rFonts w:ascii="Arial" w:eastAsia="MyriadPro-BoldCond" w:hAnsi="Arial" w:cs="Arial"/>
                <w:bCs/>
                <w:sz w:val="20"/>
                <w:szCs w:val="20"/>
              </w:rPr>
              <w:t xml:space="preserve"> ER</w:t>
            </w:r>
            <w:r w:rsidR="00DF0C09" w:rsidRPr="007A29C7">
              <w:rPr>
                <w:rFonts w:ascii="Arial" w:eastAsia="MyriadPro-BoldCond" w:hAnsi="Arial" w:cs="Arial"/>
                <w:bCs/>
                <w:sz w:val="20"/>
                <w:szCs w:val="20"/>
                <w:vertAlign w:val="superscript"/>
              </w:rPr>
              <w:t>®</w:t>
            </w:r>
            <w:r w:rsidRPr="007A29C7">
              <w:rPr>
                <w:rFonts w:ascii="Arial" w:eastAsia="MyriadPro-BoldCond" w:hAnsi="Arial" w:cs="Arial"/>
                <w:bCs/>
                <w:sz w:val="20"/>
                <w:szCs w:val="20"/>
              </w:rPr>
              <w:t xml:space="preserve"> </w:t>
            </w:r>
            <w:r w:rsidRPr="00915A6F">
              <w:rPr>
                <w:rFonts w:ascii="Arial" w:hAnsi="Arial" w:cs="Arial"/>
                <w:sz w:val="20"/>
                <w:szCs w:val="20"/>
              </w:rPr>
              <w:t>(hydrocodone extended-release) may aggravate convulsions in patients with convulsive disorders, and may</w:t>
            </w:r>
            <w:r>
              <w:rPr>
                <w:rFonts w:ascii="Arial" w:hAnsi="Arial" w:cs="Arial"/>
                <w:sz w:val="20"/>
                <w:szCs w:val="20"/>
              </w:rPr>
              <w:t xml:space="preserve"> </w:t>
            </w:r>
            <w:r w:rsidRPr="00915A6F">
              <w:rPr>
                <w:rFonts w:ascii="Arial" w:hAnsi="Arial" w:cs="Arial"/>
                <w:sz w:val="20"/>
                <w:szCs w:val="20"/>
              </w:rPr>
              <w:t>induce or aggravate seizures in some clinical settings. Monitor patients with a history of seizure disorders for</w:t>
            </w:r>
            <w:r>
              <w:rPr>
                <w:rFonts w:ascii="Arial" w:hAnsi="Arial" w:cs="Arial"/>
                <w:sz w:val="20"/>
                <w:szCs w:val="20"/>
              </w:rPr>
              <w:t xml:space="preserve"> </w:t>
            </w:r>
            <w:r w:rsidRPr="00915A6F">
              <w:rPr>
                <w:rFonts w:ascii="Arial" w:hAnsi="Arial" w:cs="Arial"/>
                <w:sz w:val="20"/>
                <w:szCs w:val="20"/>
              </w:rPr>
              <w:t xml:space="preserve">worsened seizure control during </w:t>
            </w:r>
            <w:proofErr w:type="spellStart"/>
            <w:r w:rsidRPr="007A29C7">
              <w:rPr>
                <w:rFonts w:ascii="Arial" w:eastAsia="MyriadPro-BoldCond" w:hAnsi="Arial" w:cs="Arial"/>
                <w:bCs/>
                <w:sz w:val="20"/>
                <w:szCs w:val="20"/>
              </w:rPr>
              <w:t>Zohydro</w:t>
            </w:r>
            <w:proofErr w:type="spellEnd"/>
            <w:r w:rsidRPr="007A29C7">
              <w:rPr>
                <w:rFonts w:ascii="Arial" w:eastAsia="MyriadPro-BoldCond" w:hAnsi="Arial" w:cs="Arial"/>
                <w:bCs/>
                <w:sz w:val="20"/>
                <w:szCs w:val="20"/>
              </w:rPr>
              <w:t xml:space="preserve"> ER</w:t>
            </w:r>
            <w:r w:rsidR="00DF0C09" w:rsidRPr="007A29C7">
              <w:rPr>
                <w:rFonts w:ascii="Arial" w:eastAsia="MyriadPro-BoldCond" w:hAnsi="Arial" w:cs="Arial"/>
                <w:bCs/>
                <w:sz w:val="20"/>
                <w:szCs w:val="20"/>
                <w:vertAlign w:val="superscript"/>
              </w:rPr>
              <w:t>®</w:t>
            </w:r>
            <w:r w:rsidRPr="007A29C7">
              <w:rPr>
                <w:rFonts w:ascii="Arial" w:eastAsia="MyriadPro-BoldCond" w:hAnsi="Arial" w:cs="Arial"/>
                <w:bCs/>
                <w:sz w:val="20"/>
                <w:szCs w:val="20"/>
              </w:rPr>
              <w:t xml:space="preserve"> </w:t>
            </w:r>
            <w:r w:rsidRPr="00915A6F">
              <w:rPr>
                <w:rFonts w:ascii="Arial" w:hAnsi="Arial" w:cs="Arial"/>
                <w:sz w:val="20"/>
                <w:szCs w:val="20"/>
              </w:rPr>
              <w:t>(hydrocodone extended-release)</w:t>
            </w:r>
            <w:r>
              <w:rPr>
                <w:rFonts w:ascii="Arial" w:hAnsi="Arial" w:cs="Arial"/>
                <w:sz w:val="20"/>
                <w:szCs w:val="20"/>
              </w:rPr>
              <w:t xml:space="preserve"> </w:t>
            </w:r>
            <w:r w:rsidRPr="00915A6F">
              <w:rPr>
                <w:rFonts w:ascii="Arial" w:hAnsi="Arial" w:cs="Arial"/>
                <w:sz w:val="20"/>
                <w:szCs w:val="20"/>
              </w:rPr>
              <w:t>therapy.</w:t>
            </w:r>
          </w:p>
        </w:tc>
      </w:tr>
      <w:tr w:rsidR="00915A6F" w:rsidRPr="00083D63" w:rsidTr="00D42930">
        <w:tc>
          <w:tcPr>
            <w:tcW w:w="1890" w:type="dxa"/>
            <w:vMerge/>
            <w:shd w:val="clear" w:color="auto" w:fill="B18ED0" w:themeFill="background1" w:themeFillShade="BF"/>
          </w:tcPr>
          <w:p w:rsidR="00915A6F" w:rsidRPr="00083D63" w:rsidRDefault="00915A6F" w:rsidP="00D42930">
            <w:pPr>
              <w:pStyle w:val="NoSpacing"/>
              <w:rPr>
                <w:rFonts w:ascii="Arial" w:hAnsi="Arial" w:cs="Arial"/>
                <w:b/>
                <w:sz w:val="20"/>
                <w:szCs w:val="20"/>
                <w:highlight w:val="yellow"/>
              </w:rPr>
            </w:pPr>
          </w:p>
        </w:tc>
        <w:tc>
          <w:tcPr>
            <w:tcW w:w="7578" w:type="dxa"/>
          </w:tcPr>
          <w:p w:rsidR="00915A6F" w:rsidRPr="00915A6F" w:rsidRDefault="00915A6F" w:rsidP="00915A6F">
            <w:pPr>
              <w:autoSpaceDE w:val="0"/>
              <w:autoSpaceDN w:val="0"/>
              <w:adjustRightInd w:val="0"/>
              <w:spacing w:after="0" w:line="240" w:lineRule="auto"/>
              <w:rPr>
                <w:rFonts w:ascii="Arial" w:hAnsi="Arial" w:cs="Arial"/>
                <w:sz w:val="20"/>
                <w:szCs w:val="20"/>
              </w:rPr>
            </w:pPr>
            <w:r w:rsidRPr="00915A6F">
              <w:rPr>
                <w:rFonts w:ascii="Arial" w:hAnsi="Arial" w:cs="Arial"/>
                <w:sz w:val="20"/>
                <w:szCs w:val="20"/>
              </w:rPr>
              <w:t xml:space="preserve">Avoidance of Withdrawal; The use of mixed agonist/antagonist (i.e., </w:t>
            </w:r>
            <w:proofErr w:type="spellStart"/>
            <w:r w:rsidRPr="00915A6F">
              <w:rPr>
                <w:rFonts w:ascii="Arial" w:hAnsi="Arial" w:cs="Arial"/>
                <w:sz w:val="20"/>
                <w:szCs w:val="20"/>
              </w:rPr>
              <w:t>pentazocine</w:t>
            </w:r>
            <w:proofErr w:type="spellEnd"/>
            <w:r w:rsidRPr="00915A6F">
              <w:rPr>
                <w:rFonts w:ascii="Arial" w:hAnsi="Arial" w:cs="Arial"/>
                <w:sz w:val="20"/>
                <w:szCs w:val="20"/>
              </w:rPr>
              <w:t xml:space="preserve">, </w:t>
            </w:r>
            <w:proofErr w:type="spellStart"/>
            <w:r w:rsidRPr="00915A6F">
              <w:rPr>
                <w:rFonts w:ascii="Arial" w:hAnsi="Arial" w:cs="Arial"/>
                <w:sz w:val="20"/>
                <w:szCs w:val="20"/>
              </w:rPr>
              <w:t>nalbuphine</w:t>
            </w:r>
            <w:proofErr w:type="spellEnd"/>
            <w:r w:rsidRPr="00915A6F">
              <w:rPr>
                <w:rFonts w:ascii="Arial" w:hAnsi="Arial" w:cs="Arial"/>
                <w:sz w:val="20"/>
                <w:szCs w:val="20"/>
              </w:rPr>
              <w:t xml:space="preserve">, and </w:t>
            </w:r>
            <w:proofErr w:type="spellStart"/>
            <w:r w:rsidRPr="00915A6F">
              <w:rPr>
                <w:rFonts w:ascii="Arial" w:hAnsi="Arial" w:cs="Arial"/>
                <w:sz w:val="20"/>
                <w:szCs w:val="20"/>
              </w:rPr>
              <w:t>butorphanol</w:t>
            </w:r>
            <w:proofErr w:type="spellEnd"/>
            <w:r w:rsidRPr="00915A6F">
              <w:rPr>
                <w:rFonts w:ascii="Arial" w:hAnsi="Arial" w:cs="Arial"/>
                <w:sz w:val="20"/>
                <w:szCs w:val="20"/>
              </w:rPr>
              <w:t>) or partial agonist (buprenorphine) analgesics in patients who have received, or are receiving, a course of therapy with a full opioid</w:t>
            </w:r>
          </w:p>
          <w:p w:rsidR="00915A6F" w:rsidRPr="00915A6F" w:rsidRDefault="00915A6F" w:rsidP="00915A6F">
            <w:pPr>
              <w:autoSpaceDE w:val="0"/>
              <w:autoSpaceDN w:val="0"/>
              <w:adjustRightInd w:val="0"/>
              <w:spacing w:after="0" w:line="240" w:lineRule="auto"/>
              <w:rPr>
                <w:rFonts w:ascii="Arial" w:hAnsi="Arial" w:cs="Arial"/>
                <w:sz w:val="20"/>
                <w:szCs w:val="20"/>
              </w:rPr>
            </w:pPr>
            <w:r w:rsidRPr="00915A6F">
              <w:rPr>
                <w:rFonts w:ascii="Arial" w:hAnsi="Arial" w:cs="Arial"/>
                <w:sz w:val="20"/>
                <w:szCs w:val="20"/>
              </w:rPr>
              <w:t xml:space="preserve">agonist analgesic, including </w:t>
            </w:r>
            <w:proofErr w:type="spellStart"/>
            <w:r w:rsidRPr="00915A6F">
              <w:rPr>
                <w:rFonts w:ascii="Arial" w:eastAsia="MyriadPro-BoldCond" w:hAnsi="Arial" w:cs="Arial"/>
                <w:bCs/>
                <w:sz w:val="20"/>
                <w:szCs w:val="20"/>
              </w:rPr>
              <w:t>Zohydro</w:t>
            </w:r>
            <w:proofErr w:type="spellEnd"/>
            <w:r w:rsidRPr="00915A6F">
              <w:rPr>
                <w:rFonts w:ascii="Arial" w:eastAsia="MyriadPro-BoldCond" w:hAnsi="Arial" w:cs="Arial"/>
                <w:bCs/>
                <w:sz w:val="20"/>
                <w:szCs w:val="20"/>
              </w:rPr>
              <w:t xml:space="preserve"> ER</w:t>
            </w:r>
            <w:r w:rsidR="00DF0C09" w:rsidRPr="00915A6F">
              <w:rPr>
                <w:rFonts w:ascii="Arial" w:eastAsia="MyriadPro-BoldCond" w:hAnsi="Arial" w:cs="Arial"/>
                <w:bCs/>
                <w:sz w:val="20"/>
                <w:szCs w:val="20"/>
                <w:vertAlign w:val="superscript"/>
              </w:rPr>
              <w:t>®</w:t>
            </w:r>
            <w:r w:rsidRPr="00915A6F">
              <w:rPr>
                <w:rFonts w:ascii="Arial" w:eastAsia="MyriadPro-BoldCond" w:hAnsi="Arial" w:cs="Arial"/>
                <w:bCs/>
                <w:sz w:val="20"/>
                <w:szCs w:val="20"/>
              </w:rPr>
              <w:t xml:space="preserve"> (hydrocodone extended-release) </w:t>
            </w:r>
            <w:r w:rsidRPr="00915A6F">
              <w:rPr>
                <w:rFonts w:ascii="Arial" w:hAnsi="Arial" w:cs="Arial"/>
                <w:sz w:val="20"/>
                <w:szCs w:val="20"/>
              </w:rPr>
              <w:t>should be avoided . In these patients, mixed agonist/antagonist and partial agonist</w:t>
            </w:r>
          </w:p>
          <w:p w:rsidR="00915A6F" w:rsidRDefault="00915A6F" w:rsidP="00915A6F">
            <w:pPr>
              <w:autoSpaceDE w:val="0"/>
              <w:autoSpaceDN w:val="0"/>
              <w:adjustRightInd w:val="0"/>
              <w:spacing w:after="0" w:line="240" w:lineRule="auto"/>
              <w:rPr>
                <w:rFonts w:ascii="Arial" w:hAnsi="Arial" w:cs="Arial"/>
                <w:sz w:val="20"/>
                <w:szCs w:val="20"/>
              </w:rPr>
            </w:pPr>
            <w:r w:rsidRPr="00915A6F">
              <w:rPr>
                <w:rFonts w:ascii="Arial" w:hAnsi="Arial" w:cs="Arial"/>
                <w:sz w:val="20"/>
                <w:szCs w:val="20"/>
              </w:rPr>
              <w:t>analgesics may reduce the analgesic effect and/or may precipitate withdrawal symptoms</w:t>
            </w:r>
          </w:p>
        </w:tc>
      </w:tr>
      <w:tr w:rsidR="00EC4A10" w:rsidRPr="00083D63" w:rsidTr="00D42930">
        <w:tc>
          <w:tcPr>
            <w:tcW w:w="1890" w:type="dxa"/>
            <w:vMerge/>
            <w:shd w:val="clear" w:color="auto" w:fill="B18ED0" w:themeFill="background1" w:themeFillShade="BF"/>
          </w:tcPr>
          <w:p w:rsidR="00EC4A10" w:rsidRPr="00083D63" w:rsidRDefault="00EC4A10" w:rsidP="00D42930">
            <w:pPr>
              <w:pStyle w:val="NoSpacing"/>
              <w:rPr>
                <w:rFonts w:ascii="Arial" w:hAnsi="Arial" w:cs="Arial"/>
                <w:b/>
                <w:sz w:val="20"/>
                <w:szCs w:val="20"/>
                <w:highlight w:val="yellow"/>
              </w:rPr>
            </w:pPr>
          </w:p>
        </w:tc>
        <w:tc>
          <w:tcPr>
            <w:tcW w:w="7578" w:type="dxa"/>
          </w:tcPr>
          <w:p w:rsidR="00EC4A10" w:rsidRPr="00915A6F" w:rsidRDefault="00EC4A10" w:rsidP="00DF0C09">
            <w:pPr>
              <w:autoSpaceDE w:val="0"/>
              <w:autoSpaceDN w:val="0"/>
              <w:adjustRightInd w:val="0"/>
              <w:spacing w:after="0" w:line="240" w:lineRule="auto"/>
              <w:rPr>
                <w:rFonts w:ascii="Arial" w:hAnsi="Arial" w:cs="Arial"/>
                <w:sz w:val="20"/>
                <w:szCs w:val="20"/>
              </w:rPr>
            </w:pPr>
            <w:r w:rsidRPr="00EC4A10">
              <w:rPr>
                <w:rFonts w:ascii="Arial" w:hAnsi="Arial" w:cs="Arial"/>
                <w:sz w:val="20"/>
                <w:szCs w:val="20"/>
              </w:rPr>
              <w:t xml:space="preserve">Driving and Operating Machinery; </w:t>
            </w:r>
            <w:proofErr w:type="spellStart"/>
            <w:r w:rsidRPr="00EC4A10">
              <w:rPr>
                <w:rFonts w:ascii="Arial" w:eastAsia="MyriadPro-BoldCond" w:hAnsi="Arial" w:cs="Arial"/>
                <w:bCs/>
                <w:sz w:val="20"/>
                <w:szCs w:val="20"/>
              </w:rPr>
              <w:t>Zohydro</w:t>
            </w:r>
            <w:proofErr w:type="spellEnd"/>
            <w:r w:rsidRPr="00EC4A10">
              <w:rPr>
                <w:rFonts w:ascii="Arial" w:eastAsia="MyriadPro-BoldCond" w:hAnsi="Arial" w:cs="Arial"/>
                <w:bCs/>
                <w:sz w:val="20"/>
                <w:szCs w:val="20"/>
              </w:rPr>
              <w:t xml:space="preserve"> ER</w:t>
            </w:r>
            <w:r w:rsidR="00DF0C09" w:rsidRPr="00EC4A10">
              <w:rPr>
                <w:rFonts w:ascii="Arial" w:eastAsia="MyriadPro-BoldCond" w:hAnsi="Arial" w:cs="Arial"/>
                <w:bCs/>
                <w:sz w:val="20"/>
                <w:szCs w:val="20"/>
                <w:vertAlign w:val="superscript"/>
              </w:rPr>
              <w:t>®</w:t>
            </w:r>
            <w:r w:rsidRPr="00EC4A10">
              <w:rPr>
                <w:rFonts w:ascii="Arial" w:eastAsia="MyriadPro-BoldCond" w:hAnsi="Arial" w:cs="Arial"/>
                <w:bCs/>
                <w:sz w:val="20"/>
                <w:szCs w:val="20"/>
              </w:rPr>
              <w:t xml:space="preserve"> (hydrocodone extended-release) </w:t>
            </w:r>
            <w:r w:rsidRPr="00EC4A10">
              <w:rPr>
                <w:rFonts w:ascii="Arial" w:hAnsi="Arial" w:cs="Arial"/>
                <w:sz w:val="20"/>
                <w:szCs w:val="20"/>
              </w:rPr>
              <w:t xml:space="preserve">may impair the mental and physical abilities necessary to perform potentially hazardous activities such as driving a vehicle or operating machinery. Patients </w:t>
            </w:r>
            <w:r w:rsidRPr="00EC4A10">
              <w:rPr>
                <w:rFonts w:ascii="Arial" w:hAnsi="Arial" w:cs="Arial"/>
                <w:sz w:val="20"/>
                <w:szCs w:val="20"/>
              </w:rPr>
              <w:lastRenderedPageBreak/>
              <w:t xml:space="preserve">should be warned not to drive or operate dangerous machinery unless they are tolerant to the effects of </w:t>
            </w:r>
            <w:proofErr w:type="spellStart"/>
            <w:r w:rsidRPr="00EC4A10">
              <w:rPr>
                <w:rFonts w:ascii="Arial" w:eastAsia="MyriadPro-BoldCond" w:hAnsi="Arial" w:cs="Arial"/>
                <w:bCs/>
                <w:sz w:val="20"/>
                <w:szCs w:val="20"/>
              </w:rPr>
              <w:t>Zohydro</w:t>
            </w:r>
            <w:proofErr w:type="spellEnd"/>
            <w:r w:rsidRPr="00EC4A10">
              <w:rPr>
                <w:rFonts w:ascii="Arial" w:eastAsia="MyriadPro-BoldCond" w:hAnsi="Arial" w:cs="Arial"/>
                <w:bCs/>
                <w:sz w:val="20"/>
                <w:szCs w:val="20"/>
              </w:rPr>
              <w:t xml:space="preserve"> ER</w:t>
            </w:r>
            <w:r w:rsidR="00DF0C09" w:rsidRPr="00EC4A10">
              <w:rPr>
                <w:rFonts w:ascii="Arial" w:eastAsia="MyriadPro-BoldCond" w:hAnsi="Arial" w:cs="Arial"/>
                <w:bCs/>
                <w:sz w:val="20"/>
                <w:szCs w:val="20"/>
                <w:vertAlign w:val="superscript"/>
              </w:rPr>
              <w:t>®</w:t>
            </w:r>
            <w:r w:rsidR="00DF0C09" w:rsidRPr="00EC4A10">
              <w:rPr>
                <w:rFonts w:ascii="Arial" w:eastAsia="MyriadPro-BoldCond" w:hAnsi="Arial" w:cs="Arial"/>
                <w:bCs/>
                <w:sz w:val="20"/>
                <w:szCs w:val="20"/>
              </w:rPr>
              <w:t xml:space="preserve"> </w:t>
            </w:r>
            <w:r w:rsidRPr="00EC4A10">
              <w:rPr>
                <w:rFonts w:ascii="Arial" w:eastAsia="MyriadPro-BoldCond" w:hAnsi="Arial" w:cs="Arial"/>
                <w:bCs/>
                <w:sz w:val="20"/>
                <w:szCs w:val="20"/>
              </w:rPr>
              <w:t>(hydrocodone extended-release)</w:t>
            </w:r>
            <w:r w:rsidR="00631189" w:rsidRPr="00631189">
              <w:rPr>
                <w:rFonts w:ascii="Arial" w:hAnsi="Arial" w:cs="Arial"/>
                <w:sz w:val="20"/>
                <w:szCs w:val="20"/>
              </w:rPr>
              <w:t xml:space="preserve"> and </w:t>
            </w:r>
            <w:r w:rsidR="00DF0C09">
              <w:rPr>
                <w:rFonts w:ascii="Arial" w:hAnsi="Arial" w:cs="Arial"/>
                <w:sz w:val="20"/>
                <w:szCs w:val="20"/>
              </w:rPr>
              <w:t>know how they will react to the</w:t>
            </w:r>
            <w:r w:rsidR="00631189" w:rsidRPr="00631189">
              <w:rPr>
                <w:rFonts w:ascii="Arial" w:hAnsi="Arial" w:cs="Arial"/>
                <w:sz w:val="20"/>
                <w:szCs w:val="20"/>
              </w:rPr>
              <w:t xml:space="preserve"> medication.</w:t>
            </w:r>
          </w:p>
        </w:tc>
      </w:tr>
      <w:tr w:rsidR="00EC4A10" w:rsidRPr="00083D63" w:rsidTr="00D42930">
        <w:tc>
          <w:tcPr>
            <w:tcW w:w="1890" w:type="dxa"/>
            <w:vMerge/>
            <w:shd w:val="clear" w:color="auto" w:fill="B18ED0" w:themeFill="background1" w:themeFillShade="BF"/>
          </w:tcPr>
          <w:p w:rsidR="00EC4A10" w:rsidRPr="00083D63" w:rsidRDefault="00EC4A10" w:rsidP="00D42930">
            <w:pPr>
              <w:pStyle w:val="NoSpacing"/>
              <w:rPr>
                <w:rFonts w:ascii="Arial" w:hAnsi="Arial" w:cs="Arial"/>
                <w:b/>
                <w:sz w:val="20"/>
                <w:szCs w:val="20"/>
                <w:highlight w:val="yellow"/>
              </w:rPr>
            </w:pPr>
          </w:p>
        </w:tc>
        <w:tc>
          <w:tcPr>
            <w:tcW w:w="7578" w:type="dxa"/>
          </w:tcPr>
          <w:p w:rsidR="00EC4A10" w:rsidRPr="00EC4A10" w:rsidRDefault="00631189" w:rsidP="00102641">
            <w:pPr>
              <w:autoSpaceDE w:val="0"/>
              <w:autoSpaceDN w:val="0"/>
              <w:adjustRightInd w:val="0"/>
              <w:spacing w:after="0" w:line="240" w:lineRule="auto"/>
              <w:rPr>
                <w:rFonts w:ascii="Arial" w:hAnsi="Arial" w:cs="Arial"/>
                <w:sz w:val="20"/>
                <w:szCs w:val="20"/>
              </w:rPr>
            </w:pPr>
            <w:r w:rsidRPr="00631189">
              <w:rPr>
                <w:rFonts w:ascii="Arial" w:hAnsi="Arial" w:cs="Arial"/>
                <w:sz w:val="20"/>
                <w:szCs w:val="20"/>
              </w:rPr>
              <w:t xml:space="preserve">Cytochrome P450 3A4 Inhibitors and Inducers; Since the CYP3A4 isoenzyme plays a major role in metabolism </w:t>
            </w:r>
            <w:r w:rsidRPr="00630EAB">
              <w:rPr>
                <w:rFonts w:ascii="Arial" w:hAnsi="Arial" w:cs="Arial"/>
                <w:sz w:val="20"/>
                <w:szCs w:val="20"/>
              </w:rPr>
              <w:t xml:space="preserve">of </w:t>
            </w:r>
            <w:proofErr w:type="spellStart"/>
            <w:r w:rsidRPr="00630EAB">
              <w:rPr>
                <w:rFonts w:ascii="Arial" w:eastAsia="MyriadPro-BoldCond" w:hAnsi="Arial" w:cs="Arial"/>
                <w:bCs/>
                <w:sz w:val="20"/>
                <w:szCs w:val="20"/>
              </w:rPr>
              <w:t>Zohydro</w:t>
            </w:r>
            <w:proofErr w:type="spellEnd"/>
            <w:r w:rsidRPr="00630EAB">
              <w:rPr>
                <w:rFonts w:ascii="Arial" w:eastAsia="MyriadPro-BoldCond" w:hAnsi="Arial" w:cs="Arial"/>
                <w:bCs/>
                <w:sz w:val="20"/>
                <w:szCs w:val="20"/>
              </w:rPr>
              <w:t xml:space="preserve"> ER</w:t>
            </w:r>
            <w:r w:rsidR="00102641" w:rsidRPr="00630EAB">
              <w:rPr>
                <w:rFonts w:ascii="Arial" w:eastAsia="MyriadPro-BoldCond" w:hAnsi="Arial" w:cs="Arial"/>
                <w:bCs/>
                <w:sz w:val="20"/>
                <w:szCs w:val="20"/>
                <w:vertAlign w:val="superscript"/>
              </w:rPr>
              <w:t>®</w:t>
            </w:r>
            <w:r w:rsidRPr="00630EAB">
              <w:rPr>
                <w:rFonts w:ascii="Arial" w:eastAsia="MyriadPro-BoldCond" w:hAnsi="Arial" w:cs="Arial"/>
                <w:bCs/>
                <w:sz w:val="20"/>
                <w:szCs w:val="20"/>
              </w:rPr>
              <w:t xml:space="preserve"> </w:t>
            </w:r>
            <w:r w:rsidRPr="00630EAB">
              <w:rPr>
                <w:rFonts w:ascii="Arial" w:hAnsi="Arial" w:cs="Arial"/>
                <w:sz w:val="20"/>
                <w:szCs w:val="20"/>
              </w:rPr>
              <w:t xml:space="preserve">(hydrocodone extended-release), drugs that alter CYP3A4 activity may cause changes in clearance of hydrocodone which could lead to changes in hydrocodone plasma concentrations. Concomitant use CYP3A4 inhibitors have shown an increase in plasma hydrocodone concentrations which can increase or prolong opioid effects, and this may be more pronounced if multiple CYP3A4 inhibitors are used concomitantly. The expected clinical result with CYP3A4 inducers is decreased plasma hydrocodone concentrations, lack of efficacy or possible development of an abstinence syndrome if patients are physically dependent upon hydrocodone. If concomitant administration is necessary, caution is advised when initiating treatment with </w:t>
            </w:r>
            <w:proofErr w:type="spellStart"/>
            <w:r w:rsidRPr="00630EAB">
              <w:rPr>
                <w:rFonts w:ascii="Arial" w:eastAsia="MyriadPro-BoldCond" w:hAnsi="Arial" w:cs="Arial"/>
                <w:bCs/>
                <w:sz w:val="20"/>
                <w:szCs w:val="20"/>
              </w:rPr>
              <w:t>Zohydro</w:t>
            </w:r>
            <w:proofErr w:type="spellEnd"/>
            <w:r w:rsidRPr="00630EAB">
              <w:rPr>
                <w:rFonts w:ascii="Arial" w:eastAsia="MyriadPro-BoldCond" w:hAnsi="Arial" w:cs="Arial"/>
                <w:bCs/>
                <w:sz w:val="20"/>
                <w:szCs w:val="20"/>
              </w:rPr>
              <w:t xml:space="preserve"> ER</w:t>
            </w:r>
            <w:r w:rsidR="00102641" w:rsidRPr="00630EAB">
              <w:rPr>
                <w:rFonts w:ascii="Arial" w:eastAsia="MyriadPro-BoldCond" w:hAnsi="Arial" w:cs="Arial"/>
                <w:bCs/>
                <w:sz w:val="20"/>
                <w:szCs w:val="20"/>
                <w:vertAlign w:val="superscript"/>
              </w:rPr>
              <w:t>®</w:t>
            </w:r>
            <w:r w:rsidRPr="00630EAB">
              <w:rPr>
                <w:rFonts w:ascii="Arial" w:eastAsia="MyriadPro-BoldCond" w:hAnsi="Arial" w:cs="Arial"/>
                <w:bCs/>
                <w:sz w:val="20"/>
                <w:szCs w:val="20"/>
              </w:rPr>
              <w:t xml:space="preserve"> </w:t>
            </w:r>
            <w:r w:rsidRPr="00630EAB">
              <w:rPr>
                <w:rFonts w:ascii="Arial" w:hAnsi="Arial" w:cs="Arial"/>
                <w:sz w:val="20"/>
                <w:szCs w:val="20"/>
              </w:rPr>
              <w:t>(hydrocodone extended-release) in patients taking or discontinuing CYP3A4 inhibitors or inducers. Patients should be evaluated frequently, and dose adjustments should be considered until drug effects are stable.</w:t>
            </w:r>
          </w:p>
        </w:tc>
      </w:tr>
    </w:tbl>
    <w:p w:rsidR="005D585F" w:rsidRPr="00083D63" w:rsidRDefault="005D585F" w:rsidP="004920E8">
      <w:pPr>
        <w:pStyle w:val="NoSpacing"/>
        <w:ind w:left="-550" w:firstLine="550"/>
        <w:rPr>
          <w:rFonts w:ascii="Arial" w:hAnsi="Arial" w:cs="Arial"/>
          <w:b/>
          <w:sz w:val="20"/>
          <w:szCs w:val="20"/>
          <w:highlight w:val="yellow"/>
        </w:rPr>
      </w:pPr>
    </w:p>
    <w:p w:rsidR="00AE5B18" w:rsidRPr="008B1B86" w:rsidRDefault="00AE5B18" w:rsidP="00AE5B18">
      <w:pPr>
        <w:pStyle w:val="NoSpacing"/>
        <w:rPr>
          <w:rFonts w:ascii="Arial" w:hAnsi="Arial" w:cs="Arial"/>
          <w:b/>
          <w:sz w:val="20"/>
          <w:szCs w:val="20"/>
          <w:u w:val="single"/>
        </w:rPr>
      </w:pPr>
      <w:r w:rsidRPr="008B1B86">
        <w:rPr>
          <w:rFonts w:ascii="Arial" w:hAnsi="Arial" w:cs="Arial"/>
          <w:b/>
          <w:sz w:val="20"/>
          <w:szCs w:val="20"/>
          <w:u w:val="single"/>
        </w:rPr>
        <w:t>Contraindications</w:t>
      </w:r>
    </w:p>
    <w:p w:rsidR="00AE5B18" w:rsidRPr="008B1B86" w:rsidRDefault="00AE5B18" w:rsidP="00AE5B18">
      <w:pPr>
        <w:pStyle w:val="NoSpacing"/>
        <w:rPr>
          <w:rFonts w:ascii="Arial" w:hAnsi="Arial" w:cs="Arial"/>
          <w:color w:val="FF0000"/>
          <w:sz w:val="20"/>
          <w:szCs w:val="20"/>
        </w:rPr>
      </w:pPr>
    </w:p>
    <w:p w:rsidR="00AE5B18" w:rsidRPr="008B1B86" w:rsidRDefault="00AE5B18" w:rsidP="00AE5B18">
      <w:pPr>
        <w:pStyle w:val="NoSpacing"/>
        <w:rPr>
          <w:rFonts w:ascii="Arial" w:hAnsi="Arial" w:cs="Arial"/>
          <w:sz w:val="20"/>
          <w:szCs w:val="20"/>
        </w:rPr>
      </w:pPr>
      <w:r w:rsidRPr="008B1B86">
        <w:rPr>
          <w:rFonts w:ascii="Arial" w:hAnsi="Arial" w:cs="Arial"/>
          <w:b/>
          <w:sz w:val="20"/>
          <w:szCs w:val="20"/>
        </w:rPr>
        <w:t>Table 9. Contraindications</w:t>
      </w:r>
      <w:r w:rsidRPr="008B1B86">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AE5B18" w:rsidRPr="008B1B86" w:rsidTr="00526C44">
        <w:trPr>
          <w:trHeight w:val="231"/>
        </w:trPr>
        <w:tc>
          <w:tcPr>
            <w:tcW w:w="1890" w:type="dxa"/>
            <w:vMerge w:val="restart"/>
            <w:shd w:val="clear" w:color="auto" w:fill="B18ED0" w:themeFill="background1" w:themeFillShade="BF"/>
          </w:tcPr>
          <w:p w:rsidR="00AE5B18" w:rsidRPr="008B1B86" w:rsidRDefault="00AE5B18" w:rsidP="00526C44">
            <w:pPr>
              <w:pStyle w:val="NoSpacing"/>
              <w:rPr>
                <w:rFonts w:ascii="Arial" w:hAnsi="Arial" w:cs="Arial"/>
                <w:color w:val="FF0000"/>
                <w:sz w:val="20"/>
                <w:szCs w:val="20"/>
              </w:rPr>
            </w:pPr>
            <w:r w:rsidRPr="008B1B86">
              <w:rPr>
                <w:rFonts w:ascii="Arial" w:hAnsi="Arial" w:cs="Arial"/>
                <w:b/>
                <w:sz w:val="20"/>
                <w:szCs w:val="20"/>
              </w:rPr>
              <w:t>Contraindication</w:t>
            </w:r>
          </w:p>
        </w:tc>
        <w:tc>
          <w:tcPr>
            <w:tcW w:w="7578" w:type="dxa"/>
          </w:tcPr>
          <w:p w:rsidR="00AE5B18" w:rsidRPr="008B1B86" w:rsidRDefault="00587876" w:rsidP="00102641">
            <w:pPr>
              <w:pStyle w:val="NoSpacing"/>
              <w:rPr>
                <w:rFonts w:ascii="Arial" w:hAnsi="Arial" w:cs="Arial"/>
                <w:sz w:val="20"/>
                <w:szCs w:val="20"/>
                <w:vertAlign w:val="superscript"/>
              </w:rPr>
            </w:pPr>
            <w:proofErr w:type="spellStart"/>
            <w:r w:rsidRPr="008B1B86">
              <w:rPr>
                <w:rFonts w:ascii="Arial" w:eastAsia="MyriadPro-BoldCond" w:hAnsi="Arial" w:cs="Arial"/>
                <w:bCs/>
                <w:sz w:val="20"/>
                <w:szCs w:val="20"/>
              </w:rPr>
              <w:t>Zohydro</w:t>
            </w:r>
            <w:proofErr w:type="spellEnd"/>
            <w:r w:rsidRPr="008B1B86">
              <w:rPr>
                <w:rFonts w:ascii="Arial" w:eastAsia="MyriadPro-BoldCond" w:hAnsi="Arial" w:cs="Arial"/>
                <w:bCs/>
                <w:sz w:val="20"/>
                <w:szCs w:val="20"/>
              </w:rPr>
              <w:t xml:space="preserve"> ER</w:t>
            </w:r>
            <w:r w:rsidR="00102641" w:rsidRPr="008B1B86">
              <w:rPr>
                <w:rFonts w:ascii="Arial" w:eastAsia="MyriadPro-BoldCond" w:hAnsi="Arial" w:cs="Arial"/>
                <w:bCs/>
                <w:sz w:val="20"/>
                <w:szCs w:val="20"/>
                <w:vertAlign w:val="superscript"/>
              </w:rPr>
              <w:t>®</w:t>
            </w:r>
            <w:r w:rsidRPr="008B1B86">
              <w:rPr>
                <w:rFonts w:ascii="Arial" w:eastAsia="MyriadPro-BoldCond" w:hAnsi="Arial" w:cs="Arial"/>
                <w:bCs/>
                <w:sz w:val="20"/>
                <w:szCs w:val="20"/>
              </w:rPr>
              <w:t xml:space="preserve"> </w:t>
            </w:r>
            <w:r w:rsidRPr="008B1B86">
              <w:rPr>
                <w:rFonts w:ascii="Arial" w:hAnsi="Arial" w:cs="Arial"/>
                <w:sz w:val="20"/>
                <w:szCs w:val="20"/>
              </w:rPr>
              <w:t xml:space="preserve">(hydrocodone extended-release) </w:t>
            </w:r>
            <w:r w:rsidR="00AE5B18" w:rsidRPr="008B1B86">
              <w:rPr>
                <w:rFonts w:ascii="Arial" w:hAnsi="Arial" w:cs="Arial"/>
                <w:sz w:val="20"/>
                <w:szCs w:val="20"/>
              </w:rPr>
              <w:t>is contraindicated in patients with severe respiratory depression.</w:t>
            </w:r>
          </w:p>
        </w:tc>
      </w:tr>
      <w:tr w:rsidR="00AE5B18" w:rsidRPr="008B1B86" w:rsidTr="00526C44">
        <w:trPr>
          <w:trHeight w:val="228"/>
        </w:trPr>
        <w:tc>
          <w:tcPr>
            <w:tcW w:w="1890" w:type="dxa"/>
            <w:vMerge/>
            <w:shd w:val="clear" w:color="auto" w:fill="B18ED0" w:themeFill="background1" w:themeFillShade="BF"/>
          </w:tcPr>
          <w:p w:rsidR="00AE5B18" w:rsidRPr="008B1B86" w:rsidRDefault="00AE5B18" w:rsidP="00526C44">
            <w:pPr>
              <w:pStyle w:val="NoSpacing"/>
              <w:rPr>
                <w:rFonts w:ascii="Arial" w:hAnsi="Arial" w:cs="Arial"/>
                <w:b/>
                <w:sz w:val="20"/>
                <w:szCs w:val="20"/>
              </w:rPr>
            </w:pPr>
          </w:p>
        </w:tc>
        <w:tc>
          <w:tcPr>
            <w:tcW w:w="7578" w:type="dxa"/>
          </w:tcPr>
          <w:p w:rsidR="00AE5B18" w:rsidRPr="008B1B86" w:rsidRDefault="00587876" w:rsidP="00102641">
            <w:pPr>
              <w:pStyle w:val="NoSpacing"/>
              <w:rPr>
                <w:rFonts w:ascii="Arial" w:hAnsi="Arial" w:cs="Arial"/>
                <w:sz w:val="20"/>
                <w:szCs w:val="20"/>
              </w:rPr>
            </w:pPr>
            <w:proofErr w:type="spellStart"/>
            <w:r w:rsidRPr="008B1B86">
              <w:rPr>
                <w:rFonts w:ascii="Arial" w:eastAsia="MyriadPro-BoldCond" w:hAnsi="Arial" w:cs="Arial"/>
                <w:bCs/>
                <w:sz w:val="20"/>
                <w:szCs w:val="20"/>
              </w:rPr>
              <w:t>Zohydro</w:t>
            </w:r>
            <w:proofErr w:type="spellEnd"/>
            <w:r w:rsidRPr="008B1B86">
              <w:rPr>
                <w:rFonts w:ascii="Arial" w:eastAsia="MyriadPro-BoldCond" w:hAnsi="Arial" w:cs="Arial"/>
                <w:bCs/>
                <w:sz w:val="20"/>
                <w:szCs w:val="20"/>
              </w:rPr>
              <w:t xml:space="preserve"> ER</w:t>
            </w:r>
            <w:r w:rsidR="00102641" w:rsidRPr="008B1B86">
              <w:rPr>
                <w:rFonts w:ascii="Arial" w:eastAsia="MyriadPro-BoldCond" w:hAnsi="Arial" w:cs="Arial"/>
                <w:bCs/>
                <w:sz w:val="20"/>
                <w:szCs w:val="20"/>
                <w:vertAlign w:val="superscript"/>
              </w:rPr>
              <w:t>®</w:t>
            </w:r>
            <w:r w:rsidRPr="008B1B86">
              <w:rPr>
                <w:rFonts w:ascii="Arial" w:eastAsia="MyriadPro-BoldCond" w:hAnsi="Arial" w:cs="Arial"/>
                <w:bCs/>
                <w:sz w:val="20"/>
                <w:szCs w:val="20"/>
              </w:rPr>
              <w:t xml:space="preserve"> </w:t>
            </w:r>
            <w:r w:rsidRPr="008B1B86">
              <w:rPr>
                <w:rFonts w:ascii="Arial" w:hAnsi="Arial" w:cs="Arial"/>
                <w:sz w:val="20"/>
                <w:szCs w:val="20"/>
              </w:rPr>
              <w:t xml:space="preserve">(hydrocodone extended-release) </w:t>
            </w:r>
            <w:r w:rsidR="00AE5B18" w:rsidRPr="008B1B86">
              <w:rPr>
                <w:rFonts w:ascii="Arial" w:hAnsi="Arial" w:cs="Arial"/>
                <w:sz w:val="20"/>
                <w:szCs w:val="20"/>
              </w:rPr>
              <w:t>is contraindicated in patients with acute or severe bronchial asthma in an unmonitored setting or in the absence of resuscitative equipment.</w:t>
            </w:r>
          </w:p>
        </w:tc>
      </w:tr>
      <w:tr w:rsidR="00AE5B18" w:rsidRPr="008B1B86" w:rsidTr="00526C44">
        <w:trPr>
          <w:trHeight w:val="228"/>
        </w:trPr>
        <w:tc>
          <w:tcPr>
            <w:tcW w:w="1890" w:type="dxa"/>
            <w:vMerge/>
            <w:shd w:val="clear" w:color="auto" w:fill="B18ED0" w:themeFill="background1" w:themeFillShade="BF"/>
          </w:tcPr>
          <w:p w:rsidR="00AE5B18" w:rsidRPr="008B1B86" w:rsidRDefault="00AE5B18" w:rsidP="00526C44">
            <w:pPr>
              <w:pStyle w:val="NoSpacing"/>
              <w:rPr>
                <w:rFonts w:ascii="Arial" w:hAnsi="Arial" w:cs="Arial"/>
                <w:b/>
                <w:sz w:val="20"/>
                <w:szCs w:val="20"/>
              </w:rPr>
            </w:pPr>
          </w:p>
        </w:tc>
        <w:tc>
          <w:tcPr>
            <w:tcW w:w="7578" w:type="dxa"/>
          </w:tcPr>
          <w:p w:rsidR="00AE5B18" w:rsidRPr="008B1B86" w:rsidRDefault="00587876" w:rsidP="00102641">
            <w:pPr>
              <w:pStyle w:val="NoSpacing"/>
              <w:rPr>
                <w:rFonts w:ascii="Arial" w:hAnsi="Arial" w:cs="Arial"/>
                <w:sz w:val="20"/>
                <w:szCs w:val="20"/>
              </w:rPr>
            </w:pPr>
            <w:proofErr w:type="spellStart"/>
            <w:r w:rsidRPr="008B1B86">
              <w:rPr>
                <w:rFonts w:ascii="Arial" w:eastAsia="MyriadPro-BoldCond" w:hAnsi="Arial" w:cs="Arial"/>
                <w:bCs/>
                <w:sz w:val="20"/>
                <w:szCs w:val="20"/>
              </w:rPr>
              <w:t>Zohydro</w:t>
            </w:r>
            <w:proofErr w:type="spellEnd"/>
            <w:r w:rsidRPr="008B1B86">
              <w:rPr>
                <w:rFonts w:ascii="Arial" w:eastAsia="MyriadPro-BoldCond" w:hAnsi="Arial" w:cs="Arial"/>
                <w:bCs/>
                <w:sz w:val="20"/>
                <w:szCs w:val="20"/>
              </w:rPr>
              <w:t xml:space="preserve"> ER</w:t>
            </w:r>
            <w:r w:rsidR="00102641" w:rsidRPr="008B1B86">
              <w:rPr>
                <w:rFonts w:ascii="Arial" w:eastAsia="MyriadPro-BoldCond" w:hAnsi="Arial" w:cs="Arial"/>
                <w:bCs/>
                <w:sz w:val="20"/>
                <w:szCs w:val="20"/>
                <w:vertAlign w:val="superscript"/>
              </w:rPr>
              <w:t>®</w:t>
            </w:r>
            <w:r w:rsidRPr="008B1B86">
              <w:rPr>
                <w:rFonts w:ascii="Arial" w:eastAsia="MyriadPro-BoldCond" w:hAnsi="Arial" w:cs="Arial"/>
                <w:bCs/>
                <w:sz w:val="20"/>
                <w:szCs w:val="20"/>
              </w:rPr>
              <w:t xml:space="preserve"> </w:t>
            </w:r>
            <w:r w:rsidRPr="008B1B86">
              <w:rPr>
                <w:rFonts w:ascii="Arial" w:hAnsi="Arial" w:cs="Arial"/>
                <w:sz w:val="20"/>
                <w:szCs w:val="20"/>
              </w:rPr>
              <w:t xml:space="preserve">(hydrocodone extended-release) </w:t>
            </w:r>
            <w:r w:rsidR="00AE5B18" w:rsidRPr="008B1B86">
              <w:rPr>
                <w:rFonts w:ascii="Arial" w:hAnsi="Arial" w:cs="Arial"/>
                <w:sz w:val="20"/>
                <w:szCs w:val="20"/>
              </w:rPr>
              <w:t>is contraindicated in patients with known or suspected paralytic ileus and gastrointestinal obstruction.</w:t>
            </w:r>
          </w:p>
        </w:tc>
      </w:tr>
      <w:tr w:rsidR="00AE5B18" w:rsidRPr="008B1B86" w:rsidTr="00526C44">
        <w:trPr>
          <w:trHeight w:val="228"/>
        </w:trPr>
        <w:tc>
          <w:tcPr>
            <w:tcW w:w="1890" w:type="dxa"/>
            <w:vMerge/>
            <w:tcBorders>
              <w:bottom w:val="single" w:sz="4" w:space="0" w:color="auto"/>
            </w:tcBorders>
            <w:shd w:val="clear" w:color="auto" w:fill="B18ED0" w:themeFill="background1" w:themeFillShade="BF"/>
          </w:tcPr>
          <w:p w:rsidR="00AE5B18" w:rsidRPr="008B1B86" w:rsidRDefault="00AE5B18" w:rsidP="00526C44">
            <w:pPr>
              <w:pStyle w:val="NoSpacing"/>
              <w:rPr>
                <w:rFonts w:ascii="Arial" w:hAnsi="Arial" w:cs="Arial"/>
                <w:b/>
                <w:sz w:val="20"/>
                <w:szCs w:val="20"/>
              </w:rPr>
            </w:pPr>
          </w:p>
        </w:tc>
        <w:tc>
          <w:tcPr>
            <w:tcW w:w="7578" w:type="dxa"/>
          </w:tcPr>
          <w:p w:rsidR="00AE5B18" w:rsidRPr="008B1B86" w:rsidRDefault="00587876" w:rsidP="00102641">
            <w:pPr>
              <w:pStyle w:val="NoSpacing"/>
              <w:rPr>
                <w:rFonts w:ascii="Arial" w:hAnsi="Arial" w:cs="Arial"/>
                <w:sz w:val="20"/>
                <w:szCs w:val="20"/>
              </w:rPr>
            </w:pPr>
            <w:proofErr w:type="spellStart"/>
            <w:r w:rsidRPr="008B1B86">
              <w:rPr>
                <w:rFonts w:ascii="Arial" w:eastAsia="MyriadPro-BoldCond" w:hAnsi="Arial" w:cs="Arial"/>
                <w:bCs/>
                <w:sz w:val="20"/>
                <w:szCs w:val="20"/>
              </w:rPr>
              <w:t>Zohydro</w:t>
            </w:r>
            <w:proofErr w:type="spellEnd"/>
            <w:r w:rsidRPr="008B1B86">
              <w:rPr>
                <w:rFonts w:ascii="Arial" w:eastAsia="MyriadPro-BoldCond" w:hAnsi="Arial" w:cs="Arial"/>
                <w:bCs/>
                <w:sz w:val="20"/>
                <w:szCs w:val="20"/>
              </w:rPr>
              <w:t xml:space="preserve"> ER</w:t>
            </w:r>
            <w:r w:rsidR="00102641" w:rsidRPr="008B1B86">
              <w:rPr>
                <w:rFonts w:ascii="Arial" w:eastAsia="MyriadPro-BoldCond" w:hAnsi="Arial" w:cs="Arial"/>
                <w:bCs/>
                <w:sz w:val="20"/>
                <w:szCs w:val="20"/>
                <w:vertAlign w:val="superscript"/>
              </w:rPr>
              <w:t>®</w:t>
            </w:r>
            <w:r w:rsidRPr="008B1B86">
              <w:rPr>
                <w:rFonts w:ascii="Arial" w:eastAsia="MyriadPro-BoldCond" w:hAnsi="Arial" w:cs="Arial"/>
                <w:bCs/>
                <w:sz w:val="20"/>
                <w:szCs w:val="20"/>
              </w:rPr>
              <w:t xml:space="preserve"> </w:t>
            </w:r>
            <w:r w:rsidRPr="008B1B86">
              <w:rPr>
                <w:rFonts w:ascii="Arial" w:hAnsi="Arial" w:cs="Arial"/>
                <w:sz w:val="20"/>
                <w:szCs w:val="20"/>
              </w:rPr>
              <w:t xml:space="preserve">(hydrocodone extended-release) </w:t>
            </w:r>
            <w:r w:rsidR="00AE5B18" w:rsidRPr="008B1B86">
              <w:rPr>
                <w:rFonts w:ascii="Arial" w:hAnsi="Arial" w:cs="Arial"/>
                <w:sz w:val="20"/>
                <w:szCs w:val="20"/>
              </w:rPr>
              <w:t xml:space="preserve">is contraindicated in patients with hypersensitivity to any component of </w:t>
            </w:r>
            <w:proofErr w:type="spellStart"/>
            <w:r w:rsidR="008B1B86" w:rsidRPr="008B1B86">
              <w:rPr>
                <w:rFonts w:ascii="Arial" w:eastAsia="MyriadPro-BoldCond" w:hAnsi="Arial" w:cs="Arial"/>
                <w:bCs/>
                <w:sz w:val="20"/>
                <w:szCs w:val="20"/>
              </w:rPr>
              <w:t>Zohydro</w:t>
            </w:r>
            <w:proofErr w:type="spellEnd"/>
            <w:r w:rsidR="008B1B86" w:rsidRPr="008B1B86">
              <w:rPr>
                <w:rFonts w:ascii="Arial" w:eastAsia="MyriadPro-BoldCond" w:hAnsi="Arial" w:cs="Arial"/>
                <w:bCs/>
                <w:sz w:val="20"/>
                <w:szCs w:val="20"/>
              </w:rPr>
              <w:t xml:space="preserve"> ER</w:t>
            </w:r>
            <w:r w:rsidR="00102641" w:rsidRPr="008B1B86">
              <w:rPr>
                <w:rFonts w:ascii="Arial" w:eastAsia="MyriadPro-BoldCond" w:hAnsi="Arial" w:cs="Arial"/>
                <w:bCs/>
                <w:sz w:val="20"/>
                <w:szCs w:val="20"/>
                <w:vertAlign w:val="superscript"/>
              </w:rPr>
              <w:t>®</w:t>
            </w:r>
            <w:r w:rsidR="00394132">
              <w:rPr>
                <w:rFonts w:ascii="Arial" w:eastAsia="MyriadPro-BoldCond" w:hAnsi="Arial" w:cs="Arial"/>
                <w:bCs/>
                <w:sz w:val="20"/>
                <w:szCs w:val="20"/>
                <w:vertAlign w:val="superscript"/>
              </w:rPr>
              <w:t xml:space="preserve"> </w:t>
            </w:r>
            <w:r w:rsidR="00394132" w:rsidRPr="008B1B86">
              <w:rPr>
                <w:rFonts w:ascii="Arial" w:hAnsi="Arial" w:cs="Arial"/>
                <w:sz w:val="20"/>
                <w:szCs w:val="20"/>
              </w:rPr>
              <w:t>(hydrocodone extended-release)</w:t>
            </w:r>
            <w:r w:rsidR="008B1B86" w:rsidRPr="008B1B86">
              <w:rPr>
                <w:rFonts w:ascii="Arial" w:eastAsia="MyriadPro-BoldCond" w:hAnsi="Arial" w:cs="Arial"/>
                <w:bCs/>
                <w:sz w:val="20"/>
                <w:szCs w:val="20"/>
              </w:rPr>
              <w:t>.</w:t>
            </w:r>
          </w:p>
        </w:tc>
      </w:tr>
    </w:tbl>
    <w:p w:rsidR="00AE5B18" w:rsidRPr="00083D63" w:rsidRDefault="00AE5B18" w:rsidP="004920E8">
      <w:pPr>
        <w:pStyle w:val="NoSpacing"/>
        <w:rPr>
          <w:rFonts w:ascii="Arial" w:hAnsi="Arial" w:cs="Arial"/>
          <w:color w:val="0000FF"/>
          <w:sz w:val="20"/>
          <w:szCs w:val="20"/>
          <w:highlight w:val="yellow"/>
        </w:rPr>
      </w:pPr>
    </w:p>
    <w:p w:rsidR="007F4DF8" w:rsidRPr="00D26A83" w:rsidRDefault="00AE5B18" w:rsidP="004920E8">
      <w:pPr>
        <w:pStyle w:val="NoSpacing"/>
        <w:rPr>
          <w:rFonts w:ascii="Arial" w:hAnsi="Arial" w:cs="Arial"/>
          <w:b/>
          <w:sz w:val="20"/>
          <w:szCs w:val="20"/>
          <w:u w:val="single"/>
        </w:rPr>
      </w:pPr>
      <w:bookmarkStart w:id="4" w:name="AdverseDrugEvents"/>
      <w:r w:rsidRPr="00D26A83">
        <w:rPr>
          <w:rFonts w:ascii="Arial" w:hAnsi="Arial" w:cs="Arial"/>
          <w:b/>
          <w:sz w:val="20"/>
          <w:szCs w:val="20"/>
          <w:u w:val="single"/>
        </w:rPr>
        <w:t xml:space="preserve">Adverse </w:t>
      </w:r>
      <w:r w:rsidR="00DD0F1A" w:rsidRPr="00D26A83">
        <w:rPr>
          <w:rFonts w:ascii="Arial" w:hAnsi="Arial" w:cs="Arial"/>
          <w:b/>
          <w:sz w:val="20"/>
          <w:szCs w:val="20"/>
          <w:u w:val="single"/>
        </w:rPr>
        <w:t>E</w:t>
      </w:r>
      <w:bookmarkEnd w:id="4"/>
      <w:r w:rsidRPr="00D26A83">
        <w:rPr>
          <w:rFonts w:ascii="Arial" w:hAnsi="Arial" w:cs="Arial"/>
          <w:b/>
          <w:sz w:val="20"/>
          <w:szCs w:val="20"/>
          <w:u w:val="single"/>
        </w:rPr>
        <w:t>ffects</w:t>
      </w:r>
    </w:p>
    <w:p w:rsidR="003B5B3E" w:rsidRPr="00D26A83" w:rsidRDefault="00AE5B18" w:rsidP="003B5B3E">
      <w:pPr>
        <w:pStyle w:val="NoSpacing"/>
        <w:rPr>
          <w:rFonts w:ascii="Arial" w:hAnsi="Arial" w:cs="Arial"/>
          <w:sz w:val="20"/>
          <w:szCs w:val="20"/>
        </w:rPr>
      </w:pPr>
      <w:r w:rsidRPr="00D26A83">
        <w:rPr>
          <w:rFonts w:ascii="Arial" w:hAnsi="Arial" w:cs="Arial"/>
          <w:sz w:val="20"/>
          <w:szCs w:val="20"/>
        </w:rPr>
        <w:t>Table 10</w:t>
      </w:r>
      <w:r w:rsidR="005B32F5" w:rsidRPr="00D26A83">
        <w:rPr>
          <w:rFonts w:ascii="Arial" w:hAnsi="Arial" w:cs="Arial"/>
          <w:sz w:val="20"/>
          <w:szCs w:val="20"/>
        </w:rPr>
        <w:t xml:space="preserve"> represents adverse reactions reported in ≥ 2% of subjects from both the open-label titration period and double-blind treatment period of a clinical trial for </w:t>
      </w:r>
      <w:proofErr w:type="spellStart"/>
      <w:r w:rsidR="00D26A83" w:rsidRPr="00D26A83">
        <w:rPr>
          <w:rFonts w:ascii="Arial" w:hAnsi="Arial" w:cs="Arial"/>
          <w:sz w:val="20"/>
          <w:szCs w:val="20"/>
        </w:rPr>
        <w:t>Zohydro</w:t>
      </w:r>
      <w:proofErr w:type="spellEnd"/>
      <w:r w:rsidR="005B32F5" w:rsidRPr="00D26A83">
        <w:rPr>
          <w:rFonts w:ascii="Arial" w:hAnsi="Arial" w:cs="Arial"/>
          <w:sz w:val="20"/>
          <w:szCs w:val="20"/>
        </w:rPr>
        <w:t xml:space="preserve"> ER</w:t>
      </w:r>
      <w:r w:rsidR="005B32F5" w:rsidRPr="00D26A83">
        <w:rPr>
          <w:rFonts w:ascii="Arial" w:hAnsi="Arial" w:cs="Arial"/>
          <w:sz w:val="20"/>
          <w:szCs w:val="20"/>
          <w:vertAlign w:val="superscript"/>
        </w:rPr>
        <w:t>®</w:t>
      </w:r>
      <w:r w:rsidR="005B32F5" w:rsidRPr="00D26A83">
        <w:rPr>
          <w:rFonts w:ascii="Arial" w:hAnsi="Arial" w:cs="Arial"/>
          <w:sz w:val="20"/>
          <w:szCs w:val="20"/>
        </w:rPr>
        <w:t xml:space="preserve"> (hydrocodone extended-release). Figures reported during the open-label titration phase are reported in the active drug column.</w:t>
      </w:r>
    </w:p>
    <w:p w:rsidR="004920E8" w:rsidRPr="00D26A83" w:rsidRDefault="004920E8" w:rsidP="004920E8">
      <w:pPr>
        <w:pStyle w:val="NoSpacing"/>
        <w:ind w:left="-550" w:firstLine="550"/>
        <w:rPr>
          <w:rFonts w:ascii="Arial" w:hAnsi="Arial" w:cs="Arial"/>
          <w:b/>
          <w:sz w:val="20"/>
          <w:szCs w:val="20"/>
        </w:rPr>
      </w:pPr>
    </w:p>
    <w:p w:rsidR="007F4DF8" w:rsidRPr="00127E29" w:rsidRDefault="004920E8" w:rsidP="004920E8">
      <w:pPr>
        <w:pStyle w:val="NoSpacing"/>
        <w:ind w:left="-550" w:firstLine="550"/>
        <w:rPr>
          <w:rFonts w:ascii="Arial" w:hAnsi="Arial" w:cs="Arial"/>
          <w:b/>
          <w:sz w:val="20"/>
          <w:szCs w:val="20"/>
        </w:rPr>
      </w:pPr>
      <w:r w:rsidRPr="00127E29">
        <w:rPr>
          <w:rFonts w:ascii="Arial" w:hAnsi="Arial" w:cs="Arial"/>
          <w:b/>
          <w:sz w:val="20"/>
          <w:szCs w:val="20"/>
        </w:rPr>
        <w:t xml:space="preserve">Table </w:t>
      </w:r>
      <w:r w:rsidR="00AE5B18" w:rsidRPr="00127E29">
        <w:rPr>
          <w:rFonts w:ascii="Arial" w:hAnsi="Arial" w:cs="Arial"/>
          <w:b/>
          <w:sz w:val="20"/>
          <w:szCs w:val="20"/>
        </w:rPr>
        <w:t>10</w:t>
      </w:r>
      <w:r w:rsidRPr="00127E29">
        <w:rPr>
          <w:rFonts w:ascii="Arial" w:hAnsi="Arial" w:cs="Arial"/>
          <w:b/>
          <w:sz w:val="20"/>
          <w:szCs w:val="20"/>
        </w:rPr>
        <w:t>. Adverse Events</w:t>
      </w:r>
      <w:r w:rsidR="005B32F5" w:rsidRPr="00127E29">
        <w:rPr>
          <w:rFonts w:ascii="Arial" w:hAnsi="Arial" w:cs="Arial"/>
          <w:sz w:val="20"/>
          <w:szCs w:val="20"/>
          <w:vertAlign w:val="superscript"/>
        </w:rPr>
        <w:t>1</w:t>
      </w:r>
      <w:r w:rsidRPr="00127E29">
        <w:rPr>
          <w:rFonts w:ascii="Arial" w:hAnsi="Arial" w:cs="Arial"/>
          <w:b/>
          <w:sz w:val="20"/>
          <w:szCs w:val="2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0"/>
        <w:gridCol w:w="3080"/>
        <w:gridCol w:w="2960"/>
      </w:tblGrid>
      <w:tr w:rsidR="00071184" w:rsidRPr="00127E29" w:rsidTr="00D6554F">
        <w:trPr>
          <w:tblHeader/>
        </w:trPr>
        <w:tc>
          <w:tcPr>
            <w:tcW w:w="3410" w:type="dxa"/>
            <w:vMerge w:val="restart"/>
            <w:shd w:val="clear" w:color="auto" w:fill="C0C0C0"/>
            <w:vAlign w:val="center"/>
          </w:tcPr>
          <w:p w:rsidR="00071184" w:rsidRPr="00127E29" w:rsidRDefault="00071184" w:rsidP="00D6554F">
            <w:pPr>
              <w:pStyle w:val="NoSpacing"/>
              <w:jc w:val="center"/>
              <w:rPr>
                <w:rFonts w:ascii="Arial" w:hAnsi="Arial" w:cs="Arial"/>
                <w:b/>
                <w:sz w:val="20"/>
                <w:szCs w:val="20"/>
                <w:u w:val="single"/>
              </w:rPr>
            </w:pPr>
            <w:r w:rsidRPr="00127E29">
              <w:rPr>
                <w:rFonts w:ascii="Arial" w:hAnsi="Arial" w:cs="Arial"/>
                <w:b/>
                <w:sz w:val="20"/>
                <w:szCs w:val="20"/>
              </w:rPr>
              <w:t>Adverse Event</w:t>
            </w:r>
            <w:r w:rsidR="00C34201" w:rsidRPr="00127E29">
              <w:rPr>
                <w:rFonts w:ascii="Arial" w:hAnsi="Arial" w:cs="Arial"/>
                <w:b/>
                <w:sz w:val="20"/>
                <w:szCs w:val="20"/>
              </w:rPr>
              <w:t xml:space="preserve"> (%)</w:t>
            </w:r>
          </w:p>
        </w:tc>
        <w:tc>
          <w:tcPr>
            <w:tcW w:w="6040" w:type="dxa"/>
            <w:gridSpan w:val="2"/>
            <w:shd w:val="clear" w:color="auto" w:fill="C0C0C0"/>
            <w:vAlign w:val="center"/>
          </w:tcPr>
          <w:p w:rsidR="00071184" w:rsidRPr="00127E29" w:rsidRDefault="00071184" w:rsidP="00D6554F">
            <w:pPr>
              <w:pStyle w:val="NoSpacing"/>
              <w:jc w:val="center"/>
              <w:rPr>
                <w:rFonts w:ascii="Arial" w:hAnsi="Arial" w:cs="Arial"/>
                <w:b/>
                <w:sz w:val="20"/>
                <w:szCs w:val="20"/>
              </w:rPr>
            </w:pPr>
            <w:r w:rsidRPr="00127E29">
              <w:rPr>
                <w:rFonts w:ascii="Arial" w:hAnsi="Arial" w:cs="Arial"/>
                <w:b/>
                <w:sz w:val="20"/>
                <w:szCs w:val="20"/>
              </w:rPr>
              <w:t>Reported Frequency</w:t>
            </w:r>
          </w:p>
        </w:tc>
      </w:tr>
      <w:tr w:rsidR="00071184" w:rsidRPr="00127E29" w:rsidTr="00D6554F">
        <w:trPr>
          <w:tblHeader/>
        </w:trPr>
        <w:tc>
          <w:tcPr>
            <w:tcW w:w="3410" w:type="dxa"/>
            <w:vMerge/>
            <w:shd w:val="clear" w:color="auto" w:fill="C0C0C0"/>
            <w:vAlign w:val="center"/>
          </w:tcPr>
          <w:p w:rsidR="00071184" w:rsidRPr="00127E29" w:rsidRDefault="00071184" w:rsidP="00D6554F">
            <w:pPr>
              <w:pStyle w:val="NoSpacing"/>
              <w:jc w:val="center"/>
              <w:rPr>
                <w:rFonts w:ascii="Arial" w:hAnsi="Arial" w:cs="Arial"/>
                <w:b/>
                <w:sz w:val="20"/>
                <w:szCs w:val="20"/>
                <w:u w:val="single"/>
              </w:rPr>
            </w:pPr>
          </w:p>
        </w:tc>
        <w:tc>
          <w:tcPr>
            <w:tcW w:w="3080" w:type="dxa"/>
            <w:shd w:val="clear" w:color="auto" w:fill="C0C0C0"/>
            <w:vAlign w:val="center"/>
          </w:tcPr>
          <w:p w:rsidR="00071184" w:rsidRPr="00127E29" w:rsidRDefault="00BD00E9" w:rsidP="00D6554F">
            <w:pPr>
              <w:pStyle w:val="NoSpacing"/>
              <w:jc w:val="center"/>
              <w:rPr>
                <w:rFonts w:ascii="Arial" w:hAnsi="Arial" w:cs="Arial"/>
                <w:b/>
                <w:sz w:val="20"/>
                <w:szCs w:val="20"/>
              </w:rPr>
            </w:pPr>
            <w:r w:rsidRPr="00127E29">
              <w:rPr>
                <w:rFonts w:ascii="Arial" w:hAnsi="Arial" w:cs="Arial"/>
                <w:b/>
                <w:sz w:val="20"/>
                <w:szCs w:val="20"/>
              </w:rPr>
              <w:t>A</w:t>
            </w:r>
            <w:r w:rsidR="00071184" w:rsidRPr="00127E29">
              <w:rPr>
                <w:rFonts w:ascii="Arial" w:hAnsi="Arial" w:cs="Arial"/>
                <w:b/>
                <w:sz w:val="20"/>
                <w:szCs w:val="20"/>
              </w:rPr>
              <w:t>ctiv</w:t>
            </w:r>
            <w:r w:rsidRPr="00127E29">
              <w:rPr>
                <w:rFonts w:ascii="Arial" w:hAnsi="Arial" w:cs="Arial"/>
                <w:b/>
                <w:sz w:val="20"/>
                <w:szCs w:val="20"/>
              </w:rPr>
              <w:t>e Drug, Dosing R</w:t>
            </w:r>
            <w:r w:rsidR="00071184" w:rsidRPr="00127E29">
              <w:rPr>
                <w:rFonts w:ascii="Arial" w:hAnsi="Arial" w:cs="Arial"/>
                <w:b/>
                <w:sz w:val="20"/>
                <w:szCs w:val="20"/>
              </w:rPr>
              <w:t>egimen</w:t>
            </w:r>
          </w:p>
          <w:p w:rsidR="00071184" w:rsidRPr="00127E29" w:rsidRDefault="00071184" w:rsidP="00D26A83">
            <w:pPr>
              <w:pStyle w:val="NoSpacing"/>
              <w:jc w:val="center"/>
              <w:rPr>
                <w:rFonts w:ascii="Arial" w:hAnsi="Arial" w:cs="Arial"/>
                <w:b/>
                <w:sz w:val="20"/>
                <w:szCs w:val="20"/>
              </w:rPr>
            </w:pPr>
            <w:r w:rsidRPr="00127E29">
              <w:rPr>
                <w:rFonts w:ascii="Arial" w:hAnsi="Arial" w:cs="Arial"/>
                <w:b/>
                <w:sz w:val="20"/>
                <w:szCs w:val="20"/>
              </w:rPr>
              <w:t>N=</w:t>
            </w:r>
            <w:r w:rsidR="00D26A83" w:rsidRPr="00127E29">
              <w:rPr>
                <w:rFonts w:ascii="Arial" w:hAnsi="Arial" w:cs="Arial"/>
                <w:b/>
                <w:sz w:val="20"/>
                <w:szCs w:val="20"/>
              </w:rPr>
              <w:t>510</w:t>
            </w:r>
            <w:r w:rsidR="005B32F5" w:rsidRPr="00127E29">
              <w:rPr>
                <w:rFonts w:ascii="Arial" w:hAnsi="Arial" w:cs="Arial"/>
                <w:b/>
                <w:sz w:val="20"/>
                <w:szCs w:val="20"/>
              </w:rPr>
              <w:t xml:space="preserve"> (open-label titration phase), </w:t>
            </w:r>
            <w:r w:rsidR="00D26A83" w:rsidRPr="00127E29">
              <w:rPr>
                <w:rFonts w:ascii="Arial" w:hAnsi="Arial" w:cs="Arial"/>
                <w:b/>
                <w:sz w:val="20"/>
                <w:szCs w:val="20"/>
              </w:rPr>
              <w:t>151</w:t>
            </w:r>
            <w:r w:rsidR="005B32F5" w:rsidRPr="00127E29">
              <w:rPr>
                <w:rFonts w:ascii="Arial" w:hAnsi="Arial" w:cs="Arial"/>
                <w:b/>
                <w:sz w:val="20"/>
                <w:szCs w:val="20"/>
              </w:rPr>
              <w:t xml:space="preserve"> (double-blind treatment phase)</w:t>
            </w:r>
          </w:p>
        </w:tc>
        <w:tc>
          <w:tcPr>
            <w:tcW w:w="2960" w:type="dxa"/>
            <w:shd w:val="clear" w:color="auto" w:fill="C0C0C0"/>
            <w:vAlign w:val="center"/>
          </w:tcPr>
          <w:p w:rsidR="00071184" w:rsidRPr="00127E29" w:rsidRDefault="00071184" w:rsidP="00D6554F">
            <w:pPr>
              <w:pStyle w:val="NoSpacing"/>
              <w:jc w:val="center"/>
              <w:rPr>
                <w:rFonts w:ascii="Arial" w:hAnsi="Arial" w:cs="Arial"/>
                <w:b/>
                <w:sz w:val="20"/>
                <w:szCs w:val="20"/>
              </w:rPr>
            </w:pPr>
            <w:r w:rsidRPr="00127E29">
              <w:rPr>
                <w:rFonts w:ascii="Arial" w:hAnsi="Arial" w:cs="Arial"/>
                <w:b/>
                <w:sz w:val="20"/>
                <w:szCs w:val="20"/>
              </w:rPr>
              <w:t>Placebo</w:t>
            </w:r>
          </w:p>
          <w:p w:rsidR="00071184" w:rsidRPr="00127E29" w:rsidRDefault="00071184" w:rsidP="00D26A83">
            <w:pPr>
              <w:pStyle w:val="NoSpacing"/>
              <w:jc w:val="center"/>
              <w:rPr>
                <w:rFonts w:ascii="Arial" w:hAnsi="Arial" w:cs="Arial"/>
                <w:b/>
                <w:sz w:val="20"/>
                <w:szCs w:val="20"/>
              </w:rPr>
            </w:pPr>
            <w:r w:rsidRPr="00127E29">
              <w:rPr>
                <w:rFonts w:ascii="Arial" w:hAnsi="Arial" w:cs="Arial"/>
                <w:b/>
                <w:sz w:val="20"/>
                <w:szCs w:val="20"/>
              </w:rPr>
              <w:t>N=</w:t>
            </w:r>
            <w:r w:rsidR="00D26A83" w:rsidRPr="00127E29">
              <w:rPr>
                <w:rFonts w:ascii="Arial" w:hAnsi="Arial" w:cs="Arial"/>
                <w:b/>
                <w:sz w:val="20"/>
                <w:szCs w:val="20"/>
              </w:rPr>
              <w:t>151</w:t>
            </w:r>
          </w:p>
        </w:tc>
      </w:tr>
      <w:tr w:rsidR="001C64D1" w:rsidRPr="00127E29" w:rsidTr="00D6554F">
        <w:tc>
          <w:tcPr>
            <w:tcW w:w="3410" w:type="dxa"/>
            <w:vAlign w:val="center"/>
          </w:tcPr>
          <w:p w:rsidR="001C64D1" w:rsidRPr="00127E29" w:rsidRDefault="001C64D1" w:rsidP="001B7F23">
            <w:pPr>
              <w:pStyle w:val="NoSpacing"/>
              <w:rPr>
                <w:rFonts w:ascii="Arial" w:hAnsi="Arial" w:cs="Arial"/>
                <w:sz w:val="20"/>
                <w:szCs w:val="20"/>
              </w:rPr>
            </w:pPr>
            <w:r w:rsidRPr="00127E29">
              <w:rPr>
                <w:rFonts w:ascii="Arial" w:hAnsi="Arial" w:cs="Arial"/>
                <w:sz w:val="20"/>
                <w:szCs w:val="20"/>
              </w:rPr>
              <w:t>Constipation</w:t>
            </w:r>
          </w:p>
        </w:tc>
        <w:tc>
          <w:tcPr>
            <w:tcW w:w="3080" w:type="dxa"/>
            <w:vAlign w:val="center"/>
          </w:tcPr>
          <w:p w:rsidR="001C64D1" w:rsidRPr="00127E29" w:rsidRDefault="008A1E43" w:rsidP="00D6554F">
            <w:pPr>
              <w:pStyle w:val="NoSpacing"/>
              <w:jc w:val="center"/>
              <w:rPr>
                <w:rFonts w:ascii="Arial" w:hAnsi="Arial" w:cs="Arial"/>
                <w:sz w:val="20"/>
                <w:szCs w:val="20"/>
              </w:rPr>
            </w:pPr>
            <w:r w:rsidRPr="00127E29">
              <w:rPr>
                <w:rFonts w:ascii="Arial" w:hAnsi="Arial" w:cs="Arial"/>
                <w:sz w:val="20"/>
                <w:szCs w:val="20"/>
              </w:rPr>
              <w:t>8 to 11</w:t>
            </w:r>
          </w:p>
        </w:tc>
        <w:tc>
          <w:tcPr>
            <w:tcW w:w="2960" w:type="dxa"/>
            <w:vAlign w:val="center"/>
          </w:tcPr>
          <w:p w:rsidR="001C64D1" w:rsidRPr="00127E29" w:rsidRDefault="008A1E43" w:rsidP="00D6554F">
            <w:pPr>
              <w:pStyle w:val="NoSpacing"/>
              <w:jc w:val="center"/>
              <w:rPr>
                <w:rFonts w:ascii="Arial" w:hAnsi="Arial" w:cs="Arial"/>
                <w:sz w:val="20"/>
                <w:szCs w:val="20"/>
              </w:rPr>
            </w:pPr>
            <w:r w:rsidRPr="00127E29">
              <w:rPr>
                <w:rFonts w:ascii="Arial" w:hAnsi="Arial" w:cs="Arial"/>
                <w:sz w:val="20"/>
                <w:szCs w:val="20"/>
              </w:rPr>
              <w:t>0</w:t>
            </w:r>
          </w:p>
        </w:tc>
      </w:tr>
      <w:tr w:rsidR="001C64D1" w:rsidRPr="00127E29" w:rsidTr="00D6554F">
        <w:tc>
          <w:tcPr>
            <w:tcW w:w="3410" w:type="dxa"/>
            <w:vAlign w:val="center"/>
          </w:tcPr>
          <w:p w:rsidR="001C64D1" w:rsidRPr="00127E29" w:rsidRDefault="001C64D1" w:rsidP="001B7F23">
            <w:pPr>
              <w:pStyle w:val="NoSpacing"/>
              <w:rPr>
                <w:rFonts w:ascii="Arial" w:hAnsi="Arial" w:cs="Arial"/>
                <w:sz w:val="20"/>
                <w:szCs w:val="20"/>
              </w:rPr>
            </w:pPr>
            <w:r w:rsidRPr="00127E29">
              <w:rPr>
                <w:rFonts w:ascii="Arial" w:hAnsi="Arial" w:cs="Arial"/>
                <w:sz w:val="20"/>
                <w:szCs w:val="20"/>
              </w:rPr>
              <w:t>Nausea</w:t>
            </w:r>
          </w:p>
        </w:tc>
        <w:tc>
          <w:tcPr>
            <w:tcW w:w="3080" w:type="dxa"/>
            <w:vAlign w:val="center"/>
          </w:tcPr>
          <w:p w:rsidR="001C64D1" w:rsidRPr="00127E29" w:rsidRDefault="008A1E43" w:rsidP="00D6554F">
            <w:pPr>
              <w:pStyle w:val="NoSpacing"/>
              <w:jc w:val="center"/>
              <w:rPr>
                <w:rFonts w:ascii="Arial" w:hAnsi="Arial" w:cs="Arial"/>
                <w:sz w:val="20"/>
                <w:szCs w:val="20"/>
              </w:rPr>
            </w:pPr>
            <w:r w:rsidRPr="00127E29">
              <w:rPr>
                <w:rFonts w:ascii="Arial" w:hAnsi="Arial" w:cs="Arial"/>
                <w:sz w:val="20"/>
                <w:szCs w:val="20"/>
              </w:rPr>
              <w:t>7 to 10</w:t>
            </w:r>
          </w:p>
        </w:tc>
        <w:tc>
          <w:tcPr>
            <w:tcW w:w="2960" w:type="dxa"/>
            <w:vAlign w:val="center"/>
          </w:tcPr>
          <w:p w:rsidR="001C64D1" w:rsidRPr="00127E29" w:rsidRDefault="008A1E43" w:rsidP="00D6554F">
            <w:pPr>
              <w:pStyle w:val="NoSpacing"/>
              <w:jc w:val="center"/>
              <w:rPr>
                <w:rFonts w:ascii="Arial" w:hAnsi="Arial" w:cs="Arial"/>
                <w:sz w:val="20"/>
                <w:szCs w:val="20"/>
              </w:rPr>
            </w:pPr>
            <w:r w:rsidRPr="00127E29">
              <w:rPr>
                <w:rFonts w:ascii="Arial" w:hAnsi="Arial" w:cs="Arial"/>
                <w:sz w:val="20"/>
                <w:szCs w:val="20"/>
              </w:rPr>
              <w:t>5</w:t>
            </w:r>
          </w:p>
        </w:tc>
      </w:tr>
      <w:tr w:rsidR="001C64D1" w:rsidRPr="00127E29" w:rsidTr="00D6554F">
        <w:tc>
          <w:tcPr>
            <w:tcW w:w="3410" w:type="dxa"/>
            <w:vAlign w:val="center"/>
          </w:tcPr>
          <w:p w:rsidR="001C64D1" w:rsidRPr="00127E29" w:rsidRDefault="001C64D1" w:rsidP="001B7F23">
            <w:pPr>
              <w:pStyle w:val="NoSpacing"/>
              <w:rPr>
                <w:rFonts w:ascii="Arial" w:hAnsi="Arial" w:cs="Arial"/>
                <w:sz w:val="20"/>
                <w:szCs w:val="20"/>
              </w:rPr>
            </w:pPr>
            <w:r w:rsidRPr="00127E29">
              <w:rPr>
                <w:rFonts w:ascii="Arial" w:hAnsi="Arial" w:cs="Arial"/>
                <w:sz w:val="20"/>
                <w:szCs w:val="20"/>
              </w:rPr>
              <w:t>Somnolence</w:t>
            </w:r>
          </w:p>
        </w:tc>
        <w:tc>
          <w:tcPr>
            <w:tcW w:w="3080" w:type="dxa"/>
            <w:vAlign w:val="center"/>
          </w:tcPr>
          <w:p w:rsidR="001C64D1" w:rsidRPr="00127E29" w:rsidRDefault="008A1E43" w:rsidP="00D6554F">
            <w:pPr>
              <w:pStyle w:val="NoSpacing"/>
              <w:jc w:val="center"/>
              <w:rPr>
                <w:rFonts w:ascii="Arial" w:hAnsi="Arial" w:cs="Arial"/>
                <w:sz w:val="20"/>
                <w:szCs w:val="20"/>
              </w:rPr>
            </w:pPr>
            <w:r w:rsidRPr="00127E29">
              <w:rPr>
                <w:rFonts w:ascii="Arial" w:hAnsi="Arial" w:cs="Arial"/>
                <w:sz w:val="20"/>
                <w:szCs w:val="20"/>
              </w:rPr>
              <w:t>1 to 5</w:t>
            </w:r>
          </w:p>
        </w:tc>
        <w:tc>
          <w:tcPr>
            <w:tcW w:w="2960" w:type="dxa"/>
            <w:vAlign w:val="center"/>
          </w:tcPr>
          <w:p w:rsidR="001C64D1" w:rsidRPr="00127E29" w:rsidRDefault="008A1E43" w:rsidP="00D6554F">
            <w:pPr>
              <w:pStyle w:val="NoSpacing"/>
              <w:jc w:val="center"/>
              <w:rPr>
                <w:rFonts w:ascii="Arial" w:hAnsi="Arial" w:cs="Arial"/>
                <w:sz w:val="20"/>
                <w:szCs w:val="20"/>
              </w:rPr>
            </w:pPr>
            <w:r w:rsidRPr="00127E29">
              <w:rPr>
                <w:rFonts w:ascii="Arial" w:hAnsi="Arial" w:cs="Arial"/>
                <w:sz w:val="20"/>
                <w:szCs w:val="20"/>
              </w:rPr>
              <w:t>0</w:t>
            </w:r>
          </w:p>
        </w:tc>
      </w:tr>
      <w:tr w:rsidR="001C64D1" w:rsidRPr="00127E29" w:rsidTr="00D6554F">
        <w:tc>
          <w:tcPr>
            <w:tcW w:w="3410" w:type="dxa"/>
            <w:vAlign w:val="center"/>
          </w:tcPr>
          <w:p w:rsidR="001C64D1" w:rsidRPr="00127E29" w:rsidRDefault="001C64D1" w:rsidP="001B7F23">
            <w:pPr>
              <w:pStyle w:val="NoSpacing"/>
              <w:rPr>
                <w:rFonts w:ascii="Arial" w:hAnsi="Arial" w:cs="Arial"/>
                <w:sz w:val="20"/>
                <w:szCs w:val="20"/>
              </w:rPr>
            </w:pPr>
            <w:r w:rsidRPr="00127E29">
              <w:rPr>
                <w:rFonts w:ascii="Arial" w:hAnsi="Arial" w:cs="Arial"/>
                <w:sz w:val="20"/>
                <w:szCs w:val="20"/>
              </w:rPr>
              <w:t>Fatigue</w:t>
            </w:r>
          </w:p>
        </w:tc>
        <w:tc>
          <w:tcPr>
            <w:tcW w:w="3080" w:type="dxa"/>
            <w:vAlign w:val="center"/>
          </w:tcPr>
          <w:p w:rsidR="001C64D1" w:rsidRPr="00127E29" w:rsidRDefault="008A1E43" w:rsidP="00D6554F">
            <w:pPr>
              <w:pStyle w:val="NoSpacing"/>
              <w:jc w:val="center"/>
              <w:rPr>
                <w:rFonts w:ascii="Arial" w:hAnsi="Arial" w:cs="Arial"/>
                <w:sz w:val="20"/>
                <w:szCs w:val="20"/>
              </w:rPr>
            </w:pPr>
            <w:r w:rsidRPr="00127E29">
              <w:rPr>
                <w:rFonts w:ascii="Arial" w:hAnsi="Arial" w:cs="Arial"/>
                <w:sz w:val="20"/>
                <w:szCs w:val="20"/>
              </w:rPr>
              <w:t>1 to 4</w:t>
            </w:r>
          </w:p>
        </w:tc>
        <w:tc>
          <w:tcPr>
            <w:tcW w:w="2960" w:type="dxa"/>
            <w:vAlign w:val="center"/>
          </w:tcPr>
          <w:p w:rsidR="001C64D1" w:rsidRPr="00127E29" w:rsidRDefault="008A1E43" w:rsidP="00D6554F">
            <w:pPr>
              <w:pStyle w:val="NoSpacing"/>
              <w:jc w:val="center"/>
              <w:rPr>
                <w:rFonts w:ascii="Arial" w:hAnsi="Arial" w:cs="Arial"/>
                <w:sz w:val="20"/>
                <w:szCs w:val="20"/>
              </w:rPr>
            </w:pPr>
            <w:r w:rsidRPr="00127E29">
              <w:rPr>
                <w:rFonts w:ascii="Arial" w:hAnsi="Arial" w:cs="Arial"/>
                <w:sz w:val="20"/>
                <w:szCs w:val="20"/>
              </w:rPr>
              <w:t>1</w:t>
            </w:r>
          </w:p>
        </w:tc>
      </w:tr>
      <w:tr w:rsidR="001C64D1" w:rsidRPr="00127E29" w:rsidTr="00D6554F">
        <w:tc>
          <w:tcPr>
            <w:tcW w:w="3410" w:type="dxa"/>
            <w:vAlign w:val="center"/>
          </w:tcPr>
          <w:p w:rsidR="001C64D1" w:rsidRPr="00127E29" w:rsidRDefault="001C64D1" w:rsidP="001B7F23">
            <w:pPr>
              <w:pStyle w:val="NoSpacing"/>
              <w:rPr>
                <w:rFonts w:ascii="Arial" w:hAnsi="Arial" w:cs="Arial"/>
                <w:sz w:val="20"/>
                <w:szCs w:val="20"/>
              </w:rPr>
            </w:pPr>
            <w:r w:rsidRPr="00127E29">
              <w:rPr>
                <w:rFonts w:ascii="Arial" w:hAnsi="Arial" w:cs="Arial"/>
                <w:sz w:val="20"/>
                <w:szCs w:val="20"/>
              </w:rPr>
              <w:t>Headache</w:t>
            </w:r>
          </w:p>
        </w:tc>
        <w:tc>
          <w:tcPr>
            <w:tcW w:w="3080" w:type="dxa"/>
            <w:vAlign w:val="center"/>
          </w:tcPr>
          <w:p w:rsidR="001C64D1" w:rsidRPr="00127E29" w:rsidRDefault="008A1E43" w:rsidP="00D6554F">
            <w:pPr>
              <w:pStyle w:val="NoSpacing"/>
              <w:jc w:val="center"/>
              <w:rPr>
                <w:rFonts w:ascii="Arial" w:hAnsi="Arial" w:cs="Arial"/>
                <w:sz w:val="20"/>
                <w:szCs w:val="20"/>
              </w:rPr>
            </w:pPr>
            <w:r w:rsidRPr="00127E29">
              <w:rPr>
                <w:rFonts w:ascii="Arial" w:hAnsi="Arial" w:cs="Arial"/>
                <w:sz w:val="20"/>
                <w:szCs w:val="20"/>
              </w:rPr>
              <w:t>0 to 4</w:t>
            </w:r>
          </w:p>
        </w:tc>
        <w:tc>
          <w:tcPr>
            <w:tcW w:w="2960" w:type="dxa"/>
            <w:vAlign w:val="center"/>
          </w:tcPr>
          <w:p w:rsidR="001C64D1" w:rsidRPr="00127E29" w:rsidRDefault="008A1E43" w:rsidP="00D6554F">
            <w:pPr>
              <w:pStyle w:val="NoSpacing"/>
              <w:jc w:val="center"/>
              <w:rPr>
                <w:rFonts w:ascii="Arial" w:hAnsi="Arial" w:cs="Arial"/>
                <w:sz w:val="20"/>
                <w:szCs w:val="20"/>
              </w:rPr>
            </w:pPr>
            <w:r w:rsidRPr="00127E29">
              <w:rPr>
                <w:rFonts w:ascii="Arial" w:hAnsi="Arial" w:cs="Arial"/>
                <w:sz w:val="20"/>
                <w:szCs w:val="20"/>
              </w:rPr>
              <w:t>1</w:t>
            </w:r>
          </w:p>
        </w:tc>
      </w:tr>
      <w:tr w:rsidR="001C64D1" w:rsidRPr="00127E29" w:rsidTr="00D6554F">
        <w:tc>
          <w:tcPr>
            <w:tcW w:w="3410" w:type="dxa"/>
            <w:vAlign w:val="center"/>
          </w:tcPr>
          <w:p w:rsidR="001C64D1" w:rsidRPr="00127E29" w:rsidRDefault="001C64D1" w:rsidP="001B7F23">
            <w:pPr>
              <w:pStyle w:val="NoSpacing"/>
              <w:rPr>
                <w:rFonts w:ascii="Arial" w:hAnsi="Arial" w:cs="Arial"/>
                <w:sz w:val="20"/>
                <w:szCs w:val="20"/>
              </w:rPr>
            </w:pPr>
            <w:r w:rsidRPr="00127E29">
              <w:rPr>
                <w:rFonts w:ascii="Arial" w:hAnsi="Arial" w:cs="Arial"/>
                <w:sz w:val="20"/>
                <w:szCs w:val="20"/>
              </w:rPr>
              <w:t>Dizziness</w:t>
            </w:r>
          </w:p>
        </w:tc>
        <w:tc>
          <w:tcPr>
            <w:tcW w:w="3080" w:type="dxa"/>
            <w:vAlign w:val="center"/>
          </w:tcPr>
          <w:p w:rsidR="001C64D1" w:rsidRPr="00127E29" w:rsidRDefault="00127E29" w:rsidP="00D6554F">
            <w:pPr>
              <w:pStyle w:val="NoSpacing"/>
              <w:jc w:val="center"/>
              <w:rPr>
                <w:rFonts w:ascii="Arial" w:hAnsi="Arial" w:cs="Arial"/>
                <w:sz w:val="20"/>
                <w:szCs w:val="20"/>
              </w:rPr>
            </w:pPr>
            <w:r w:rsidRPr="00127E29">
              <w:rPr>
                <w:rFonts w:ascii="Arial" w:hAnsi="Arial" w:cs="Arial"/>
                <w:sz w:val="20"/>
                <w:szCs w:val="20"/>
              </w:rPr>
              <w:t>2 to 3</w:t>
            </w:r>
          </w:p>
        </w:tc>
        <w:tc>
          <w:tcPr>
            <w:tcW w:w="2960" w:type="dxa"/>
            <w:vAlign w:val="center"/>
          </w:tcPr>
          <w:p w:rsidR="001C64D1" w:rsidRPr="00127E29" w:rsidRDefault="00127E29" w:rsidP="00D6554F">
            <w:pPr>
              <w:pStyle w:val="NoSpacing"/>
              <w:jc w:val="center"/>
              <w:rPr>
                <w:rFonts w:ascii="Arial" w:hAnsi="Arial" w:cs="Arial"/>
                <w:sz w:val="20"/>
                <w:szCs w:val="20"/>
              </w:rPr>
            </w:pPr>
            <w:r w:rsidRPr="00127E29">
              <w:rPr>
                <w:rFonts w:ascii="Arial" w:hAnsi="Arial" w:cs="Arial"/>
                <w:sz w:val="20"/>
                <w:szCs w:val="20"/>
              </w:rPr>
              <w:t>1</w:t>
            </w:r>
          </w:p>
        </w:tc>
      </w:tr>
      <w:tr w:rsidR="001C64D1" w:rsidRPr="00127E29" w:rsidTr="00D6554F">
        <w:tc>
          <w:tcPr>
            <w:tcW w:w="3410" w:type="dxa"/>
            <w:vAlign w:val="center"/>
          </w:tcPr>
          <w:p w:rsidR="001C64D1" w:rsidRPr="00127E29" w:rsidRDefault="001C64D1" w:rsidP="001B7F23">
            <w:pPr>
              <w:pStyle w:val="NoSpacing"/>
              <w:rPr>
                <w:rFonts w:ascii="Arial" w:hAnsi="Arial" w:cs="Arial"/>
                <w:sz w:val="20"/>
                <w:szCs w:val="20"/>
              </w:rPr>
            </w:pPr>
            <w:r w:rsidRPr="00127E29">
              <w:rPr>
                <w:rFonts w:ascii="Arial" w:hAnsi="Arial" w:cs="Arial"/>
                <w:sz w:val="20"/>
                <w:szCs w:val="20"/>
              </w:rPr>
              <w:t>Dry mouth</w:t>
            </w:r>
          </w:p>
        </w:tc>
        <w:tc>
          <w:tcPr>
            <w:tcW w:w="3080" w:type="dxa"/>
            <w:vAlign w:val="center"/>
          </w:tcPr>
          <w:p w:rsidR="001C64D1" w:rsidRPr="00127E29" w:rsidRDefault="00127E29" w:rsidP="00D6554F">
            <w:pPr>
              <w:pStyle w:val="NoSpacing"/>
              <w:jc w:val="center"/>
              <w:rPr>
                <w:rFonts w:ascii="Arial" w:hAnsi="Arial" w:cs="Arial"/>
                <w:sz w:val="20"/>
                <w:szCs w:val="20"/>
              </w:rPr>
            </w:pPr>
            <w:r w:rsidRPr="00127E29">
              <w:rPr>
                <w:rFonts w:ascii="Arial" w:hAnsi="Arial" w:cs="Arial"/>
                <w:sz w:val="20"/>
                <w:szCs w:val="20"/>
              </w:rPr>
              <w:t>0 to 3</w:t>
            </w:r>
          </w:p>
        </w:tc>
        <w:tc>
          <w:tcPr>
            <w:tcW w:w="2960" w:type="dxa"/>
            <w:vAlign w:val="center"/>
          </w:tcPr>
          <w:p w:rsidR="001C64D1" w:rsidRPr="00127E29" w:rsidRDefault="00127E29" w:rsidP="00D6554F">
            <w:pPr>
              <w:pStyle w:val="NoSpacing"/>
              <w:jc w:val="center"/>
              <w:rPr>
                <w:rFonts w:ascii="Arial" w:hAnsi="Arial" w:cs="Arial"/>
                <w:sz w:val="20"/>
                <w:szCs w:val="20"/>
              </w:rPr>
            </w:pPr>
            <w:r w:rsidRPr="00127E29">
              <w:rPr>
                <w:rFonts w:ascii="Arial" w:hAnsi="Arial" w:cs="Arial"/>
                <w:sz w:val="20"/>
                <w:szCs w:val="20"/>
              </w:rPr>
              <w:t>0</w:t>
            </w:r>
          </w:p>
        </w:tc>
      </w:tr>
      <w:tr w:rsidR="001C64D1" w:rsidRPr="00127E29" w:rsidTr="00D6554F">
        <w:tc>
          <w:tcPr>
            <w:tcW w:w="3410" w:type="dxa"/>
            <w:vAlign w:val="center"/>
          </w:tcPr>
          <w:p w:rsidR="001C64D1" w:rsidRPr="00127E29" w:rsidRDefault="001C64D1" w:rsidP="001B7F23">
            <w:pPr>
              <w:pStyle w:val="NoSpacing"/>
              <w:rPr>
                <w:rFonts w:ascii="Arial" w:hAnsi="Arial" w:cs="Arial"/>
                <w:sz w:val="20"/>
                <w:szCs w:val="20"/>
              </w:rPr>
            </w:pPr>
            <w:r w:rsidRPr="00127E29">
              <w:rPr>
                <w:rFonts w:ascii="Arial" w:hAnsi="Arial" w:cs="Arial"/>
                <w:sz w:val="20"/>
                <w:szCs w:val="20"/>
              </w:rPr>
              <w:t>Vomiting</w:t>
            </w:r>
          </w:p>
        </w:tc>
        <w:tc>
          <w:tcPr>
            <w:tcW w:w="3080" w:type="dxa"/>
            <w:vAlign w:val="center"/>
          </w:tcPr>
          <w:p w:rsidR="001C64D1" w:rsidRPr="00127E29" w:rsidRDefault="00127E29" w:rsidP="00D6554F">
            <w:pPr>
              <w:pStyle w:val="NoSpacing"/>
              <w:jc w:val="center"/>
              <w:rPr>
                <w:rFonts w:ascii="Arial" w:hAnsi="Arial" w:cs="Arial"/>
                <w:sz w:val="20"/>
                <w:szCs w:val="20"/>
              </w:rPr>
            </w:pPr>
            <w:r w:rsidRPr="00127E29">
              <w:rPr>
                <w:rFonts w:ascii="Arial" w:hAnsi="Arial" w:cs="Arial"/>
                <w:sz w:val="20"/>
                <w:szCs w:val="20"/>
              </w:rPr>
              <w:t>3 to 5</w:t>
            </w:r>
          </w:p>
        </w:tc>
        <w:tc>
          <w:tcPr>
            <w:tcW w:w="2960" w:type="dxa"/>
            <w:vAlign w:val="center"/>
          </w:tcPr>
          <w:p w:rsidR="001C64D1" w:rsidRPr="00127E29" w:rsidRDefault="00127E29" w:rsidP="00D6554F">
            <w:pPr>
              <w:pStyle w:val="NoSpacing"/>
              <w:jc w:val="center"/>
              <w:rPr>
                <w:rFonts w:ascii="Arial" w:hAnsi="Arial" w:cs="Arial"/>
                <w:sz w:val="20"/>
                <w:szCs w:val="20"/>
              </w:rPr>
            </w:pPr>
            <w:r w:rsidRPr="00127E29">
              <w:rPr>
                <w:rFonts w:ascii="Arial" w:hAnsi="Arial" w:cs="Arial"/>
                <w:sz w:val="20"/>
                <w:szCs w:val="20"/>
              </w:rPr>
              <w:t>1</w:t>
            </w:r>
          </w:p>
        </w:tc>
      </w:tr>
      <w:tr w:rsidR="00272746" w:rsidRPr="00127E29" w:rsidTr="00D6554F">
        <w:tc>
          <w:tcPr>
            <w:tcW w:w="3410" w:type="dxa"/>
            <w:vAlign w:val="center"/>
          </w:tcPr>
          <w:p w:rsidR="00272746" w:rsidRPr="00127E29" w:rsidRDefault="00272746" w:rsidP="001B7F23">
            <w:pPr>
              <w:pStyle w:val="NoSpacing"/>
              <w:rPr>
                <w:rFonts w:ascii="Arial" w:hAnsi="Arial" w:cs="Arial"/>
                <w:sz w:val="20"/>
                <w:szCs w:val="20"/>
              </w:rPr>
            </w:pPr>
            <w:r w:rsidRPr="00127E29">
              <w:rPr>
                <w:rFonts w:ascii="Arial" w:hAnsi="Arial" w:cs="Arial"/>
                <w:sz w:val="20"/>
                <w:szCs w:val="20"/>
              </w:rPr>
              <w:t>Pruritus</w:t>
            </w:r>
          </w:p>
        </w:tc>
        <w:tc>
          <w:tcPr>
            <w:tcW w:w="3080" w:type="dxa"/>
            <w:vAlign w:val="center"/>
          </w:tcPr>
          <w:p w:rsidR="00272746" w:rsidRPr="00127E29" w:rsidRDefault="00127E29" w:rsidP="00D6554F">
            <w:pPr>
              <w:pStyle w:val="NoSpacing"/>
              <w:jc w:val="center"/>
              <w:rPr>
                <w:rFonts w:ascii="Arial" w:hAnsi="Arial" w:cs="Arial"/>
                <w:sz w:val="20"/>
                <w:szCs w:val="20"/>
              </w:rPr>
            </w:pPr>
            <w:r w:rsidRPr="00127E29">
              <w:rPr>
                <w:rFonts w:ascii="Arial" w:hAnsi="Arial" w:cs="Arial"/>
                <w:sz w:val="20"/>
                <w:szCs w:val="20"/>
              </w:rPr>
              <w:t>0 to 3</w:t>
            </w:r>
          </w:p>
        </w:tc>
        <w:tc>
          <w:tcPr>
            <w:tcW w:w="2960" w:type="dxa"/>
            <w:vAlign w:val="center"/>
          </w:tcPr>
          <w:p w:rsidR="00272746" w:rsidRPr="00127E29" w:rsidRDefault="00127E29" w:rsidP="00D6554F">
            <w:pPr>
              <w:pStyle w:val="NoSpacing"/>
              <w:jc w:val="center"/>
              <w:rPr>
                <w:rFonts w:ascii="Arial" w:hAnsi="Arial" w:cs="Arial"/>
                <w:sz w:val="20"/>
                <w:szCs w:val="20"/>
              </w:rPr>
            </w:pPr>
            <w:r w:rsidRPr="00127E29">
              <w:rPr>
                <w:rFonts w:ascii="Arial" w:hAnsi="Arial" w:cs="Arial"/>
                <w:sz w:val="20"/>
                <w:szCs w:val="20"/>
              </w:rPr>
              <w:t>0</w:t>
            </w:r>
          </w:p>
        </w:tc>
      </w:tr>
      <w:tr w:rsidR="00272746" w:rsidRPr="00127E29" w:rsidTr="00D6554F">
        <w:tc>
          <w:tcPr>
            <w:tcW w:w="3410" w:type="dxa"/>
            <w:vAlign w:val="center"/>
          </w:tcPr>
          <w:p w:rsidR="00272746" w:rsidRPr="00127E29" w:rsidRDefault="00272746" w:rsidP="001B7F23">
            <w:pPr>
              <w:pStyle w:val="NoSpacing"/>
              <w:rPr>
                <w:rFonts w:ascii="Arial" w:hAnsi="Arial" w:cs="Arial"/>
                <w:sz w:val="20"/>
                <w:szCs w:val="20"/>
              </w:rPr>
            </w:pPr>
            <w:r w:rsidRPr="00127E29">
              <w:rPr>
                <w:rFonts w:ascii="Arial" w:hAnsi="Arial" w:cs="Arial"/>
                <w:sz w:val="20"/>
                <w:szCs w:val="20"/>
              </w:rPr>
              <w:t>Abdominal pain</w:t>
            </w:r>
          </w:p>
        </w:tc>
        <w:tc>
          <w:tcPr>
            <w:tcW w:w="3080" w:type="dxa"/>
            <w:vAlign w:val="center"/>
          </w:tcPr>
          <w:p w:rsidR="00272746" w:rsidRPr="00127E29" w:rsidRDefault="00127E29" w:rsidP="00D6554F">
            <w:pPr>
              <w:pStyle w:val="NoSpacing"/>
              <w:jc w:val="center"/>
              <w:rPr>
                <w:rFonts w:ascii="Arial" w:hAnsi="Arial" w:cs="Arial"/>
                <w:sz w:val="20"/>
                <w:szCs w:val="20"/>
              </w:rPr>
            </w:pPr>
            <w:r w:rsidRPr="00127E29">
              <w:rPr>
                <w:rFonts w:ascii="Arial" w:hAnsi="Arial" w:cs="Arial"/>
                <w:sz w:val="20"/>
                <w:szCs w:val="20"/>
              </w:rPr>
              <w:t xml:space="preserve">2 to 3 </w:t>
            </w:r>
          </w:p>
        </w:tc>
        <w:tc>
          <w:tcPr>
            <w:tcW w:w="2960" w:type="dxa"/>
            <w:vAlign w:val="center"/>
          </w:tcPr>
          <w:p w:rsidR="00272746" w:rsidRPr="00127E29" w:rsidRDefault="00127E29" w:rsidP="00D6554F">
            <w:pPr>
              <w:pStyle w:val="NoSpacing"/>
              <w:jc w:val="center"/>
              <w:rPr>
                <w:rFonts w:ascii="Arial" w:hAnsi="Arial" w:cs="Arial"/>
                <w:sz w:val="20"/>
                <w:szCs w:val="20"/>
              </w:rPr>
            </w:pPr>
            <w:r w:rsidRPr="00127E29">
              <w:rPr>
                <w:rFonts w:ascii="Arial" w:hAnsi="Arial" w:cs="Arial"/>
                <w:sz w:val="20"/>
                <w:szCs w:val="20"/>
              </w:rPr>
              <w:t>0</w:t>
            </w:r>
          </w:p>
        </w:tc>
      </w:tr>
      <w:tr w:rsidR="00272746" w:rsidRPr="00127E29" w:rsidTr="00D6554F">
        <w:tc>
          <w:tcPr>
            <w:tcW w:w="3410" w:type="dxa"/>
            <w:vAlign w:val="center"/>
          </w:tcPr>
          <w:p w:rsidR="00272746" w:rsidRPr="00127E29" w:rsidRDefault="00272746" w:rsidP="001B7F23">
            <w:pPr>
              <w:pStyle w:val="NoSpacing"/>
              <w:rPr>
                <w:rFonts w:ascii="Arial" w:hAnsi="Arial" w:cs="Arial"/>
                <w:sz w:val="20"/>
                <w:szCs w:val="20"/>
              </w:rPr>
            </w:pPr>
            <w:r w:rsidRPr="00127E29">
              <w:rPr>
                <w:rFonts w:ascii="Arial" w:hAnsi="Arial" w:cs="Arial"/>
                <w:sz w:val="20"/>
                <w:szCs w:val="20"/>
              </w:rPr>
              <w:lastRenderedPageBreak/>
              <w:t xml:space="preserve">Edema </w:t>
            </w:r>
            <w:r w:rsidR="008A1E43" w:rsidRPr="00127E29">
              <w:rPr>
                <w:rFonts w:ascii="Arial" w:hAnsi="Arial" w:cs="Arial"/>
                <w:sz w:val="20"/>
                <w:szCs w:val="20"/>
              </w:rPr>
              <w:t>peripheral</w:t>
            </w:r>
          </w:p>
        </w:tc>
        <w:tc>
          <w:tcPr>
            <w:tcW w:w="3080" w:type="dxa"/>
            <w:vAlign w:val="center"/>
          </w:tcPr>
          <w:p w:rsidR="00272746" w:rsidRPr="00127E29" w:rsidRDefault="00127E29" w:rsidP="00D6554F">
            <w:pPr>
              <w:pStyle w:val="NoSpacing"/>
              <w:jc w:val="center"/>
              <w:rPr>
                <w:rFonts w:ascii="Arial" w:hAnsi="Arial" w:cs="Arial"/>
                <w:sz w:val="20"/>
                <w:szCs w:val="20"/>
              </w:rPr>
            </w:pPr>
            <w:r w:rsidRPr="00127E29">
              <w:rPr>
                <w:rFonts w:ascii="Arial" w:hAnsi="Arial" w:cs="Arial"/>
                <w:sz w:val="20"/>
                <w:szCs w:val="20"/>
              </w:rPr>
              <w:t>1 to 3</w:t>
            </w:r>
          </w:p>
        </w:tc>
        <w:tc>
          <w:tcPr>
            <w:tcW w:w="2960" w:type="dxa"/>
            <w:vAlign w:val="center"/>
          </w:tcPr>
          <w:p w:rsidR="00272746" w:rsidRPr="00127E29" w:rsidRDefault="00127E29" w:rsidP="00D6554F">
            <w:pPr>
              <w:pStyle w:val="NoSpacing"/>
              <w:jc w:val="center"/>
              <w:rPr>
                <w:rFonts w:ascii="Arial" w:hAnsi="Arial" w:cs="Arial"/>
                <w:sz w:val="20"/>
                <w:szCs w:val="20"/>
              </w:rPr>
            </w:pPr>
            <w:r w:rsidRPr="00127E29">
              <w:rPr>
                <w:rFonts w:ascii="Arial" w:hAnsi="Arial" w:cs="Arial"/>
                <w:sz w:val="20"/>
                <w:szCs w:val="20"/>
              </w:rPr>
              <w:t>0</w:t>
            </w:r>
          </w:p>
        </w:tc>
      </w:tr>
      <w:tr w:rsidR="00272746" w:rsidRPr="00127E29" w:rsidTr="00D6554F">
        <w:tc>
          <w:tcPr>
            <w:tcW w:w="3410" w:type="dxa"/>
            <w:vAlign w:val="center"/>
          </w:tcPr>
          <w:p w:rsidR="00272746" w:rsidRPr="00127E29" w:rsidRDefault="008A1E43" w:rsidP="001B7F23">
            <w:pPr>
              <w:pStyle w:val="NoSpacing"/>
              <w:rPr>
                <w:rFonts w:ascii="Arial" w:hAnsi="Arial" w:cs="Arial"/>
                <w:sz w:val="20"/>
                <w:szCs w:val="20"/>
              </w:rPr>
            </w:pPr>
            <w:r w:rsidRPr="00127E29">
              <w:rPr>
                <w:rFonts w:ascii="Arial" w:hAnsi="Arial" w:cs="Arial"/>
                <w:sz w:val="20"/>
                <w:szCs w:val="20"/>
              </w:rPr>
              <w:t>Upper respiratory tract infection</w:t>
            </w:r>
          </w:p>
        </w:tc>
        <w:tc>
          <w:tcPr>
            <w:tcW w:w="3080" w:type="dxa"/>
            <w:vAlign w:val="center"/>
          </w:tcPr>
          <w:p w:rsidR="00272746" w:rsidRPr="00127E29" w:rsidRDefault="00127E29" w:rsidP="00D6554F">
            <w:pPr>
              <w:pStyle w:val="NoSpacing"/>
              <w:jc w:val="center"/>
              <w:rPr>
                <w:rFonts w:ascii="Arial" w:hAnsi="Arial" w:cs="Arial"/>
                <w:sz w:val="20"/>
                <w:szCs w:val="20"/>
              </w:rPr>
            </w:pPr>
            <w:r w:rsidRPr="00127E29">
              <w:rPr>
                <w:rFonts w:ascii="Arial" w:hAnsi="Arial" w:cs="Arial"/>
                <w:sz w:val="20"/>
                <w:szCs w:val="20"/>
              </w:rPr>
              <w:t>1 to 3</w:t>
            </w:r>
          </w:p>
        </w:tc>
        <w:tc>
          <w:tcPr>
            <w:tcW w:w="2960" w:type="dxa"/>
            <w:vAlign w:val="center"/>
          </w:tcPr>
          <w:p w:rsidR="00272746" w:rsidRPr="00127E29" w:rsidRDefault="00127E29" w:rsidP="00D6554F">
            <w:pPr>
              <w:pStyle w:val="NoSpacing"/>
              <w:jc w:val="center"/>
              <w:rPr>
                <w:rFonts w:ascii="Arial" w:hAnsi="Arial" w:cs="Arial"/>
                <w:sz w:val="20"/>
                <w:szCs w:val="20"/>
              </w:rPr>
            </w:pPr>
            <w:r w:rsidRPr="00127E29">
              <w:rPr>
                <w:rFonts w:ascii="Arial" w:hAnsi="Arial" w:cs="Arial"/>
                <w:sz w:val="20"/>
                <w:szCs w:val="20"/>
              </w:rPr>
              <w:t>1</w:t>
            </w:r>
          </w:p>
        </w:tc>
      </w:tr>
      <w:tr w:rsidR="00272746" w:rsidRPr="00127E29" w:rsidTr="00D6554F">
        <w:tc>
          <w:tcPr>
            <w:tcW w:w="3410" w:type="dxa"/>
            <w:vAlign w:val="center"/>
          </w:tcPr>
          <w:p w:rsidR="00272746" w:rsidRPr="00127E29" w:rsidRDefault="008A1E43" w:rsidP="001B7F23">
            <w:pPr>
              <w:pStyle w:val="NoSpacing"/>
              <w:rPr>
                <w:rFonts w:ascii="Arial" w:hAnsi="Arial" w:cs="Arial"/>
                <w:sz w:val="20"/>
                <w:szCs w:val="20"/>
              </w:rPr>
            </w:pPr>
            <w:r w:rsidRPr="00127E29">
              <w:rPr>
                <w:rFonts w:ascii="Arial" w:hAnsi="Arial" w:cs="Arial"/>
                <w:sz w:val="20"/>
                <w:szCs w:val="20"/>
              </w:rPr>
              <w:t>Muscle spasms</w:t>
            </w:r>
          </w:p>
        </w:tc>
        <w:tc>
          <w:tcPr>
            <w:tcW w:w="3080" w:type="dxa"/>
            <w:vAlign w:val="center"/>
          </w:tcPr>
          <w:p w:rsidR="00272746" w:rsidRPr="00127E29" w:rsidRDefault="00127E29" w:rsidP="00D6554F">
            <w:pPr>
              <w:pStyle w:val="NoSpacing"/>
              <w:jc w:val="center"/>
              <w:rPr>
                <w:rFonts w:ascii="Arial" w:hAnsi="Arial" w:cs="Arial"/>
                <w:sz w:val="20"/>
                <w:szCs w:val="20"/>
              </w:rPr>
            </w:pPr>
            <w:r w:rsidRPr="00127E29">
              <w:rPr>
                <w:rFonts w:ascii="Arial" w:hAnsi="Arial" w:cs="Arial"/>
                <w:sz w:val="20"/>
                <w:szCs w:val="20"/>
              </w:rPr>
              <w:t>1 to 3</w:t>
            </w:r>
          </w:p>
        </w:tc>
        <w:tc>
          <w:tcPr>
            <w:tcW w:w="2960" w:type="dxa"/>
            <w:vAlign w:val="center"/>
          </w:tcPr>
          <w:p w:rsidR="00272746" w:rsidRPr="00127E29" w:rsidRDefault="00127E29" w:rsidP="00D6554F">
            <w:pPr>
              <w:pStyle w:val="NoSpacing"/>
              <w:jc w:val="center"/>
              <w:rPr>
                <w:rFonts w:ascii="Arial" w:hAnsi="Arial" w:cs="Arial"/>
                <w:sz w:val="20"/>
                <w:szCs w:val="20"/>
              </w:rPr>
            </w:pPr>
            <w:r w:rsidRPr="00127E29">
              <w:rPr>
                <w:rFonts w:ascii="Arial" w:hAnsi="Arial" w:cs="Arial"/>
                <w:sz w:val="20"/>
                <w:szCs w:val="20"/>
              </w:rPr>
              <w:t>1</w:t>
            </w:r>
          </w:p>
        </w:tc>
      </w:tr>
      <w:tr w:rsidR="008A1E43" w:rsidRPr="00127E29" w:rsidTr="00D6554F">
        <w:tc>
          <w:tcPr>
            <w:tcW w:w="3410" w:type="dxa"/>
            <w:vAlign w:val="center"/>
          </w:tcPr>
          <w:p w:rsidR="008A1E43" w:rsidRPr="00127E29" w:rsidRDefault="008A1E43" w:rsidP="001B7F23">
            <w:pPr>
              <w:pStyle w:val="NoSpacing"/>
              <w:rPr>
                <w:rFonts w:ascii="Arial" w:hAnsi="Arial" w:cs="Arial"/>
                <w:sz w:val="20"/>
                <w:szCs w:val="20"/>
              </w:rPr>
            </w:pPr>
            <w:r w:rsidRPr="00127E29">
              <w:rPr>
                <w:rFonts w:ascii="Arial" w:hAnsi="Arial" w:cs="Arial"/>
                <w:sz w:val="20"/>
                <w:szCs w:val="20"/>
              </w:rPr>
              <w:t>Urinary tract infection</w:t>
            </w:r>
          </w:p>
        </w:tc>
        <w:tc>
          <w:tcPr>
            <w:tcW w:w="3080" w:type="dxa"/>
            <w:vAlign w:val="center"/>
          </w:tcPr>
          <w:p w:rsidR="008A1E43" w:rsidRPr="00127E29" w:rsidRDefault="00127E29" w:rsidP="00D6554F">
            <w:pPr>
              <w:pStyle w:val="NoSpacing"/>
              <w:jc w:val="center"/>
              <w:rPr>
                <w:rFonts w:ascii="Arial" w:hAnsi="Arial" w:cs="Arial"/>
                <w:sz w:val="20"/>
                <w:szCs w:val="20"/>
              </w:rPr>
            </w:pPr>
            <w:r w:rsidRPr="00127E29">
              <w:rPr>
                <w:rFonts w:ascii="Arial" w:hAnsi="Arial" w:cs="Arial"/>
                <w:sz w:val="20"/>
                <w:szCs w:val="20"/>
              </w:rPr>
              <w:t>1 to 5</w:t>
            </w:r>
          </w:p>
        </w:tc>
        <w:tc>
          <w:tcPr>
            <w:tcW w:w="2960" w:type="dxa"/>
            <w:vAlign w:val="center"/>
          </w:tcPr>
          <w:p w:rsidR="008A1E43" w:rsidRPr="00127E29" w:rsidRDefault="00127E29" w:rsidP="00D6554F">
            <w:pPr>
              <w:pStyle w:val="NoSpacing"/>
              <w:jc w:val="center"/>
              <w:rPr>
                <w:rFonts w:ascii="Arial" w:hAnsi="Arial" w:cs="Arial"/>
                <w:sz w:val="20"/>
                <w:szCs w:val="20"/>
              </w:rPr>
            </w:pPr>
            <w:r w:rsidRPr="00127E29">
              <w:rPr>
                <w:rFonts w:ascii="Arial" w:hAnsi="Arial" w:cs="Arial"/>
                <w:sz w:val="20"/>
                <w:szCs w:val="20"/>
              </w:rPr>
              <w:t>2</w:t>
            </w:r>
          </w:p>
        </w:tc>
      </w:tr>
      <w:tr w:rsidR="008A1E43" w:rsidRPr="00127E29" w:rsidTr="00D6554F">
        <w:tc>
          <w:tcPr>
            <w:tcW w:w="3410" w:type="dxa"/>
            <w:vAlign w:val="center"/>
          </w:tcPr>
          <w:p w:rsidR="008A1E43" w:rsidRPr="00127E29" w:rsidRDefault="008A1E43" w:rsidP="001B7F23">
            <w:pPr>
              <w:pStyle w:val="NoSpacing"/>
              <w:rPr>
                <w:rFonts w:ascii="Arial" w:hAnsi="Arial" w:cs="Arial"/>
                <w:sz w:val="20"/>
                <w:szCs w:val="20"/>
              </w:rPr>
            </w:pPr>
            <w:r w:rsidRPr="00127E29">
              <w:rPr>
                <w:rFonts w:ascii="Arial" w:hAnsi="Arial" w:cs="Arial"/>
                <w:sz w:val="20"/>
                <w:szCs w:val="20"/>
              </w:rPr>
              <w:t>Back pain</w:t>
            </w:r>
          </w:p>
        </w:tc>
        <w:tc>
          <w:tcPr>
            <w:tcW w:w="3080" w:type="dxa"/>
            <w:vAlign w:val="center"/>
          </w:tcPr>
          <w:p w:rsidR="008A1E43" w:rsidRPr="00127E29" w:rsidRDefault="00127E29" w:rsidP="00D6554F">
            <w:pPr>
              <w:pStyle w:val="NoSpacing"/>
              <w:jc w:val="center"/>
              <w:rPr>
                <w:rFonts w:ascii="Arial" w:hAnsi="Arial" w:cs="Arial"/>
                <w:sz w:val="20"/>
                <w:szCs w:val="20"/>
              </w:rPr>
            </w:pPr>
            <w:r w:rsidRPr="00127E29">
              <w:rPr>
                <w:rFonts w:ascii="Arial" w:hAnsi="Arial" w:cs="Arial"/>
                <w:sz w:val="20"/>
                <w:szCs w:val="20"/>
              </w:rPr>
              <w:t>1 to 4</w:t>
            </w:r>
          </w:p>
        </w:tc>
        <w:tc>
          <w:tcPr>
            <w:tcW w:w="2960" w:type="dxa"/>
            <w:vAlign w:val="center"/>
          </w:tcPr>
          <w:p w:rsidR="008A1E43" w:rsidRPr="00127E29" w:rsidRDefault="00127E29" w:rsidP="00D6554F">
            <w:pPr>
              <w:pStyle w:val="NoSpacing"/>
              <w:jc w:val="center"/>
              <w:rPr>
                <w:rFonts w:ascii="Arial" w:hAnsi="Arial" w:cs="Arial"/>
                <w:sz w:val="20"/>
                <w:szCs w:val="20"/>
              </w:rPr>
            </w:pPr>
            <w:r w:rsidRPr="00127E29">
              <w:rPr>
                <w:rFonts w:ascii="Arial" w:hAnsi="Arial" w:cs="Arial"/>
                <w:sz w:val="20"/>
                <w:szCs w:val="20"/>
              </w:rPr>
              <w:t>3</w:t>
            </w:r>
          </w:p>
        </w:tc>
      </w:tr>
      <w:tr w:rsidR="008A1E43" w:rsidRPr="00127E29" w:rsidTr="00D6554F">
        <w:tc>
          <w:tcPr>
            <w:tcW w:w="3410" w:type="dxa"/>
            <w:vAlign w:val="center"/>
          </w:tcPr>
          <w:p w:rsidR="008A1E43" w:rsidRPr="00127E29" w:rsidRDefault="008A1E43" w:rsidP="001B7F23">
            <w:pPr>
              <w:pStyle w:val="NoSpacing"/>
              <w:rPr>
                <w:rFonts w:ascii="Arial" w:hAnsi="Arial" w:cs="Arial"/>
                <w:sz w:val="20"/>
                <w:szCs w:val="20"/>
              </w:rPr>
            </w:pPr>
            <w:r w:rsidRPr="00127E29">
              <w:rPr>
                <w:rFonts w:ascii="Arial" w:hAnsi="Arial" w:cs="Arial"/>
                <w:sz w:val="20"/>
                <w:szCs w:val="20"/>
              </w:rPr>
              <w:t>Tremor</w:t>
            </w:r>
          </w:p>
        </w:tc>
        <w:tc>
          <w:tcPr>
            <w:tcW w:w="3080" w:type="dxa"/>
            <w:vAlign w:val="center"/>
          </w:tcPr>
          <w:p w:rsidR="008A1E43" w:rsidRPr="00127E29" w:rsidRDefault="00127E29" w:rsidP="00D6554F">
            <w:pPr>
              <w:pStyle w:val="NoSpacing"/>
              <w:jc w:val="center"/>
              <w:rPr>
                <w:rFonts w:ascii="Arial" w:hAnsi="Arial" w:cs="Arial"/>
                <w:sz w:val="20"/>
                <w:szCs w:val="20"/>
              </w:rPr>
            </w:pPr>
            <w:r w:rsidRPr="00127E29">
              <w:rPr>
                <w:rFonts w:ascii="Arial" w:hAnsi="Arial" w:cs="Arial"/>
                <w:sz w:val="20"/>
                <w:szCs w:val="20"/>
              </w:rPr>
              <w:t>0 to 3</w:t>
            </w:r>
          </w:p>
        </w:tc>
        <w:tc>
          <w:tcPr>
            <w:tcW w:w="2960" w:type="dxa"/>
            <w:vAlign w:val="center"/>
          </w:tcPr>
          <w:p w:rsidR="008A1E43" w:rsidRPr="00127E29" w:rsidRDefault="00127E29" w:rsidP="00D6554F">
            <w:pPr>
              <w:pStyle w:val="NoSpacing"/>
              <w:jc w:val="center"/>
              <w:rPr>
                <w:rFonts w:ascii="Arial" w:hAnsi="Arial" w:cs="Arial"/>
                <w:sz w:val="20"/>
                <w:szCs w:val="20"/>
              </w:rPr>
            </w:pPr>
            <w:r w:rsidRPr="00127E29">
              <w:rPr>
                <w:rFonts w:ascii="Arial" w:hAnsi="Arial" w:cs="Arial"/>
                <w:sz w:val="20"/>
                <w:szCs w:val="20"/>
              </w:rPr>
              <w:t>1</w:t>
            </w:r>
          </w:p>
        </w:tc>
      </w:tr>
    </w:tbl>
    <w:p w:rsidR="0083476D" w:rsidRPr="00083D63" w:rsidRDefault="0083476D" w:rsidP="004920E8">
      <w:pPr>
        <w:pStyle w:val="NoSpacing"/>
        <w:rPr>
          <w:rFonts w:ascii="Arial" w:hAnsi="Arial" w:cs="Arial"/>
          <w:b/>
          <w:sz w:val="20"/>
          <w:szCs w:val="20"/>
          <w:highlight w:val="yellow"/>
          <w:u w:val="single"/>
        </w:rPr>
      </w:pPr>
      <w:bookmarkStart w:id="5" w:name="ContraindicationsandWarningsPrecautions"/>
      <w:bookmarkEnd w:id="5"/>
    </w:p>
    <w:p w:rsidR="00070D57" w:rsidRPr="008D034B" w:rsidRDefault="00DD0F1A" w:rsidP="004920E8">
      <w:pPr>
        <w:pStyle w:val="NoSpacing"/>
        <w:rPr>
          <w:rFonts w:ascii="Arial" w:hAnsi="Arial" w:cs="Arial"/>
          <w:b/>
          <w:sz w:val="20"/>
          <w:szCs w:val="20"/>
          <w:u w:val="single"/>
        </w:rPr>
      </w:pPr>
      <w:bookmarkStart w:id="6" w:name="DrugInteractions"/>
      <w:r w:rsidRPr="008D034B">
        <w:rPr>
          <w:rFonts w:ascii="Arial" w:hAnsi="Arial" w:cs="Arial"/>
          <w:b/>
          <w:sz w:val="20"/>
          <w:szCs w:val="20"/>
          <w:u w:val="single"/>
        </w:rPr>
        <w:t>Drug Interactions</w:t>
      </w:r>
      <w:bookmarkEnd w:id="6"/>
    </w:p>
    <w:p w:rsidR="005C66A8" w:rsidRPr="00083D63" w:rsidRDefault="005C66A8" w:rsidP="004920E8">
      <w:pPr>
        <w:pStyle w:val="NoSpacing"/>
        <w:rPr>
          <w:rFonts w:ascii="Arial" w:hAnsi="Arial" w:cs="Arial"/>
          <w:sz w:val="20"/>
          <w:szCs w:val="20"/>
          <w:highlight w:val="yellow"/>
        </w:rPr>
      </w:pPr>
    </w:p>
    <w:p w:rsidR="004920E8" w:rsidRPr="00083D63" w:rsidRDefault="004920E8" w:rsidP="004920E8">
      <w:pPr>
        <w:pStyle w:val="NoSpacing"/>
        <w:rPr>
          <w:rFonts w:ascii="Arial" w:hAnsi="Arial" w:cs="Arial"/>
          <w:sz w:val="20"/>
          <w:szCs w:val="20"/>
          <w:highlight w:val="yellow"/>
        </w:rPr>
      </w:pPr>
      <w:r w:rsidRPr="008D034B">
        <w:rPr>
          <w:rFonts w:ascii="Arial" w:hAnsi="Arial" w:cs="Arial"/>
          <w:b/>
          <w:sz w:val="20"/>
          <w:szCs w:val="20"/>
        </w:rPr>
        <w:t xml:space="preserve">Table </w:t>
      </w:r>
      <w:r w:rsidR="00AE5B18" w:rsidRPr="008D034B">
        <w:rPr>
          <w:rFonts w:ascii="Arial" w:hAnsi="Arial" w:cs="Arial"/>
          <w:b/>
          <w:sz w:val="20"/>
          <w:szCs w:val="20"/>
        </w:rPr>
        <w:t>11</w:t>
      </w:r>
      <w:r w:rsidRPr="008D034B">
        <w:rPr>
          <w:rFonts w:ascii="Arial" w:hAnsi="Arial" w:cs="Arial"/>
          <w:b/>
          <w:sz w:val="20"/>
          <w:szCs w:val="20"/>
        </w:rPr>
        <w:t>. Drug Interactions</w:t>
      </w:r>
      <w:r w:rsidR="00041FC8" w:rsidRPr="008D034B">
        <w:rPr>
          <w:rFonts w:ascii="Arial" w:hAnsi="Arial" w:cs="Arial"/>
          <w:sz w:val="20"/>
          <w:szCs w:val="20"/>
          <w:vertAlign w:val="superscript"/>
        </w:rPr>
        <w:t>1</w:t>
      </w:r>
      <w:r w:rsidR="00041FC8" w:rsidRPr="008D5BFA">
        <w:rPr>
          <w:rFonts w:ascii="Arial" w:hAnsi="Arial" w:cs="Arial"/>
          <w:sz w:val="20"/>
          <w:szCs w:val="20"/>
          <w:vertAlign w:val="superscript"/>
        </w:rPr>
        <w:t>,</w:t>
      </w:r>
      <w:r w:rsidR="008F6A10">
        <w:rPr>
          <w:rFonts w:ascii="Arial" w:hAnsi="Arial" w:cs="Arial"/>
          <w:sz w:val="20"/>
          <w:szCs w:val="20"/>
          <w:vertAlign w:val="superscript"/>
        </w:rPr>
        <w:t>10</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1260"/>
        <w:gridCol w:w="5958"/>
      </w:tblGrid>
      <w:tr w:rsidR="00041FC8" w:rsidRPr="00083D63" w:rsidTr="0094351F">
        <w:trPr>
          <w:tblHeader/>
        </w:trPr>
        <w:tc>
          <w:tcPr>
            <w:tcW w:w="2250" w:type="dxa"/>
            <w:shd w:val="clear" w:color="auto" w:fill="C0C0C0"/>
            <w:vAlign w:val="center"/>
          </w:tcPr>
          <w:p w:rsidR="00D4190C" w:rsidRPr="008D034B" w:rsidRDefault="00D4190C" w:rsidP="00D6554F">
            <w:pPr>
              <w:pStyle w:val="NoSpacing"/>
              <w:jc w:val="center"/>
              <w:rPr>
                <w:rFonts w:ascii="Arial" w:hAnsi="Arial" w:cs="Arial"/>
                <w:b/>
                <w:sz w:val="20"/>
                <w:szCs w:val="20"/>
              </w:rPr>
            </w:pPr>
            <w:r w:rsidRPr="008D034B">
              <w:rPr>
                <w:rFonts w:ascii="Arial" w:hAnsi="Arial" w:cs="Arial"/>
                <w:b/>
                <w:sz w:val="20"/>
                <w:szCs w:val="20"/>
              </w:rPr>
              <w:t>Interacting Medication or Disease</w:t>
            </w:r>
          </w:p>
        </w:tc>
        <w:tc>
          <w:tcPr>
            <w:tcW w:w="1260" w:type="dxa"/>
            <w:shd w:val="clear" w:color="auto" w:fill="C0C0C0"/>
            <w:vAlign w:val="center"/>
          </w:tcPr>
          <w:p w:rsidR="00D4190C" w:rsidRPr="008D034B" w:rsidRDefault="00D4190C" w:rsidP="00041FC8">
            <w:pPr>
              <w:pStyle w:val="NoSpacing"/>
              <w:jc w:val="center"/>
              <w:rPr>
                <w:rFonts w:ascii="Arial" w:hAnsi="Arial" w:cs="Arial"/>
                <w:b/>
                <w:sz w:val="20"/>
                <w:szCs w:val="20"/>
              </w:rPr>
            </w:pPr>
            <w:r w:rsidRPr="008D034B">
              <w:rPr>
                <w:rFonts w:ascii="Arial" w:hAnsi="Arial" w:cs="Arial"/>
                <w:b/>
                <w:sz w:val="20"/>
                <w:szCs w:val="20"/>
              </w:rPr>
              <w:t>Interaction Severity Rating*</w:t>
            </w:r>
          </w:p>
        </w:tc>
        <w:tc>
          <w:tcPr>
            <w:tcW w:w="5958" w:type="dxa"/>
            <w:shd w:val="clear" w:color="auto" w:fill="C0C0C0"/>
            <w:vAlign w:val="center"/>
          </w:tcPr>
          <w:p w:rsidR="00D4190C" w:rsidRPr="008D034B" w:rsidRDefault="00D4190C" w:rsidP="00D6554F">
            <w:pPr>
              <w:pStyle w:val="NoSpacing"/>
              <w:jc w:val="center"/>
              <w:rPr>
                <w:rFonts w:ascii="Arial" w:hAnsi="Arial" w:cs="Arial"/>
                <w:b/>
                <w:sz w:val="20"/>
                <w:szCs w:val="20"/>
              </w:rPr>
            </w:pPr>
            <w:r w:rsidRPr="008D034B">
              <w:rPr>
                <w:rFonts w:ascii="Arial" w:hAnsi="Arial" w:cs="Arial"/>
                <w:b/>
                <w:sz w:val="20"/>
                <w:szCs w:val="20"/>
              </w:rPr>
              <w:t>Potential Result</w:t>
            </w:r>
          </w:p>
        </w:tc>
      </w:tr>
      <w:tr w:rsidR="00041FC8" w:rsidRPr="00083D63" w:rsidTr="0094351F">
        <w:tc>
          <w:tcPr>
            <w:tcW w:w="2250" w:type="dxa"/>
            <w:vAlign w:val="center"/>
          </w:tcPr>
          <w:p w:rsidR="00830201" w:rsidRPr="008D034B" w:rsidRDefault="00041FC8" w:rsidP="00830201">
            <w:pPr>
              <w:pStyle w:val="NoSpacing"/>
              <w:rPr>
                <w:rFonts w:ascii="Arial" w:hAnsi="Arial" w:cs="Arial"/>
                <w:sz w:val="20"/>
                <w:szCs w:val="20"/>
              </w:rPr>
            </w:pPr>
            <w:r w:rsidRPr="008D034B">
              <w:rPr>
                <w:rFonts w:ascii="Arial" w:hAnsi="Arial" w:cs="Arial"/>
                <w:sz w:val="20"/>
                <w:szCs w:val="20"/>
              </w:rPr>
              <w:t>CYP3A4 Inducers</w:t>
            </w:r>
          </w:p>
        </w:tc>
        <w:tc>
          <w:tcPr>
            <w:tcW w:w="1260" w:type="dxa"/>
            <w:vAlign w:val="center"/>
          </w:tcPr>
          <w:p w:rsidR="00830201" w:rsidRPr="008D034B" w:rsidRDefault="00041FC8" w:rsidP="00041FC8">
            <w:pPr>
              <w:pStyle w:val="NoSpacing"/>
              <w:jc w:val="center"/>
              <w:rPr>
                <w:rFonts w:ascii="Arial" w:hAnsi="Arial" w:cs="Arial"/>
                <w:sz w:val="20"/>
                <w:szCs w:val="20"/>
              </w:rPr>
            </w:pPr>
            <w:r w:rsidRPr="008D034B">
              <w:rPr>
                <w:rFonts w:ascii="Arial" w:hAnsi="Arial" w:cs="Arial"/>
                <w:sz w:val="20"/>
                <w:szCs w:val="20"/>
              </w:rPr>
              <w:t>Major</w:t>
            </w:r>
          </w:p>
        </w:tc>
        <w:tc>
          <w:tcPr>
            <w:tcW w:w="5958" w:type="dxa"/>
          </w:tcPr>
          <w:p w:rsidR="00830201" w:rsidRPr="008D034B" w:rsidRDefault="00041FC8" w:rsidP="001B35F6">
            <w:pPr>
              <w:pStyle w:val="NoSpacing"/>
              <w:rPr>
                <w:rFonts w:ascii="Arial" w:hAnsi="Arial" w:cs="Arial"/>
                <w:sz w:val="20"/>
                <w:szCs w:val="20"/>
              </w:rPr>
            </w:pPr>
            <w:r w:rsidRPr="008D034B">
              <w:rPr>
                <w:rFonts w:ascii="Arial" w:hAnsi="Arial" w:cs="Arial"/>
                <w:sz w:val="20"/>
                <w:szCs w:val="20"/>
              </w:rPr>
              <w:t>CYP3A4 inducers may induce the metabolism of hydrocodone resulting in increased clearance of hydrocodone and lower plasma concentrations of hydrocodone. This may result in lack of efficacy or possibly withdrawal syndrome. Monitor for signs of opioid withdrawal and consider dose adjustments until stable drug effects are achieved.</w:t>
            </w:r>
          </w:p>
        </w:tc>
      </w:tr>
      <w:tr w:rsidR="00041FC8" w:rsidRPr="00083D63" w:rsidTr="0094351F">
        <w:tc>
          <w:tcPr>
            <w:tcW w:w="2250" w:type="dxa"/>
            <w:vAlign w:val="center"/>
          </w:tcPr>
          <w:p w:rsidR="00830201" w:rsidRPr="008D034B" w:rsidRDefault="00041FC8" w:rsidP="00041FC8">
            <w:pPr>
              <w:pStyle w:val="NoSpacing"/>
              <w:rPr>
                <w:rFonts w:ascii="Arial" w:hAnsi="Arial" w:cs="Arial"/>
                <w:sz w:val="20"/>
                <w:szCs w:val="20"/>
              </w:rPr>
            </w:pPr>
            <w:r w:rsidRPr="008D034B">
              <w:rPr>
                <w:rFonts w:ascii="Arial" w:hAnsi="Arial" w:cs="Arial"/>
                <w:sz w:val="20"/>
                <w:szCs w:val="20"/>
              </w:rPr>
              <w:t>CYP3A4 Inhibitors</w:t>
            </w:r>
          </w:p>
        </w:tc>
        <w:tc>
          <w:tcPr>
            <w:tcW w:w="1260" w:type="dxa"/>
            <w:vAlign w:val="center"/>
          </w:tcPr>
          <w:p w:rsidR="00830201" w:rsidRPr="008D034B" w:rsidRDefault="00041FC8" w:rsidP="00041FC8">
            <w:pPr>
              <w:pStyle w:val="NoSpacing"/>
              <w:jc w:val="center"/>
              <w:rPr>
                <w:rFonts w:ascii="Arial" w:hAnsi="Arial" w:cs="Arial"/>
                <w:sz w:val="20"/>
                <w:szCs w:val="20"/>
              </w:rPr>
            </w:pPr>
            <w:r w:rsidRPr="008D034B">
              <w:rPr>
                <w:rFonts w:ascii="Arial" w:hAnsi="Arial" w:cs="Arial"/>
                <w:sz w:val="20"/>
                <w:szCs w:val="20"/>
              </w:rPr>
              <w:t>Major</w:t>
            </w:r>
          </w:p>
        </w:tc>
        <w:tc>
          <w:tcPr>
            <w:tcW w:w="5958" w:type="dxa"/>
            <w:vAlign w:val="center"/>
          </w:tcPr>
          <w:p w:rsidR="00830201" w:rsidRPr="008D034B" w:rsidRDefault="0094351F" w:rsidP="001B35F6">
            <w:pPr>
              <w:pStyle w:val="NoSpacing"/>
              <w:rPr>
                <w:rFonts w:ascii="Arial" w:hAnsi="Arial" w:cs="Arial"/>
                <w:sz w:val="20"/>
                <w:szCs w:val="20"/>
              </w:rPr>
            </w:pPr>
            <w:r w:rsidRPr="008D034B">
              <w:rPr>
                <w:rFonts w:ascii="Arial" w:hAnsi="Arial" w:cs="Arial"/>
                <w:sz w:val="20"/>
                <w:szCs w:val="20"/>
              </w:rPr>
              <w:t>CYP3A4 inhibitors such as macrolide antibiotics, azole-antifungals and protease inhibitors may inhibit the metabolism of hydrocodone, resulting in increased plasma concentrations of hydrocodone and prolonged opioid effects. When concomitant administration of CYP3A4 inhibitors and hydrocodone is necessary, patients should be evaluated at frequent intervals and dose adjustments should be considered until stable drug effects are achieved.</w:t>
            </w:r>
          </w:p>
        </w:tc>
      </w:tr>
      <w:tr w:rsidR="00041FC8" w:rsidRPr="00083D63" w:rsidTr="0094351F">
        <w:tc>
          <w:tcPr>
            <w:tcW w:w="2250" w:type="dxa"/>
            <w:vAlign w:val="center"/>
          </w:tcPr>
          <w:p w:rsidR="00041FC8" w:rsidRPr="008D034B" w:rsidRDefault="00373B99" w:rsidP="00041FC8">
            <w:pPr>
              <w:pStyle w:val="NoSpacing"/>
              <w:rPr>
                <w:rFonts w:ascii="Arial" w:hAnsi="Arial" w:cs="Arial"/>
                <w:sz w:val="20"/>
                <w:szCs w:val="20"/>
              </w:rPr>
            </w:pPr>
            <w:r w:rsidRPr="008D034B">
              <w:rPr>
                <w:rFonts w:ascii="Arial" w:hAnsi="Arial" w:cs="Arial"/>
                <w:sz w:val="20"/>
                <w:szCs w:val="20"/>
              </w:rPr>
              <w:t>Central Nervous System (</w:t>
            </w:r>
            <w:r w:rsidR="0094351F" w:rsidRPr="008D034B">
              <w:rPr>
                <w:rFonts w:ascii="Arial" w:hAnsi="Arial" w:cs="Arial"/>
                <w:sz w:val="20"/>
                <w:szCs w:val="20"/>
              </w:rPr>
              <w:t>CNS</w:t>
            </w:r>
            <w:r w:rsidRPr="008D034B">
              <w:rPr>
                <w:rFonts w:ascii="Arial" w:hAnsi="Arial" w:cs="Arial"/>
                <w:sz w:val="20"/>
                <w:szCs w:val="20"/>
              </w:rPr>
              <w:t>)</w:t>
            </w:r>
            <w:r w:rsidR="0094351F" w:rsidRPr="008D034B">
              <w:rPr>
                <w:rFonts w:ascii="Arial" w:hAnsi="Arial" w:cs="Arial"/>
                <w:sz w:val="20"/>
                <w:szCs w:val="20"/>
              </w:rPr>
              <w:t xml:space="preserve"> Depressants</w:t>
            </w:r>
          </w:p>
        </w:tc>
        <w:tc>
          <w:tcPr>
            <w:tcW w:w="1260" w:type="dxa"/>
            <w:vAlign w:val="center"/>
          </w:tcPr>
          <w:p w:rsidR="00041FC8" w:rsidRPr="008D034B" w:rsidRDefault="0094351F" w:rsidP="00041FC8">
            <w:pPr>
              <w:pStyle w:val="NoSpacing"/>
              <w:jc w:val="center"/>
              <w:rPr>
                <w:rFonts w:ascii="Arial" w:hAnsi="Arial" w:cs="Arial"/>
                <w:sz w:val="20"/>
                <w:szCs w:val="20"/>
              </w:rPr>
            </w:pPr>
            <w:r w:rsidRPr="008D034B">
              <w:rPr>
                <w:rFonts w:ascii="Arial" w:hAnsi="Arial" w:cs="Arial"/>
                <w:sz w:val="20"/>
                <w:szCs w:val="20"/>
              </w:rPr>
              <w:t>Major</w:t>
            </w:r>
          </w:p>
        </w:tc>
        <w:tc>
          <w:tcPr>
            <w:tcW w:w="5958" w:type="dxa"/>
            <w:vAlign w:val="center"/>
          </w:tcPr>
          <w:p w:rsidR="00041FC8" w:rsidRPr="008D034B" w:rsidRDefault="0094351F" w:rsidP="001B35F6">
            <w:pPr>
              <w:pStyle w:val="NoSpacing"/>
              <w:rPr>
                <w:rFonts w:ascii="Arial" w:hAnsi="Arial" w:cs="Arial"/>
                <w:sz w:val="20"/>
                <w:szCs w:val="20"/>
              </w:rPr>
            </w:pPr>
            <w:r w:rsidRPr="008D034B">
              <w:rPr>
                <w:rFonts w:ascii="Arial" w:hAnsi="Arial" w:cs="Arial"/>
                <w:sz w:val="20"/>
                <w:szCs w:val="20"/>
              </w:rPr>
              <w:t>Concomitant administration of hydrocodone with other CNS depressants can increase the risk of respiratory depression, profound sedation, coma and death. Monitor patients receiving concomitant CNS depressants for signs of respiratory depression, sedation and hypotension. When using hydrocodone and another CNS depressant, the dose of one or both agents should be reduced.</w:t>
            </w:r>
          </w:p>
        </w:tc>
      </w:tr>
      <w:tr w:rsidR="00041FC8" w:rsidRPr="00083D63" w:rsidTr="0094351F">
        <w:tc>
          <w:tcPr>
            <w:tcW w:w="2250" w:type="dxa"/>
            <w:vAlign w:val="center"/>
          </w:tcPr>
          <w:p w:rsidR="00041FC8" w:rsidRPr="008D034B" w:rsidRDefault="0094351F" w:rsidP="00041FC8">
            <w:pPr>
              <w:pStyle w:val="NoSpacing"/>
              <w:rPr>
                <w:rFonts w:ascii="Arial" w:hAnsi="Arial" w:cs="Arial"/>
                <w:sz w:val="20"/>
                <w:szCs w:val="20"/>
              </w:rPr>
            </w:pPr>
            <w:r w:rsidRPr="008D034B">
              <w:rPr>
                <w:rFonts w:ascii="Arial" w:hAnsi="Arial" w:cs="Arial"/>
                <w:sz w:val="20"/>
                <w:szCs w:val="20"/>
              </w:rPr>
              <w:t>Mixed Agonist/Antagonist and Partial Agonist Opioids</w:t>
            </w:r>
          </w:p>
        </w:tc>
        <w:tc>
          <w:tcPr>
            <w:tcW w:w="1260" w:type="dxa"/>
            <w:vAlign w:val="center"/>
          </w:tcPr>
          <w:p w:rsidR="00041FC8" w:rsidRPr="008D034B" w:rsidRDefault="0094351F" w:rsidP="00041FC8">
            <w:pPr>
              <w:pStyle w:val="NoSpacing"/>
              <w:jc w:val="center"/>
              <w:rPr>
                <w:rFonts w:ascii="Arial" w:hAnsi="Arial" w:cs="Arial"/>
                <w:sz w:val="20"/>
                <w:szCs w:val="20"/>
              </w:rPr>
            </w:pPr>
            <w:r w:rsidRPr="008D034B">
              <w:rPr>
                <w:rFonts w:ascii="Arial" w:hAnsi="Arial" w:cs="Arial"/>
                <w:sz w:val="20"/>
                <w:szCs w:val="20"/>
              </w:rPr>
              <w:t>Major</w:t>
            </w:r>
          </w:p>
        </w:tc>
        <w:tc>
          <w:tcPr>
            <w:tcW w:w="5958" w:type="dxa"/>
            <w:vAlign w:val="center"/>
          </w:tcPr>
          <w:p w:rsidR="00041FC8" w:rsidRPr="008D034B" w:rsidRDefault="00DC23AF" w:rsidP="001B35F6">
            <w:pPr>
              <w:pStyle w:val="NoSpacing"/>
              <w:rPr>
                <w:rFonts w:ascii="Arial" w:hAnsi="Arial" w:cs="Arial"/>
                <w:sz w:val="20"/>
                <w:szCs w:val="20"/>
              </w:rPr>
            </w:pPr>
            <w:r w:rsidRPr="008D034B">
              <w:rPr>
                <w:rFonts w:ascii="Arial" w:hAnsi="Arial" w:cs="Arial"/>
                <w:sz w:val="20"/>
                <w:szCs w:val="20"/>
              </w:rPr>
              <w:t>Mixed agonist/antagonist and partial agonist opioid analgesics may reduce the analgesic effect of hydrocodone or precipitate withdrawal symptoms. The concomitant use of mixed agonist/antagonist or partial opioid agonist analgesics with hydrocodone should be avoided.</w:t>
            </w:r>
          </w:p>
        </w:tc>
      </w:tr>
      <w:tr w:rsidR="00041FC8" w:rsidRPr="00083D63" w:rsidTr="0094351F">
        <w:tc>
          <w:tcPr>
            <w:tcW w:w="2250" w:type="dxa"/>
            <w:vAlign w:val="center"/>
          </w:tcPr>
          <w:p w:rsidR="00041FC8" w:rsidRPr="008D034B" w:rsidRDefault="00373B99" w:rsidP="00041FC8">
            <w:pPr>
              <w:pStyle w:val="NoSpacing"/>
              <w:rPr>
                <w:rFonts w:ascii="Arial" w:hAnsi="Arial" w:cs="Arial"/>
                <w:sz w:val="20"/>
                <w:szCs w:val="20"/>
              </w:rPr>
            </w:pPr>
            <w:r w:rsidRPr="008D034B">
              <w:rPr>
                <w:rFonts w:ascii="Arial" w:hAnsi="Arial" w:cs="Arial"/>
                <w:sz w:val="20"/>
                <w:szCs w:val="20"/>
              </w:rPr>
              <w:t>Monoamine oxidase inhibitors (</w:t>
            </w:r>
            <w:r w:rsidR="00DC23AF" w:rsidRPr="008D034B">
              <w:rPr>
                <w:rFonts w:ascii="Arial" w:hAnsi="Arial" w:cs="Arial"/>
                <w:sz w:val="20"/>
                <w:szCs w:val="20"/>
              </w:rPr>
              <w:t>MAOIs</w:t>
            </w:r>
            <w:r w:rsidRPr="008D034B">
              <w:rPr>
                <w:rFonts w:ascii="Arial" w:hAnsi="Arial" w:cs="Arial"/>
                <w:sz w:val="20"/>
                <w:szCs w:val="20"/>
              </w:rPr>
              <w:t>)</w:t>
            </w:r>
          </w:p>
        </w:tc>
        <w:tc>
          <w:tcPr>
            <w:tcW w:w="1260" w:type="dxa"/>
            <w:vAlign w:val="center"/>
          </w:tcPr>
          <w:p w:rsidR="00041FC8" w:rsidRPr="008D034B" w:rsidRDefault="00DC23AF" w:rsidP="00041FC8">
            <w:pPr>
              <w:pStyle w:val="NoSpacing"/>
              <w:jc w:val="center"/>
              <w:rPr>
                <w:rFonts w:ascii="Arial" w:hAnsi="Arial" w:cs="Arial"/>
                <w:sz w:val="20"/>
                <w:szCs w:val="20"/>
              </w:rPr>
            </w:pPr>
            <w:r w:rsidRPr="008D034B">
              <w:rPr>
                <w:rFonts w:ascii="Arial" w:hAnsi="Arial" w:cs="Arial"/>
                <w:sz w:val="20"/>
                <w:szCs w:val="20"/>
              </w:rPr>
              <w:t>Major</w:t>
            </w:r>
          </w:p>
        </w:tc>
        <w:tc>
          <w:tcPr>
            <w:tcW w:w="5958" w:type="dxa"/>
            <w:vAlign w:val="center"/>
          </w:tcPr>
          <w:p w:rsidR="00041FC8" w:rsidRPr="008D034B" w:rsidRDefault="00DC23AF" w:rsidP="001B35F6">
            <w:pPr>
              <w:pStyle w:val="NoSpacing"/>
              <w:rPr>
                <w:rFonts w:ascii="Arial" w:hAnsi="Arial" w:cs="Arial"/>
                <w:sz w:val="20"/>
                <w:szCs w:val="20"/>
              </w:rPr>
            </w:pPr>
            <w:r w:rsidRPr="008D034B">
              <w:rPr>
                <w:rFonts w:ascii="Arial" w:hAnsi="Arial" w:cs="Arial"/>
                <w:sz w:val="20"/>
                <w:szCs w:val="20"/>
              </w:rPr>
              <w:t>Concomitant use of hydrocodone and MAOIs, or use of hydrocodone within 14 days of using an MAOI is not recommended due to severe and unpredictable potentiation by MAOIs has been reported with opioid analgesics.</w:t>
            </w:r>
          </w:p>
        </w:tc>
      </w:tr>
      <w:tr w:rsidR="00986EA2" w:rsidRPr="00083D63" w:rsidTr="0094351F">
        <w:tc>
          <w:tcPr>
            <w:tcW w:w="2250" w:type="dxa"/>
            <w:vAlign w:val="center"/>
          </w:tcPr>
          <w:p w:rsidR="00986EA2" w:rsidRPr="002C3594" w:rsidRDefault="00986EA2" w:rsidP="00041FC8">
            <w:pPr>
              <w:pStyle w:val="NoSpacing"/>
              <w:rPr>
                <w:rFonts w:ascii="Arial" w:hAnsi="Arial" w:cs="Arial"/>
                <w:sz w:val="20"/>
                <w:szCs w:val="20"/>
              </w:rPr>
            </w:pPr>
            <w:r>
              <w:rPr>
                <w:rFonts w:ascii="Arial" w:hAnsi="Arial" w:cs="Arial"/>
                <w:sz w:val="20"/>
                <w:szCs w:val="20"/>
              </w:rPr>
              <w:t>Escitalopram</w:t>
            </w:r>
          </w:p>
        </w:tc>
        <w:tc>
          <w:tcPr>
            <w:tcW w:w="1260" w:type="dxa"/>
            <w:vAlign w:val="center"/>
          </w:tcPr>
          <w:p w:rsidR="00986EA2" w:rsidRPr="002C3594" w:rsidRDefault="00986EA2" w:rsidP="00041FC8">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986EA2" w:rsidRPr="002C3594" w:rsidRDefault="00986EA2" w:rsidP="00986EA2">
            <w:pPr>
              <w:pStyle w:val="NoSpacing"/>
              <w:rPr>
                <w:rFonts w:ascii="Arial" w:hAnsi="Arial" w:cs="Arial"/>
                <w:sz w:val="20"/>
                <w:szCs w:val="20"/>
              </w:rPr>
            </w:pPr>
            <w:r>
              <w:rPr>
                <w:rFonts w:ascii="Arial" w:hAnsi="Arial" w:cs="Arial"/>
                <w:sz w:val="20"/>
                <w:szCs w:val="20"/>
              </w:rPr>
              <w:t>Concomitant use of hydrocodone and escitalopram may result in an increased risk of serotonin syndrome.</w:t>
            </w:r>
          </w:p>
        </w:tc>
      </w:tr>
      <w:tr w:rsidR="00455878" w:rsidRPr="00083D63" w:rsidTr="0094351F">
        <w:tc>
          <w:tcPr>
            <w:tcW w:w="2250" w:type="dxa"/>
            <w:vAlign w:val="center"/>
          </w:tcPr>
          <w:p w:rsidR="00455878" w:rsidRPr="002C3594" w:rsidRDefault="00455878" w:rsidP="00041FC8">
            <w:pPr>
              <w:pStyle w:val="NoSpacing"/>
              <w:rPr>
                <w:rFonts w:ascii="Arial" w:hAnsi="Arial" w:cs="Arial"/>
                <w:sz w:val="20"/>
                <w:szCs w:val="20"/>
              </w:rPr>
            </w:pPr>
            <w:r w:rsidRPr="002C3594">
              <w:rPr>
                <w:rFonts w:ascii="Arial" w:hAnsi="Arial" w:cs="Arial"/>
                <w:sz w:val="20"/>
                <w:szCs w:val="20"/>
              </w:rPr>
              <w:t>Kava</w:t>
            </w:r>
          </w:p>
        </w:tc>
        <w:tc>
          <w:tcPr>
            <w:tcW w:w="1260" w:type="dxa"/>
            <w:vAlign w:val="center"/>
          </w:tcPr>
          <w:p w:rsidR="00455878" w:rsidRPr="002C3594" w:rsidRDefault="00455878" w:rsidP="00041FC8">
            <w:pPr>
              <w:pStyle w:val="NoSpacing"/>
              <w:jc w:val="center"/>
              <w:rPr>
                <w:rFonts w:ascii="Arial" w:hAnsi="Arial" w:cs="Arial"/>
                <w:sz w:val="20"/>
                <w:szCs w:val="20"/>
              </w:rPr>
            </w:pPr>
            <w:r w:rsidRPr="002C3594">
              <w:rPr>
                <w:rFonts w:ascii="Arial" w:hAnsi="Arial" w:cs="Arial"/>
                <w:sz w:val="20"/>
                <w:szCs w:val="20"/>
              </w:rPr>
              <w:t>Moderate</w:t>
            </w:r>
          </w:p>
        </w:tc>
        <w:tc>
          <w:tcPr>
            <w:tcW w:w="5958" w:type="dxa"/>
            <w:vAlign w:val="center"/>
          </w:tcPr>
          <w:p w:rsidR="00455878" w:rsidRPr="002C3594" w:rsidRDefault="00455878" w:rsidP="001B35F6">
            <w:pPr>
              <w:pStyle w:val="NoSpacing"/>
              <w:rPr>
                <w:rFonts w:ascii="Arial" w:hAnsi="Arial" w:cs="Arial"/>
                <w:sz w:val="20"/>
                <w:szCs w:val="20"/>
              </w:rPr>
            </w:pPr>
            <w:r w:rsidRPr="002C3594">
              <w:rPr>
                <w:rFonts w:ascii="Arial" w:hAnsi="Arial" w:cs="Arial"/>
                <w:sz w:val="20"/>
                <w:szCs w:val="20"/>
              </w:rPr>
              <w:t xml:space="preserve">Concomitant use of </w:t>
            </w:r>
            <w:r w:rsidR="000B7311" w:rsidRPr="002C3594">
              <w:rPr>
                <w:rFonts w:ascii="Arial" w:hAnsi="Arial" w:cs="Arial"/>
                <w:sz w:val="20"/>
                <w:szCs w:val="20"/>
              </w:rPr>
              <w:t>hydrocodone with kava may result in increased CNS depression.</w:t>
            </w:r>
          </w:p>
        </w:tc>
      </w:tr>
      <w:tr w:rsidR="00455878" w:rsidRPr="00083D63" w:rsidTr="0094351F">
        <w:tc>
          <w:tcPr>
            <w:tcW w:w="2250" w:type="dxa"/>
            <w:vAlign w:val="center"/>
          </w:tcPr>
          <w:p w:rsidR="00455878" w:rsidRPr="002C3594" w:rsidRDefault="00455878" w:rsidP="00041FC8">
            <w:pPr>
              <w:pStyle w:val="NoSpacing"/>
              <w:rPr>
                <w:rFonts w:ascii="Arial" w:hAnsi="Arial" w:cs="Arial"/>
                <w:sz w:val="20"/>
                <w:szCs w:val="20"/>
              </w:rPr>
            </w:pPr>
            <w:r w:rsidRPr="002C3594">
              <w:rPr>
                <w:rFonts w:ascii="Arial" w:hAnsi="Arial" w:cs="Arial"/>
                <w:sz w:val="20"/>
                <w:szCs w:val="20"/>
              </w:rPr>
              <w:t>Ginseng</w:t>
            </w:r>
          </w:p>
        </w:tc>
        <w:tc>
          <w:tcPr>
            <w:tcW w:w="1260" w:type="dxa"/>
            <w:vAlign w:val="center"/>
          </w:tcPr>
          <w:p w:rsidR="00455878" w:rsidRPr="002C3594" w:rsidRDefault="00455878" w:rsidP="00041FC8">
            <w:pPr>
              <w:pStyle w:val="NoSpacing"/>
              <w:jc w:val="center"/>
              <w:rPr>
                <w:rFonts w:ascii="Arial" w:hAnsi="Arial" w:cs="Arial"/>
                <w:sz w:val="20"/>
                <w:szCs w:val="20"/>
              </w:rPr>
            </w:pPr>
            <w:r w:rsidRPr="002C3594">
              <w:rPr>
                <w:rFonts w:ascii="Arial" w:hAnsi="Arial" w:cs="Arial"/>
                <w:sz w:val="20"/>
                <w:szCs w:val="20"/>
              </w:rPr>
              <w:t>Moderate</w:t>
            </w:r>
          </w:p>
        </w:tc>
        <w:tc>
          <w:tcPr>
            <w:tcW w:w="5958" w:type="dxa"/>
            <w:vAlign w:val="center"/>
          </w:tcPr>
          <w:p w:rsidR="00455878" w:rsidRPr="002C3594" w:rsidRDefault="00455878" w:rsidP="001B35F6">
            <w:pPr>
              <w:pStyle w:val="NoSpacing"/>
              <w:rPr>
                <w:rFonts w:ascii="Arial" w:hAnsi="Arial" w:cs="Arial"/>
                <w:sz w:val="20"/>
                <w:szCs w:val="20"/>
              </w:rPr>
            </w:pPr>
            <w:r w:rsidRPr="002C3594">
              <w:rPr>
                <w:rFonts w:ascii="Arial" w:hAnsi="Arial" w:cs="Arial"/>
                <w:sz w:val="20"/>
                <w:szCs w:val="20"/>
              </w:rPr>
              <w:t>Concomitant use of hydro</w:t>
            </w:r>
            <w:r w:rsidR="000B7311" w:rsidRPr="002C3594">
              <w:rPr>
                <w:rFonts w:ascii="Arial" w:hAnsi="Arial" w:cs="Arial"/>
                <w:sz w:val="20"/>
                <w:szCs w:val="20"/>
              </w:rPr>
              <w:t>codone</w:t>
            </w:r>
            <w:r w:rsidRPr="002C3594">
              <w:rPr>
                <w:rFonts w:ascii="Arial" w:hAnsi="Arial" w:cs="Arial"/>
                <w:sz w:val="20"/>
                <w:szCs w:val="20"/>
              </w:rPr>
              <w:t xml:space="preserve"> with ginseng may result </w:t>
            </w:r>
            <w:r w:rsidR="000B7311" w:rsidRPr="002C3594">
              <w:rPr>
                <w:rFonts w:ascii="Arial" w:hAnsi="Arial" w:cs="Arial"/>
                <w:sz w:val="20"/>
                <w:szCs w:val="20"/>
              </w:rPr>
              <w:t xml:space="preserve">in </w:t>
            </w:r>
            <w:r w:rsidR="000B7311" w:rsidRPr="002C3594">
              <w:rPr>
                <w:rFonts w:ascii="Arial" w:hAnsi="Arial" w:cs="Arial"/>
                <w:sz w:val="20"/>
                <w:szCs w:val="20"/>
              </w:rPr>
              <w:lastRenderedPageBreak/>
              <w:t>decreased efficacy of analgesia of hydrocodone</w:t>
            </w:r>
            <w:r w:rsidRPr="002C3594">
              <w:rPr>
                <w:rFonts w:ascii="Arial" w:hAnsi="Arial" w:cs="Arial"/>
                <w:sz w:val="20"/>
                <w:szCs w:val="20"/>
              </w:rPr>
              <w:t>.</w:t>
            </w:r>
          </w:p>
        </w:tc>
      </w:tr>
      <w:tr w:rsidR="000B7311" w:rsidRPr="00083D63" w:rsidTr="0094351F">
        <w:tc>
          <w:tcPr>
            <w:tcW w:w="2250" w:type="dxa"/>
            <w:vAlign w:val="center"/>
          </w:tcPr>
          <w:p w:rsidR="000B7311" w:rsidRPr="002C3594" w:rsidRDefault="000B7311" w:rsidP="00041FC8">
            <w:pPr>
              <w:pStyle w:val="NoSpacing"/>
              <w:rPr>
                <w:rFonts w:ascii="Arial" w:hAnsi="Arial" w:cs="Arial"/>
                <w:sz w:val="20"/>
                <w:szCs w:val="20"/>
              </w:rPr>
            </w:pPr>
            <w:r w:rsidRPr="002C3594">
              <w:rPr>
                <w:rFonts w:ascii="Arial" w:hAnsi="Arial" w:cs="Arial"/>
                <w:sz w:val="20"/>
                <w:szCs w:val="20"/>
              </w:rPr>
              <w:lastRenderedPageBreak/>
              <w:t>Valerian</w:t>
            </w:r>
          </w:p>
        </w:tc>
        <w:tc>
          <w:tcPr>
            <w:tcW w:w="1260" w:type="dxa"/>
            <w:vAlign w:val="center"/>
          </w:tcPr>
          <w:p w:rsidR="000B7311" w:rsidRPr="002C3594" w:rsidRDefault="000B7311" w:rsidP="00041FC8">
            <w:pPr>
              <w:pStyle w:val="NoSpacing"/>
              <w:jc w:val="center"/>
              <w:rPr>
                <w:rFonts w:ascii="Arial" w:hAnsi="Arial" w:cs="Arial"/>
                <w:sz w:val="20"/>
                <w:szCs w:val="20"/>
              </w:rPr>
            </w:pPr>
            <w:r w:rsidRPr="002C3594">
              <w:rPr>
                <w:rFonts w:ascii="Arial" w:hAnsi="Arial" w:cs="Arial"/>
                <w:sz w:val="20"/>
                <w:szCs w:val="20"/>
              </w:rPr>
              <w:t>Moderate</w:t>
            </w:r>
          </w:p>
        </w:tc>
        <w:tc>
          <w:tcPr>
            <w:tcW w:w="5958" w:type="dxa"/>
            <w:vAlign w:val="center"/>
          </w:tcPr>
          <w:p w:rsidR="000B7311" w:rsidRPr="002C3594" w:rsidRDefault="000B7311" w:rsidP="001B35F6">
            <w:pPr>
              <w:pStyle w:val="NoSpacing"/>
              <w:rPr>
                <w:rFonts w:ascii="Arial" w:hAnsi="Arial" w:cs="Arial"/>
                <w:sz w:val="20"/>
                <w:szCs w:val="20"/>
              </w:rPr>
            </w:pPr>
            <w:r w:rsidRPr="002C3594">
              <w:rPr>
                <w:rFonts w:ascii="Arial" w:hAnsi="Arial" w:cs="Arial"/>
                <w:sz w:val="20"/>
                <w:szCs w:val="20"/>
              </w:rPr>
              <w:t>Concomitant use of hydrocodone with valerian may result in increased CNS depression.</w:t>
            </w:r>
          </w:p>
        </w:tc>
      </w:tr>
      <w:tr w:rsidR="002C3594" w:rsidRPr="00083D63" w:rsidTr="0094351F">
        <w:tc>
          <w:tcPr>
            <w:tcW w:w="2250" w:type="dxa"/>
            <w:vAlign w:val="center"/>
          </w:tcPr>
          <w:p w:rsidR="002C3594" w:rsidRPr="002C3594" w:rsidRDefault="002C3594" w:rsidP="00041FC8">
            <w:pPr>
              <w:pStyle w:val="NoSpacing"/>
              <w:rPr>
                <w:rFonts w:ascii="Arial" w:hAnsi="Arial" w:cs="Arial"/>
                <w:sz w:val="20"/>
                <w:szCs w:val="20"/>
              </w:rPr>
            </w:pPr>
            <w:r>
              <w:rPr>
                <w:rFonts w:ascii="Arial" w:hAnsi="Arial" w:cs="Arial"/>
                <w:sz w:val="20"/>
                <w:szCs w:val="20"/>
              </w:rPr>
              <w:t>Quinidine</w:t>
            </w:r>
          </w:p>
        </w:tc>
        <w:tc>
          <w:tcPr>
            <w:tcW w:w="1260" w:type="dxa"/>
            <w:vAlign w:val="center"/>
          </w:tcPr>
          <w:p w:rsidR="002C3594" w:rsidRPr="002C3594" w:rsidRDefault="002C3594" w:rsidP="00041FC8">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2C3594" w:rsidRPr="002C3594" w:rsidRDefault="002C3594" w:rsidP="001B35F6">
            <w:pPr>
              <w:pStyle w:val="NoSpacing"/>
              <w:rPr>
                <w:rFonts w:ascii="Arial" w:hAnsi="Arial" w:cs="Arial"/>
                <w:sz w:val="20"/>
                <w:szCs w:val="20"/>
              </w:rPr>
            </w:pPr>
            <w:r>
              <w:rPr>
                <w:rFonts w:ascii="Arial" w:hAnsi="Arial" w:cs="Arial"/>
                <w:sz w:val="20"/>
                <w:szCs w:val="20"/>
              </w:rPr>
              <w:t>Concomitant use of hydrocodone with quinidine may result in decreased efficacy of analgesia of hydrocodone.</w:t>
            </w:r>
          </w:p>
        </w:tc>
      </w:tr>
      <w:tr w:rsidR="00041FC8" w:rsidRPr="00083D63" w:rsidTr="0094351F">
        <w:tc>
          <w:tcPr>
            <w:tcW w:w="2250" w:type="dxa"/>
            <w:vAlign w:val="center"/>
          </w:tcPr>
          <w:p w:rsidR="00041FC8" w:rsidRPr="008D034B" w:rsidRDefault="00DC23AF" w:rsidP="00041FC8">
            <w:pPr>
              <w:pStyle w:val="NoSpacing"/>
              <w:rPr>
                <w:rFonts w:ascii="Arial" w:hAnsi="Arial" w:cs="Arial"/>
                <w:sz w:val="20"/>
                <w:szCs w:val="20"/>
              </w:rPr>
            </w:pPr>
            <w:r w:rsidRPr="008D034B">
              <w:rPr>
                <w:rFonts w:ascii="Arial" w:hAnsi="Arial" w:cs="Arial"/>
                <w:sz w:val="20"/>
                <w:szCs w:val="20"/>
              </w:rPr>
              <w:t>Anticholinergics</w:t>
            </w:r>
          </w:p>
        </w:tc>
        <w:tc>
          <w:tcPr>
            <w:tcW w:w="1260" w:type="dxa"/>
            <w:vAlign w:val="center"/>
          </w:tcPr>
          <w:p w:rsidR="00041FC8" w:rsidRPr="008D034B" w:rsidRDefault="00C923A9" w:rsidP="00C923A9">
            <w:pPr>
              <w:pStyle w:val="NoSpacing"/>
              <w:jc w:val="center"/>
              <w:rPr>
                <w:rFonts w:ascii="Arial" w:hAnsi="Arial" w:cs="Arial"/>
                <w:sz w:val="20"/>
                <w:szCs w:val="20"/>
              </w:rPr>
            </w:pPr>
            <w:r w:rsidRPr="008D034B">
              <w:rPr>
                <w:rFonts w:ascii="Arial" w:hAnsi="Arial" w:cs="Arial"/>
                <w:sz w:val="20"/>
                <w:szCs w:val="20"/>
              </w:rPr>
              <w:t>Unknown</w:t>
            </w:r>
          </w:p>
        </w:tc>
        <w:tc>
          <w:tcPr>
            <w:tcW w:w="5958" w:type="dxa"/>
            <w:vAlign w:val="center"/>
          </w:tcPr>
          <w:p w:rsidR="00041FC8" w:rsidRPr="008D034B" w:rsidRDefault="00C923A9" w:rsidP="001B35F6">
            <w:pPr>
              <w:pStyle w:val="NoSpacing"/>
              <w:rPr>
                <w:rFonts w:ascii="Arial" w:hAnsi="Arial" w:cs="Arial"/>
                <w:sz w:val="20"/>
                <w:szCs w:val="20"/>
              </w:rPr>
            </w:pPr>
            <w:r w:rsidRPr="008D034B">
              <w:rPr>
                <w:rFonts w:ascii="Arial" w:hAnsi="Arial" w:cs="Arial"/>
                <w:sz w:val="20"/>
                <w:szCs w:val="20"/>
              </w:rPr>
              <w:t>Concomitant use of opioids with anticholinergics or other drugs with anticholinergic activity may increase the risk of urinary retention or severe constipation, which may lead to paralytic ileus. Monitor patients for signs of urinary retention and constipation, in addition to respiratory and CNS depression.</w:t>
            </w:r>
          </w:p>
        </w:tc>
      </w:tr>
    </w:tbl>
    <w:p w:rsidR="00D4190C" w:rsidRPr="00A83096" w:rsidRDefault="00D4190C" w:rsidP="00D4190C">
      <w:pPr>
        <w:pStyle w:val="NoSpacing"/>
        <w:rPr>
          <w:rFonts w:ascii="Arial" w:hAnsi="Arial" w:cs="Arial"/>
          <w:sz w:val="16"/>
          <w:szCs w:val="16"/>
        </w:rPr>
      </w:pPr>
      <w:r w:rsidRPr="00A83096">
        <w:rPr>
          <w:rFonts w:ascii="Arial" w:hAnsi="Arial" w:cs="Arial"/>
          <w:sz w:val="18"/>
          <w:szCs w:val="18"/>
        </w:rPr>
        <w:t>*</w:t>
      </w:r>
      <w:r w:rsidRPr="00A83096">
        <w:rPr>
          <w:rFonts w:ascii="Arial" w:hAnsi="Arial" w:cs="Arial"/>
          <w:sz w:val="16"/>
          <w:szCs w:val="16"/>
        </w:rPr>
        <w:t>Severity rating per</w:t>
      </w:r>
      <w:r w:rsidR="00041FC8" w:rsidRPr="00A83096">
        <w:rPr>
          <w:rFonts w:ascii="Arial" w:hAnsi="Arial" w:cs="Arial"/>
          <w:sz w:val="16"/>
          <w:szCs w:val="16"/>
        </w:rPr>
        <w:t xml:space="preserve"> Micromedex</w:t>
      </w:r>
    </w:p>
    <w:p w:rsidR="00D4190C" w:rsidRPr="00083D63" w:rsidRDefault="00D4190C" w:rsidP="004920E8">
      <w:pPr>
        <w:pStyle w:val="NoSpacing"/>
        <w:rPr>
          <w:rFonts w:ascii="Arial" w:hAnsi="Arial" w:cs="Arial"/>
          <w:sz w:val="20"/>
          <w:szCs w:val="20"/>
          <w:highlight w:val="yellow"/>
        </w:rPr>
      </w:pPr>
    </w:p>
    <w:p w:rsidR="007328D9" w:rsidRPr="00A83096" w:rsidRDefault="00AE5B18" w:rsidP="00E212A9">
      <w:pPr>
        <w:pStyle w:val="NoSpacing"/>
        <w:rPr>
          <w:rFonts w:ascii="Arial" w:hAnsi="Arial" w:cs="Arial"/>
          <w:sz w:val="20"/>
          <w:szCs w:val="20"/>
        </w:rPr>
      </w:pPr>
      <w:r w:rsidRPr="00A83096">
        <w:rPr>
          <w:rFonts w:ascii="Arial" w:hAnsi="Arial" w:cs="Arial"/>
          <w:b/>
          <w:sz w:val="20"/>
          <w:szCs w:val="20"/>
          <w:u w:val="single"/>
        </w:rPr>
        <w:t>Patient Monitoring Guidelines</w:t>
      </w:r>
      <w:r w:rsidR="00FD7AED" w:rsidRPr="00A83096">
        <w:rPr>
          <w:rFonts w:ascii="Arial" w:hAnsi="Arial" w:cs="Arial"/>
          <w:sz w:val="20"/>
          <w:szCs w:val="20"/>
          <w:vertAlign w:val="superscript"/>
        </w:rPr>
        <w:t>1</w:t>
      </w:r>
    </w:p>
    <w:p w:rsidR="00303851" w:rsidRPr="00083D63" w:rsidRDefault="00FD7AED" w:rsidP="00E212A9">
      <w:pPr>
        <w:pStyle w:val="NoSpacing"/>
        <w:rPr>
          <w:rFonts w:ascii="Arial" w:hAnsi="Arial" w:cs="Arial"/>
          <w:sz w:val="20"/>
          <w:szCs w:val="20"/>
          <w:highlight w:val="yellow"/>
        </w:rPr>
      </w:pPr>
      <w:r w:rsidRPr="00A83096">
        <w:rPr>
          <w:rFonts w:ascii="Arial" w:hAnsi="Arial" w:cs="Arial"/>
          <w:sz w:val="20"/>
          <w:szCs w:val="20"/>
        </w:rPr>
        <w:t>It is recommended that patients be monitored continually to assess maintenance of analgesia. In addition, patients should be</w:t>
      </w:r>
      <w:r w:rsidR="009A0063" w:rsidRPr="00A83096">
        <w:rPr>
          <w:rFonts w:ascii="Arial" w:hAnsi="Arial" w:cs="Arial"/>
          <w:sz w:val="20"/>
          <w:szCs w:val="20"/>
        </w:rPr>
        <w:t xml:space="preserve"> regularly</w:t>
      </w:r>
      <w:r w:rsidRPr="00A83096">
        <w:rPr>
          <w:rFonts w:ascii="Arial" w:hAnsi="Arial" w:cs="Arial"/>
          <w:sz w:val="20"/>
          <w:szCs w:val="20"/>
        </w:rPr>
        <w:t xml:space="preserve"> monitored for adverse events</w:t>
      </w:r>
      <w:r w:rsidR="009A0063" w:rsidRPr="00A83096">
        <w:rPr>
          <w:rFonts w:ascii="Arial" w:hAnsi="Arial" w:cs="Arial"/>
          <w:sz w:val="20"/>
          <w:szCs w:val="20"/>
        </w:rPr>
        <w:t xml:space="preserve">, as well as signs of misuse, abuse or addiction. </w:t>
      </w:r>
      <w:r w:rsidR="003628DE" w:rsidRPr="00A83096">
        <w:rPr>
          <w:rFonts w:ascii="Arial" w:hAnsi="Arial" w:cs="Arial"/>
          <w:sz w:val="20"/>
          <w:szCs w:val="20"/>
        </w:rPr>
        <w:t xml:space="preserve">All patients should be screened for individual risk of opioid misuse, abuse and addiction prior to initiating treatment with </w:t>
      </w:r>
      <w:proofErr w:type="spellStart"/>
      <w:r w:rsidR="00A83096" w:rsidRPr="00A83096">
        <w:rPr>
          <w:rFonts w:ascii="Arial" w:hAnsi="Arial" w:cs="Arial"/>
          <w:sz w:val="20"/>
          <w:szCs w:val="20"/>
        </w:rPr>
        <w:t>Zohydro</w:t>
      </w:r>
      <w:proofErr w:type="spellEnd"/>
      <w:r w:rsidR="003628DE" w:rsidRPr="00A83096">
        <w:rPr>
          <w:rFonts w:ascii="Arial" w:hAnsi="Arial" w:cs="Arial"/>
          <w:sz w:val="20"/>
          <w:szCs w:val="20"/>
        </w:rPr>
        <w:t xml:space="preserve"> ER</w:t>
      </w:r>
      <w:r w:rsidR="00A16E6B" w:rsidRPr="00A83096">
        <w:rPr>
          <w:rFonts w:ascii="Arial" w:hAnsi="Arial" w:cs="Arial"/>
          <w:sz w:val="20"/>
          <w:szCs w:val="20"/>
          <w:vertAlign w:val="superscript"/>
        </w:rPr>
        <w:t>®</w:t>
      </w:r>
      <w:r w:rsidR="003628DE" w:rsidRPr="00A83096">
        <w:rPr>
          <w:rFonts w:ascii="Arial" w:hAnsi="Arial" w:cs="Arial"/>
          <w:sz w:val="20"/>
          <w:szCs w:val="20"/>
        </w:rPr>
        <w:t xml:space="preserve"> (hydrocodone extended-release).</w:t>
      </w:r>
      <w:r w:rsidR="00303851" w:rsidRPr="00A83096">
        <w:rPr>
          <w:rFonts w:ascii="Arial" w:hAnsi="Arial" w:cs="Arial"/>
          <w:sz w:val="20"/>
          <w:szCs w:val="20"/>
        </w:rPr>
        <w:t xml:space="preserve"> These risks are increased in patients with a history of substance abuse, family history of substance abuse or mental illness.</w:t>
      </w:r>
    </w:p>
    <w:p w:rsidR="00303851" w:rsidRPr="00083D63" w:rsidRDefault="00303851" w:rsidP="00E212A9">
      <w:pPr>
        <w:pStyle w:val="NoSpacing"/>
        <w:rPr>
          <w:rFonts w:ascii="Arial" w:hAnsi="Arial" w:cs="Arial"/>
          <w:sz w:val="20"/>
          <w:szCs w:val="20"/>
          <w:highlight w:val="yellow"/>
        </w:rPr>
      </w:pPr>
    </w:p>
    <w:p w:rsidR="00AE5B18" w:rsidRPr="00A83096" w:rsidRDefault="009A0063" w:rsidP="00E212A9">
      <w:pPr>
        <w:pStyle w:val="NoSpacing"/>
        <w:rPr>
          <w:rFonts w:ascii="Arial" w:hAnsi="Arial" w:cs="Arial"/>
          <w:sz w:val="20"/>
          <w:szCs w:val="20"/>
        </w:rPr>
      </w:pPr>
      <w:r w:rsidRPr="00A83096">
        <w:rPr>
          <w:rFonts w:ascii="Arial" w:hAnsi="Arial" w:cs="Arial"/>
          <w:sz w:val="20"/>
          <w:szCs w:val="20"/>
        </w:rPr>
        <w:t xml:space="preserve">Patients should be monitored closely for respiratory depression, especially upon initiation of treatment, following a dose increase or when </w:t>
      </w:r>
      <w:proofErr w:type="spellStart"/>
      <w:r w:rsidR="00A83096" w:rsidRPr="00A83096">
        <w:rPr>
          <w:rFonts w:ascii="Arial" w:hAnsi="Arial" w:cs="Arial"/>
          <w:sz w:val="20"/>
          <w:szCs w:val="20"/>
        </w:rPr>
        <w:t>Zohydro</w:t>
      </w:r>
      <w:proofErr w:type="spellEnd"/>
      <w:r w:rsidR="00A16E6B">
        <w:rPr>
          <w:rFonts w:ascii="Arial" w:hAnsi="Arial" w:cs="Arial"/>
          <w:sz w:val="20"/>
          <w:szCs w:val="20"/>
        </w:rPr>
        <w:t xml:space="preserve"> </w:t>
      </w:r>
      <w:r w:rsidR="00A83096" w:rsidRPr="00A83096">
        <w:rPr>
          <w:rFonts w:ascii="Arial" w:hAnsi="Arial" w:cs="Arial"/>
          <w:sz w:val="20"/>
          <w:szCs w:val="20"/>
        </w:rPr>
        <w:t>ER</w:t>
      </w:r>
      <w:r w:rsidR="00A16E6B" w:rsidRPr="00A83096">
        <w:rPr>
          <w:rFonts w:ascii="Arial" w:hAnsi="Arial" w:cs="Arial"/>
          <w:sz w:val="20"/>
          <w:szCs w:val="20"/>
          <w:vertAlign w:val="superscript"/>
        </w:rPr>
        <w:t>®</w:t>
      </w:r>
      <w:r w:rsidRPr="00A83096">
        <w:rPr>
          <w:rFonts w:ascii="Arial" w:hAnsi="Arial" w:cs="Arial"/>
          <w:sz w:val="20"/>
          <w:szCs w:val="20"/>
        </w:rPr>
        <w:t xml:space="preserve"> (hydrocodone extended-release) is prescribed to a patient with renal impairment, hepatic impairment, head injury or increased intracranial pressure. Elderly, cachectic, debilitated patients and patients with chronic pulmonary disease are at increased risk for life-threatening respiratory depression; therefore, they should be monitored closely. </w:t>
      </w:r>
    </w:p>
    <w:p w:rsidR="009A0063" w:rsidRPr="00083D63" w:rsidRDefault="009A0063" w:rsidP="00E212A9">
      <w:pPr>
        <w:pStyle w:val="NoSpacing"/>
        <w:rPr>
          <w:rFonts w:ascii="Arial" w:hAnsi="Arial" w:cs="Arial"/>
          <w:sz w:val="20"/>
          <w:szCs w:val="20"/>
          <w:highlight w:val="yellow"/>
        </w:rPr>
      </w:pPr>
    </w:p>
    <w:p w:rsidR="003628DE" w:rsidRDefault="00303851" w:rsidP="00E212A9">
      <w:pPr>
        <w:pStyle w:val="NoSpacing"/>
        <w:rPr>
          <w:rFonts w:ascii="Arial" w:hAnsi="Arial" w:cs="Arial"/>
          <w:sz w:val="20"/>
          <w:szCs w:val="20"/>
        </w:rPr>
      </w:pPr>
      <w:r w:rsidRPr="00821E4C">
        <w:rPr>
          <w:rFonts w:ascii="Arial" w:hAnsi="Arial" w:cs="Arial"/>
          <w:sz w:val="20"/>
          <w:szCs w:val="20"/>
        </w:rPr>
        <w:t xml:space="preserve">Patients receiving treatment with a CYP3A4 inhibitor or inducers must be monitored closely for increased incidence of adverse effects or decreased analgesia. </w:t>
      </w:r>
      <w:r w:rsidR="005D585F" w:rsidRPr="00821E4C">
        <w:rPr>
          <w:rFonts w:ascii="Arial" w:hAnsi="Arial" w:cs="Arial"/>
          <w:sz w:val="20"/>
          <w:szCs w:val="20"/>
        </w:rPr>
        <w:t xml:space="preserve">Patients converting from other opioids to </w:t>
      </w:r>
      <w:proofErr w:type="spellStart"/>
      <w:r w:rsidR="00821E4C" w:rsidRPr="00821E4C">
        <w:rPr>
          <w:rFonts w:ascii="Arial" w:hAnsi="Arial" w:cs="Arial"/>
          <w:sz w:val="20"/>
          <w:szCs w:val="20"/>
        </w:rPr>
        <w:t>Zohydro</w:t>
      </w:r>
      <w:proofErr w:type="spellEnd"/>
      <w:r w:rsidR="00821E4C" w:rsidRPr="00821E4C">
        <w:rPr>
          <w:rFonts w:ascii="Arial" w:hAnsi="Arial" w:cs="Arial"/>
          <w:sz w:val="20"/>
          <w:szCs w:val="20"/>
        </w:rPr>
        <w:t xml:space="preserve"> ER</w:t>
      </w:r>
      <w:r w:rsidR="00A16E6B" w:rsidRPr="00821E4C">
        <w:rPr>
          <w:rFonts w:ascii="Arial" w:hAnsi="Arial" w:cs="Arial"/>
          <w:sz w:val="20"/>
          <w:szCs w:val="20"/>
          <w:vertAlign w:val="superscript"/>
        </w:rPr>
        <w:t>®</w:t>
      </w:r>
      <w:r w:rsidR="00821E4C" w:rsidRPr="00821E4C">
        <w:rPr>
          <w:rFonts w:ascii="Arial" w:hAnsi="Arial" w:cs="Arial"/>
          <w:sz w:val="20"/>
          <w:szCs w:val="20"/>
        </w:rPr>
        <w:t xml:space="preserve"> </w:t>
      </w:r>
      <w:r w:rsidR="005D585F" w:rsidRPr="00821E4C">
        <w:rPr>
          <w:rFonts w:ascii="Arial" w:hAnsi="Arial" w:cs="Arial"/>
          <w:sz w:val="20"/>
          <w:szCs w:val="20"/>
        </w:rPr>
        <w:t xml:space="preserve">(hydrocodone extended-release) should be monitored for signs and symptoms of </w:t>
      </w:r>
      <w:proofErr w:type="spellStart"/>
      <w:r w:rsidR="005D585F" w:rsidRPr="00821E4C">
        <w:rPr>
          <w:rFonts w:ascii="Arial" w:hAnsi="Arial" w:cs="Arial"/>
          <w:sz w:val="20"/>
          <w:szCs w:val="20"/>
        </w:rPr>
        <w:t>oversedation</w:t>
      </w:r>
      <w:proofErr w:type="spellEnd"/>
      <w:r w:rsidR="005D585F" w:rsidRPr="00821E4C">
        <w:rPr>
          <w:rFonts w:ascii="Arial" w:hAnsi="Arial" w:cs="Arial"/>
          <w:sz w:val="20"/>
          <w:szCs w:val="20"/>
        </w:rPr>
        <w:t xml:space="preserve"> and respiratory depression and signs and symptoms of opioid withdrawal upon treatment initiation. Other monitoring </w:t>
      </w:r>
      <w:r w:rsidR="00396C34" w:rsidRPr="00821E4C">
        <w:rPr>
          <w:rFonts w:ascii="Arial" w:hAnsi="Arial" w:cs="Arial"/>
          <w:sz w:val="20"/>
          <w:szCs w:val="20"/>
        </w:rPr>
        <w:t>recommendations</w:t>
      </w:r>
      <w:r w:rsidR="005D585F" w:rsidRPr="00821E4C">
        <w:rPr>
          <w:rFonts w:ascii="Arial" w:hAnsi="Arial" w:cs="Arial"/>
          <w:sz w:val="20"/>
          <w:szCs w:val="20"/>
        </w:rPr>
        <w:t xml:space="preserve"> </w:t>
      </w:r>
      <w:r w:rsidR="00396C34" w:rsidRPr="00821E4C">
        <w:rPr>
          <w:rFonts w:ascii="Arial" w:hAnsi="Arial" w:cs="Arial"/>
          <w:sz w:val="20"/>
          <w:szCs w:val="20"/>
        </w:rPr>
        <w:t xml:space="preserve">are found in Table </w:t>
      </w:r>
      <w:r w:rsidR="001F1A7E" w:rsidRPr="00821E4C">
        <w:rPr>
          <w:rFonts w:ascii="Arial" w:hAnsi="Arial" w:cs="Arial"/>
          <w:sz w:val="20"/>
          <w:szCs w:val="20"/>
        </w:rPr>
        <w:t>8</w:t>
      </w:r>
      <w:r w:rsidR="00396C34" w:rsidRPr="00821E4C">
        <w:rPr>
          <w:rFonts w:ascii="Arial" w:hAnsi="Arial" w:cs="Arial"/>
          <w:sz w:val="20"/>
          <w:szCs w:val="20"/>
        </w:rPr>
        <w:t xml:space="preserve"> with the warnings and precautions.</w:t>
      </w:r>
    </w:p>
    <w:p w:rsidR="00625F3C" w:rsidRDefault="00625F3C" w:rsidP="00E212A9">
      <w:pPr>
        <w:pStyle w:val="NoSpacing"/>
        <w:rPr>
          <w:rFonts w:ascii="Arial" w:hAnsi="Arial" w:cs="Arial"/>
          <w:sz w:val="20"/>
          <w:szCs w:val="20"/>
        </w:rPr>
      </w:pPr>
    </w:p>
    <w:p w:rsidR="00625F3C" w:rsidRDefault="00625F3C" w:rsidP="00E212A9">
      <w:pPr>
        <w:pStyle w:val="NoSpacing"/>
        <w:rPr>
          <w:rFonts w:ascii="Arial" w:hAnsi="Arial" w:cs="Arial"/>
          <w:b/>
          <w:sz w:val="20"/>
          <w:szCs w:val="20"/>
          <w:u w:val="single"/>
        </w:rPr>
      </w:pPr>
      <w:r>
        <w:rPr>
          <w:rFonts w:ascii="Arial" w:hAnsi="Arial" w:cs="Arial"/>
          <w:b/>
          <w:sz w:val="20"/>
          <w:szCs w:val="20"/>
          <w:u w:val="single"/>
        </w:rPr>
        <w:t>Addendum</w:t>
      </w:r>
    </w:p>
    <w:p w:rsidR="00625F3C" w:rsidRPr="00B93021" w:rsidRDefault="00625F3C" w:rsidP="00E212A9">
      <w:pPr>
        <w:pStyle w:val="NoSpacing"/>
        <w:rPr>
          <w:rFonts w:ascii="Arial" w:hAnsi="Arial" w:cs="Arial"/>
          <w:sz w:val="20"/>
          <w:szCs w:val="20"/>
        </w:rPr>
      </w:pPr>
      <w:r>
        <w:rPr>
          <w:rFonts w:ascii="Arial" w:hAnsi="Arial" w:cs="Arial"/>
          <w:sz w:val="20"/>
          <w:szCs w:val="20"/>
        </w:rPr>
        <w:t xml:space="preserve">Per the request of the Drug Formulary Commission, additional information </w:t>
      </w:r>
      <w:r w:rsidR="002A52A6">
        <w:rPr>
          <w:rFonts w:ascii="Arial" w:hAnsi="Arial" w:cs="Arial"/>
          <w:sz w:val="20"/>
          <w:szCs w:val="20"/>
        </w:rPr>
        <w:t>about the potential abuse-deterrent properties of</w:t>
      </w:r>
      <w:r w:rsidR="00497B13" w:rsidRPr="00497B13">
        <w:rPr>
          <w:rFonts w:ascii="Arial" w:hAnsi="Arial" w:cs="Arial"/>
          <w:sz w:val="20"/>
          <w:szCs w:val="20"/>
        </w:rPr>
        <w:t xml:space="preserve"> </w:t>
      </w:r>
      <w:proofErr w:type="spellStart"/>
      <w:r w:rsidR="00497B13" w:rsidRPr="008820B1">
        <w:rPr>
          <w:rFonts w:ascii="Arial" w:hAnsi="Arial" w:cs="Arial"/>
          <w:sz w:val="20"/>
          <w:szCs w:val="20"/>
        </w:rPr>
        <w:t>Zohydro</w:t>
      </w:r>
      <w:proofErr w:type="spellEnd"/>
      <w:r w:rsidR="00497B13" w:rsidRPr="008820B1">
        <w:rPr>
          <w:rFonts w:ascii="Arial" w:hAnsi="Arial" w:cs="Arial"/>
          <w:sz w:val="20"/>
          <w:szCs w:val="20"/>
        </w:rPr>
        <w:t xml:space="preserve"> ER</w:t>
      </w:r>
      <w:r w:rsidR="00497B13" w:rsidRPr="008820B1">
        <w:rPr>
          <w:rFonts w:ascii="Arial" w:hAnsi="Arial" w:cs="Arial"/>
          <w:sz w:val="20"/>
          <w:szCs w:val="20"/>
          <w:vertAlign w:val="superscript"/>
        </w:rPr>
        <w:t>®</w:t>
      </w:r>
      <w:r w:rsidR="00497B13" w:rsidRPr="008820B1">
        <w:rPr>
          <w:rFonts w:ascii="Arial" w:hAnsi="Arial" w:cs="Arial"/>
          <w:sz w:val="20"/>
          <w:szCs w:val="20"/>
        </w:rPr>
        <w:t xml:space="preserve"> </w:t>
      </w:r>
      <w:r w:rsidR="00497B13">
        <w:rPr>
          <w:rFonts w:ascii="Arial" w:hAnsi="Arial" w:cs="Arial"/>
          <w:sz w:val="20"/>
          <w:szCs w:val="20"/>
        </w:rPr>
        <w:t>(hydrocodone extended-release)</w:t>
      </w:r>
      <w:r w:rsidR="002A52A6">
        <w:rPr>
          <w:rFonts w:ascii="Arial" w:hAnsi="Arial" w:cs="Arial"/>
          <w:sz w:val="20"/>
          <w:szCs w:val="20"/>
        </w:rPr>
        <w:t xml:space="preserve"> </w:t>
      </w:r>
      <w:r>
        <w:rPr>
          <w:rFonts w:ascii="Arial" w:hAnsi="Arial" w:cs="Arial"/>
          <w:sz w:val="20"/>
          <w:szCs w:val="20"/>
        </w:rPr>
        <w:t>was requested o</w:t>
      </w:r>
      <w:r w:rsidR="002A52A6">
        <w:rPr>
          <w:rFonts w:ascii="Arial" w:hAnsi="Arial" w:cs="Arial"/>
          <w:sz w:val="20"/>
          <w:szCs w:val="20"/>
        </w:rPr>
        <w:t>f the manufacturer.</w:t>
      </w:r>
      <w:r w:rsidR="00497B13">
        <w:rPr>
          <w:rFonts w:ascii="Arial" w:hAnsi="Arial" w:cs="Arial"/>
          <w:sz w:val="20"/>
          <w:szCs w:val="20"/>
        </w:rPr>
        <w:t xml:space="preserve"> A representative of </w:t>
      </w:r>
      <w:proofErr w:type="spellStart"/>
      <w:r w:rsidR="00497B13">
        <w:rPr>
          <w:rFonts w:ascii="Arial" w:hAnsi="Arial" w:cs="Arial"/>
          <w:sz w:val="20"/>
          <w:szCs w:val="20"/>
        </w:rPr>
        <w:t>Pernix</w:t>
      </w:r>
      <w:proofErr w:type="spellEnd"/>
      <w:r w:rsidR="00497B13">
        <w:rPr>
          <w:rFonts w:ascii="Arial" w:hAnsi="Arial" w:cs="Arial"/>
          <w:sz w:val="20"/>
          <w:szCs w:val="20"/>
        </w:rPr>
        <w:t xml:space="preserve"> Ireland Pain Limited provided a brief document that identified polyethylene oxide as the agent used to cause viscous gel formation upon attempts to crush and dissolve the beads within a </w:t>
      </w:r>
      <w:proofErr w:type="spellStart"/>
      <w:r w:rsidR="00497B13" w:rsidRPr="008820B1">
        <w:rPr>
          <w:rFonts w:ascii="Arial" w:hAnsi="Arial" w:cs="Arial"/>
          <w:sz w:val="20"/>
          <w:szCs w:val="20"/>
        </w:rPr>
        <w:t>Zohydro</w:t>
      </w:r>
      <w:proofErr w:type="spellEnd"/>
      <w:r w:rsidR="00497B13" w:rsidRPr="008820B1">
        <w:rPr>
          <w:rFonts w:ascii="Arial" w:hAnsi="Arial" w:cs="Arial"/>
          <w:sz w:val="20"/>
          <w:szCs w:val="20"/>
        </w:rPr>
        <w:t xml:space="preserve"> ER</w:t>
      </w:r>
      <w:r w:rsidR="00497B13" w:rsidRPr="008820B1">
        <w:rPr>
          <w:rFonts w:ascii="Arial" w:hAnsi="Arial" w:cs="Arial"/>
          <w:sz w:val="20"/>
          <w:szCs w:val="20"/>
          <w:vertAlign w:val="superscript"/>
        </w:rPr>
        <w:t>®</w:t>
      </w:r>
      <w:r w:rsidR="00497B13" w:rsidRPr="008820B1">
        <w:rPr>
          <w:rFonts w:ascii="Arial" w:hAnsi="Arial" w:cs="Arial"/>
          <w:sz w:val="20"/>
          <w:szCs w:val="20"/>
        </w:rPr>
        <w:t xml:space="preserve"> </w:t>
      </w:r>
      <w:r w:rsidR="00497B13">
        <w:rPr>
          <w:rFonts w:ascii="Arial" w:hAnsi="Arial" w:cs="Arial"/>
          <w:sz w:val="20"/>
          <w:szCs w:val="20"/>
        </w:rPr>
        <w:t xml:space="preserve">(hydrocodone extended-release) capsule. The document states that the clinical significance of </w:t>
      </w:r>
      <w:proofErr w:type="spellStart"/>
      <w:r w:rsidR="00497B13">
        <w:rPr>
          <w:rFonts w:ascii="Arial" w:hAnsi="Arial" w:cs="Arial"/>
          <w:sz w:val="20"/>
          <w:szCs w:val="20"/>
        </w:rPr>
        <w:t>BeadTek</w:t>
      </w:r>
      <w:r w:rsidR="00497B13">
        <w:rPr>
          <w:rFonts w:ascii="Arial" w:hAnsi="Arial" w:cs="Arial"/>
          <w:sz w:val="20"/>
          <w:szCs w:val="20"/>
          <w:vertAlign w:val="superscript"/>
        </w:rPr>
        <w:t>TM</w:t>
      </w:r>
      <w:proofErr w:type="spellEnd"/>
      <w:r w:rsidR="00497B13">
        <w:rPr>
          <w:rFonts w:ascii="Arial" w:hAnsi="Arial" w:cs="Arial"/>
          <w:sz w:val="20"/>
          <w:szCs w:val="20"/>
        </w:rPr>
        <w:t xml:space="preserve"> on abuse or misuse of </w:t>
      </w:r>
      <w:proofErr w:type="spellStart"/>
      <w:r w:rsidR="00497B13" w:rsidRPr="008820B1">
        <w:rPr>
          <w:rFonts w:ascii="Arial" w:hAnsi="Arial" w:cs="Arial"/>
          <w:sz w:val="20"/>
          <w:szCs w:val="20"/>
        </w:rPr>
        <w:t>Zohydro</w:t>
      </w:r>
      <w:proofErr w:type="spellEnd"/>
      <w:r w:rsidR="00497B13" w:rsidRPr="008820B1">
        <w:rPr>
          <w:rFonts w:ascii="Arial" w:hAnsi="Arial" w:cs="Arial"/>
          <w:sz w:val="20"/>
          <w:szCs w:val="20"/>
        </w:rPr>
        <w:t xml:space="preserve"> ER</w:t>
      </w:r>
      <w:r w:rsidR="00497B13" w:rsidRPr="008820B1">
        <w:rPr>
          <w:rFonts w:ascii="Arial" w:hAnsi="Arial" w:cs="Arial"/>
          <w:sz w:val="20"/>
          <w:szCs w:val="20"/>
          <w:vertAlign w:val="superscript"/>
        </w:rPr>
        <w:t>®</w:t>
      </w:r>
      <w:r w:rsidR="00497B13" w:rsidRPr="008820B1">
        <w:rPr>
          <w:rFonts w:ascii="Arial" w:hAnsi="Arial" w:cs="Arial"/>
          <w:sz w:val="20"/>
          <w:szCs w:val="20"/>
        </w:rPr>
        <w:t xml:space="preserve"> </w:t>
      </w:r>
      <w:r w:rsidR="00497B13">
        <w:rPr>
          <w:rFonts w:ascii="Arial" w:hAnsi="Arial" w:cs="Arial"/>
          <w:sz w:val="20"/>
          <w:szCs w:val="20"/>
        </w:rPr>
        <w:t xml:space="preserve">(hydrocodone extended-release) has not been established. In addition, the manufacturer was unable to supply any clinical abuse potential studies or </w:t>
      </w:r>
      <w:r w:rsidR="00497B13">
        <w:rPr>
          <w:rFonts w:ascii="Arial" w:hAnsi="Arial" w:cs="Arial"/>
          <w:i/>
          <w:sz w:val="20"/>
          <w:szCs w:val="20"/>
        </w:rPr>
        <w:t>in vitro</w:t>
      </w:r>
      <w:r w:rsidR="00497B13">
        <w:rPr>
          <w:rFonts w:ascii="Arial" w:hAnsi="Arial" w:cs="Arial"/>
          <w:sz w:val="20"/>
          <w:szCs w:val="20"/>
        </w:rPr>
        <w:t xml:space="preserve"> laboratory manipulation and extraction studies for </w:t>
      </w:r>
      <w:proofErr w:type="spellStart"/>
      <w:r w:rsidR="00497B13" w:rsidRPr="008820B1">
        <w:rPr>
          <w:rFonts w:ascii="Arial" w:hAnsi="Arial" w:cs="Arial"/>
          <w:sz w:val="20"/>
          <w:szCs w:val="20"/>
        </w:rPr>
        <w:t>Zohydro</w:t>
      </w:r>
      <w:proofErr w:type="spellEnd"/>
      <w:r w:rsidR="00497B13" w:rsidRPr="008820B1">
        <w:rPr>
          <w:rFonts w:ascii="Arial" w:hAnsi="Arial" w:cs="Arial"/>
          <w:sz w:val="20"/>
          <w:szCs w:val="20"/>
        </w:rPr>
        <w:t xml:space="preserve"> ER</w:t>
      </w:r>
      <w:r w:rsidR="00497B13" w:rsidRPr="008820B1">
        <w:rPr>
          <w:rFonts w:ascii="Arial" w:hAnsi="Arial" w:cs="Arial"/>
          <w:sz w:val="20"/>
          <w:szCs w:val="20"/>
          <w:vertAlign w:val="superscript"/>
        </w:rPr>
        <w:t>®</w:t>
      </w:r>
      <w:r w:rsidR="00497B13" w:rsidRPr="008820B1">
        <w:rPr>
          <w:rFonts w:ascii="Arial" w:hAnsi="Arial" w:cs="Arial"/>
          <w:sz w:val="20"/>
          <w:szCs w:val="20"/>
        </w:rPr>
        <w:t xml:space="preserve"> </w:t>
      </w:r>
      <w:r w:rsidR="00497B13">
        <w:rPr>
          <w:rFonts w:ascii="Arial" w:hAnsi="Arial" w:cs="Arial"/>
          <w:sz w:val="20"/>
          <w:szCs w:val="20"/>
        </w:rPr>
        <w:t>(hydrocodone extended-release).</w:t>
      </w:r>
      <w:r w:rsidR="00393B85">
        <w:rPr>
          <w:rFonts w:ascii="Arial" w:hAnsi="Arial" w:cs="Arial"/>
          <w:sz w:val="20"/>
          <w:szCs w:val="20"/>
          <w:vertAlign w:val="superscript"/>
        </w:rPr>
        <w:t>11</w:t>
      </w:r>
      <w:r w:rsidR="00B93021">
        <w:rPr>
          <w:rFonts w:ascii="Arial" w:hAnsi="Arial" w:cs="Arial"/>
          <w:sz w:val="20"/>
          <w:szCs w:val="20"/>
        </w:rPr>
        <w:t xml:space="preserve"> Review of the Supplemental New Drug Application for reformulated </w:t>
      </w:r>
      <w:proofErr w:type="spellStart"/>
      <w:r w:rsidR="00B93021" w:rsidRPr="008820B1">
        <w:rPr>
          <w:rFonts w:ascii="Arial" w:hAnsi="Arial" w:cs="Arial"/>
          <w:sz w:val="20"/>
          <w:szCs w:val="20"/>
        </w:rPr>
        <w:t>Zohydro</w:t>
      </w:r>
      <w:proofErr w:type="spellEnd"/>
      <w:r w:rsidR="00B93021" w:rsidRPr="008820B1">
        <w:rPr>
          <w:rFonts w:ascii="Arial" w:hAnsi="Arial" w:cs="Arial"/>
          <w:sz w:val="20"/>
          <w:szCs w:val="20"/>
        </w:rPr>
        <w:t xml:space="preserve"> ER</w:t>
      </w:r>
      <w:r w:rsidR="00B93021" w:rsidRPr="008820B1">
        <w:rPr>
          <w:rFonts w:ascii="Arial" w:hAnsi="Arial" w:cs="Arial"/>
          <w:sz w:val="20"/>
          <w:szCs w:val="20"/>
          <w:vertAlign w:val="superscript"/>
        </w:rPr>
        <w:t>®</w:t>
      </w:r>
      <w:r w:rsidR="00B93021" w:rsidRPr="008820B1">
        <w:rPr>
          <w:rFonts w:ascii="Arial" w:hAnsi="Arial" w:cs="Arial"/>
          <w:sz w:val="20"/>
          <w:szCs w:val="20"/>
        </w:rPr>
        <w:t xml:space="preserve"> </w:t>
      </w:r>
      <w:r w:rsidR="00B93021">
        <w:rPr>
          <w:rFonts w:ascii="Arial" w:hAnsi="Arial" w:cs="Arial"/>
          <w:sz w:val="20"/>
          <w:szCs w:val="20"/>
        </w:rPr>
        <w:t xml:space="preserve">(hydrocodone extended-release) with </w:t>
      </w:r>
      <w:proofErr w:type="spellStart"/>
      <w:r w:rsidR="00B93021">
        <w:rPr>
          <w:rFonts w:ascii="Arial" w:hAnsi="Arial" w:cs="Arial"/>
          <w:sz w:val="20"/>
          <w:szCs w:val="20"/>
        </w:rPr>
        <w:t>BeadTek</w:t>
      </w:r>
      <w:r w:rsidR="00B93021">
        <w:rPr>
          <w:rFonts w:ascii="Arial" w:hAnsi="Arial" w:cs="Arial"/>
          <w:sz w:val="20"/>
          <w:szCs w:val="20"/>
          <w:vertAlign w:val="superscript"/>
        </w:rPr>
        <w:t>TM</w:t>
      </w:r>
      <w:proofErr w:type="spellEnd"/>
      <w:r w:rsidR="00B93021">
        <w:rPr>
          <w:rFonts w:ascii="Arial" w:hAnsi="Arial" w:cs="Arial"/>
          <w:sz w:val="20"/>
          <w:szCs w:val="20"/>
        </w:rPr>
        <w:t xml:space="preserve"> revealed no information pertinent to the potential abuse-deterrent properties of </w:t>
      </w:r>
      <w:proofErr w:type="spellStart"/>
      <w:r w:rsidR="00B93021" w:rsidRPr="008820B1">
        <w:rPr>
          <w:rFonts w:ascii="Arial" w:hAnsi="Arial" w:cs="Arial"/>
          <w:sz w:val="20"/>
          <w:szCs w:val="20"/>
        </w:rPr>
        <w:t>Zohydro</w:t>
      </w:r>
      <w:proofErr w:type="spellEnd"/>
      <w:r w:rsidR="00B93021" w:rsidRPr="008820B1">
        <w:rPr>
          <w:rFonts w:ascii="Arial" w:hAnsi="Arial" w:cs="Arial"/>
          <w:sz w:val="20"/>
          <w:szCs w:val="20"/>
        </w:rPr>
        <w:t xml:space="preserve"> ER</w:t>
      </w:r>
      <w:r w:rsidR="00B93021" w:rsidRPr="008820B1">
        <w:rPr>
          <w:rFonts w:ascii="Arial" w:hAnsi="Arial" w:cs="Arial"/>
          <w:sz w:val="20"/>
          <w:szCs w:val="20"/>
          <w:vertAlign w:val="superscript"/>
        </w:rPr>
        <w:t>®</w:t>
      </w:r>
      <w:r w:rsidR="00B93021" w:rsidRPr="008820B1">
        <w:rPr>
          <w:rFonts w:ascii="Arial" w:hAnsi="Arial" w:cs="Arial"/>
          <w:sz w:val="20"/>
          <w:szCs w:val="20"/>
        </w:rPr>
        <w:t xml:space="preserve"> </w:t>
      </w:r>
      <w:r w:rsidR="00B93021">
        <w:rPr>
          <w:rFonts w:ascii="Arial" w:hAnsi="Arial" w:cs="Arial"/>
          <w:sz w:val="20"/>
          <w:szCs w:val="20"/>
        </w:rPr>
        <w:t>(hydrocodone extended-release).</w:t>
      </w:r>
      <w:r w:rsidR="00393B85">
        <w:rPr>
          <w:rFonts w:ascii="Arial" w:hAnsi="Arial" w:cs="Arial"/>
          <w:sz w:val="20"/>
          <w:szCs w:val="20"/>
          <w:vertAlign w:val="superscript"/>
        </w:rPr>
        <w:t>12</w:t>
      </w:r>
    </w:p>
    <w:p w:rsidR="00785F78" w:rsidRPr="00083D63" w:rsidRDefault="00785F78" w:rsidP="004920E8">
      <w:pPr>
        <w:pStyle w:val="NoSpacing"/>
        <w:rPr>
          <w:rFonts w:ascii="Arial" w:hAnsi="Arial" w:cs="Arial"/>
          <w:b/>
          <w:sz w:val="20"/>
          <w:szCs w:val="20"/>
          <w:highlight w:val="yellow"/>
        </w:rPr>
      </w:pPr>
    </w:p>
    <w:p w:rsidR="00FA4396" w:rsidRPr="00821E4C" w:rsidRDefault="00FA4396" w:rsidP="00FA4396">
      <w:pPr>
        <w:pStyle w:val="NoSpacing"/>
        <w:rPr>
          <w:rFonts w:ascii="Arial" w:hAnsi="Arial" w:cs="Arial"/>
          <w:sz w:val="20"/>
          <w:szCs w:val="20"/>
        </w:rPr>
      </w:pPr>
      <w:r w:rsidRPr="00821E4C">
        <w:rPr>
          <w:rFonts w:ascii="Arial" w:hAnsi="Arial" w:cs="Arial"/>
          <w:b/>
          <w:sz w:val="20"/>
          <w:szCs w:val="20"/>
          <w:u w:val="single"/>
        </w:rPr>
        <w:t>References</w:t>
      </w:r>
    </w:p>
    <w:p w:rsidR="00083D63" w:rsidRPr="008820B1" w:rsidRDefault="00083D63" w:rsidP="00083D63">
      <w:pPr>
        <w:numPr>
          <w:ilvl w:val="0"/>
          <w:numId w:val="9"/>
        </w:numPr>
        <w:spacing w:after="0" w:line="240" w:lineRule="auto"/>
        <w:rPr>
          <w:rFonts w:ascii="Arial" w:hAnsi="Arial" w:cs="Arial"/>
          <w:sz w:val="20"/>
          <w:szCs w:val="20"/>
        </w:rPr>
      </w:pPr>
      <w:proofErr w:type="spellStart"/>
      <w:r w:rsidRPr="008820B1">
        <w:rPr>
          <w:rFonts w:ascii="Arial" w:hAnsi="Arial" w:cs="Arial"/>
          <w:sz w:val="20"/>
          <w:szCs w:val="20"/>
        </w:rPr>
        <w:t>Zohydro</w:t>
      </w:r>
      <w:proofErr w:type="spellEnd"/>
      <w:r w:rsidRPr="008820B1">
        <w:rPr>
          <w:rFonts w:ascii="Arial" w:hAnsi="Arial" w:cs="Arial"/>
          <w:sz w:val="20"/>
          <w:szCs w:val="20"/>
        </w:rPr>
        <w:t xml:space="preserve"> ER</w:t>
      </w:r>
      <w:r w:rsidR="00A16E6B" w:rsidRPr="008820B1">
        <w:rPr>
          <w:rFonts w:ascii="Arial" w:hAnsi="Arial" w:cs="Arial"/>
          <w:sz w:val="20"/>
          <w:szCs w:val="20"/>
          <w:vertAlign w:val="superscript"/>
        </w:rPr>
        <w:t>®</w:t>
      </w:r>
      <w:r w:rsidRPr="008820B1">
        <w:rPr>
          <w:rFonts w:ascii="Arial" w:hAnsi="Arial" w:cs="Arial"/>
          <w:sz w:val="20"/>
          <w:szCs w:val="20"/>
        </w:rPr>
        <w:t xml:space="preserve"> [package insert]. Morristown (NJ): </w:t>
      </w:r>
      <w:proofErr w:type="spellStart"/>
      <w:r w:rsidRPr="008820B1">
        <w:rPr>
          <w:rFonts w:ascii="Arial" w:hAnsi="Arial" w:cs="Arial"/>
          <w:sz w:val="20"/>
          <w:szCs w:val="20"/>
        </w:rPr>
        <w:t>Pernix</w:t>
      </w:r>
      <w:proofErr w:type="spellEnd"/>
      <w:r w:rsidRPr="008820B1">
        <w:rPr>
          <w:rFonts w:ascii="Arial" w:hAnsi="Arial" w:cs="Arial"/>
          <w:sz w:val="20"/>
          <w:szCs w:val="20"/>
        </w:rPr>
        <w:t xml:space="preserve"> Ireland Pain Limited; 2015 May.</w:t>
      </w:r>
    </w:p>
    <w:p w:rsidR="00083D63" w:rsidRDefault="006A2F1D" w:rsidP="00083D63">
      <w:pPr>
        <w:numPr>
          <w:ilvl w:val="0"/>
          <w:numId w:val="9"/>
        </w:numPr>
        <w:spacing w:after="0" w:line="240" w:lineRule="auto"/>
        <w:rPr>
          <w:rFonts w:ascii="Arial" w:hAnsi="Arial" w:cs="Arial"/>
          <w:sz w:val="20"/>
          <w:szCs w:val="20"/>
        </w:rPr>
      </w:pPr>
      <w:proofErr w:type="spellStart"/>
      <w:r w:rsidRPr="00BF0B26">
        <w:rPr>
          <w:rFonts w:ascii="Arial" w:hAnsi="Arial" w:cs="Arial"/>
          <w:sz w:val="20"/>
          <w:szCs w:val="20"/>
        </w:rPr>
        <w:t>Zohydro</w:t>
      </w:r>
      <w:proofErr w:type="spellEnd"/>
      <w:r w:rsidRPr="00BF0B26">
        <w:rPr>
          <w:rFonts w:ascii="Arial" w:hAnsi="Arial" w:cs="Arial"/>
          <w:sz w:val="20"/>
          <w:szCs w:val="20"/>
        </w:rPr>
        <w:t xml:space="preserve"> ER</w:t>
      </w:r>
      <w:r w:rsidR="00A16E6B" w:rsidRPr="00BF0B26">
        <w:rPr>
          <w:rFonts w:ascii="Arial" w:hAnsi="Arial" w:cs="Arial"/>
          <w:sz w:val="20"/>
          <w:szCs w:val="20"/>
          <w:vertAlign w:val="superscript"/>
        </w:rPr>
        <w:t>®</w:t>
      </w:r>
      <w:r w:rsidRPr="00BF0B26">
        <w:rPr>
          <w:rFonts w:ascii="Arial" w:hAnsi="Arial" w:cs="Arial"/>
          <w:sz w:val="20"/>
          <w:szCs w:val="20"/>
        </w:rPr>
        <w:t xml:space="preserve"> (hydrocodone </w:t>
      </w:r>
      <w:proofErr w:type="spellStart"/>
      <w:r w:rsidRPr="00BF0B26">
        <w:rPr>
          <w:rFonts w:ascii="Arial" w:hAnsi="Arial" w:cs="Arial"/>
          <w:sz w:val="20"/>
          <w:szCs w:val="20"/>
        </w:rPr>
        <w:t>bitartrate</w:t>
      </w:r>
      <w:proofErr w:type="spellEnd"/>
      <w:r w:rsidRPr="00BF0B26">
        <w:rPr>
          <w:rFonts w:ascii="Arial" w:hAnsi="Arial" w:cs="Arial"/>
          <w:sz w:val="20"/>
          <w:szCs w:val="20"/>
        </w:rPr>
        <w:t xml:space="preserve"> extended-release capsules) produc</w:t>
      </w:r>
      <w:r w:rsidR="008268E9">
        <w:rPr>
          <w:rFonts w:ascii="Arial" w:hAnsi="Arial" w:cs="Arial"/>
          <w:sz w:val="20"/>
          <w:szCs w:val="20"/>
        </w:rPr>
        <w:t>t</w:t>
      </w:r>
      <w:r w:rsidRPr="00BF0B26">
        <w:rPr>
          <w:rFonts w:ascii="Arial" w:hAnsi="Arial" w:cs="Arial"/>
          <w:sz w:val="20"/>
          <w:szCs w:val="20"/>
        </w:rPr>
        <w:t xml:space="preserve"> dossier. </w:t>
      </w:r>
      <w:r w:rsidR="00D31528">
        <w:rPr>
          <w:rFonts w:ascii="Arial" w:hAnsi="Arial" w:cs="Arial"/>
          <w:sz w:val="20"/>
          <w:szCs w:val="20"/>
        </w:rPr>
        <w:t xml:space="preserve">June </w:t>
      </w:r>
      <w:r w:rsidRPr="00BF0B26">
        <w:rPr>
          <w:rFonts w:ascii="Arial" w:hAnsi="Arial" w:cs="Arial"/>
          <w:sz w:val="20"/>
          <w:szCs w:val="20"/>
        </w:rPr>
        <w:t>201</w:t>
      </w:r>
      <w:r w:rsidR="00D31528">
        <w:rPr>
          <w:rFonts w:ascii="Arial" w:hAnsi="Arial" w:cs="Arial"/>
          <w:sz w:val="20"/>
          <w:szCs w:val="20"/>
        </w:rPr>
        <w:t>4</w:t>
      </w:r>
      <w:r w:rsidRPr="00BF0B26">
        <w:rPr>
          <w:rFonts w:ascii="Arial" w:hAnsi="Arial" w:cs="Arial"/>
          <w:sz w:val="20"/>
          <w:szCs w:val="20"/>
        </w:rPr>
        <w:t xml:space="preserve">. </w:t>
      </w:r>
      <w:proofErr w:type="spellStart"/>
      <w:r w:rsidR="00D31528">
        <w:rPr>
          <w:rFonts w:ascii="Arial" w:hAnsi="Arial" w:cs="Arial"/>
          <w:sz w:val="20"/>
          <w:szCs w:val="20"/>
        </w:rPr>
        <w:t>Zogenix</w:t>
      </w:r>
      <w:proofErr w:type="spellEnd"/>
      <w:r w:rsidR="00D31528">
        <w:rPr>
          <w:rFonts w:ascii="Arial" w:hAnsi="Arial" w:cs="Arial"/>
          <w:sz w:val="20"/>
          <w:szCs w:val="20"/>
        </w:rPr>
        <w:t>, Inc.</w:t>
      </w:r>
    </w:p>
    <w:p w:rsidR="0064148E" w:rsidRPr="0064148E" w:rsidRDefault="0064148E" w:rsidP="0064148E">
      <w:pPr>
        <w:numPr>
          <w:ilvl w:val="0"/>
          <w:numId w:val="9"/>
        </w:numPr>
        <w:spacing w:after="0" w:line="240" w:lineRule="auto"/>
        <w:rPr>
          <w:rFonts w:ascii="Arial" w:hAnsi="Arial" w:cs="Arial"/>
          <w:sz w:val="20"/>
          <w:szCs w:val="20"/>
        </w:rPr>
      </w:pPr>
      <w:proofErr w:type="spellStart"/>
      <w:r>
        <w:rPr>
          <w:rFonts w:ascii="Arial" w:hAnsi="Arial" w:cs="Arial"/>
          <w:sz w:val="20"/>
          <w:szCs w:val="20"/>
        </w:rPr>
        <w:t>Hitt</w:t>
      </w:r>
      <w:proofErr w:type="spellEnd"/>
      <w:r>
        <w:rPr>
          <w:rFonts w:ascii="Arial" w:hAnsi="Arial" w:cs="Arial"/>
          <w:sz w:val="20"/>
          <w:szCs w:val="20"/>
        </w:rPr>
        <w:t xml:space="preserve"> E. Panel Recommends Against Approval of Hydrocodone Capsules. Medscape [webpage on the internet]. 2012 Dec 10 [cited 2015 Dec 23].</w:t>
      </w:r>
    </w:p>
    <w:p w:rsidR="00083D63" w:rsidRDefault="00083D63" w:rsidP="00083D63">
      <w:pPr>
        <w:numPr>
          <w:ilvl w:val="0"/>
          <w:numId w:val="9"/>
        </w:numPr>
        <w:spacing w:after="0" w:line="240" w:lineRule="auto"/>
        <w:rPr>
          <w:rFonts w:ascii="Arial" w:hAnsi="Arial" w:cs="Arial"/>
          <w:sz w:val="20"/>
          <w:szCs w:val="20"/>
        </w:rPr>
      </w:pPr>
      <w:proofErr w:type="spellStart"/>
      <w:r w:rsidRPr="00BF0B26">
        <w:rPr>
          <w:rFonts w:ascii="Arial" w:hAnsi="Arial" w:cs="Arial"/>
          <w:sz w:val="20"/>
          <w:szCs w:val="20"/>
        </w:rPr>
        <w:lastRenderedPageBreak/>
        <w:t>Pernix</w:t>
      </w:r>
      <w:proofErr w:type="spellEnd"/>
      <w:r w:rsidRPr="00BF0B26">
        <w:rPr>
          <w:rFonts w:ascii="Arial" w:hAnsi="Arial" w:cs="Arial"/>
          <w:sz w:val="20"/>
          <w:szCs w:val="20"/>
        </w:rPr>
        <w:t xml:space="preserve"> Launches </w:t>
      </w:r>
      <w:proofErr w:type="spellStart"/>
      <w:r w:rsidRPr="00BF0B26">
        <w:rPr>
          <w:rFonts w:ascii="Arial" w:hAnsi="Arial" w:cs="Arial"/>
          <w:sz w:val="20"/>
          <w:szCs w:val="20"/>
        </w:rPr>
        <w:t>Zohydro</w:t>
      </w:r>
      <w:proofErr w:type="spellEnd"/>
      <w:r w:rsidRPr="00BF0B26">
        <w:rPr>
          <w:rFonts w:ascii="Arial" w:hAnsi="Arial" w:cs="Arial"/>
          <w:sz w:val="20"/>
          <w:szCs w:val="20"/>
        </w:rPr>
        <w:t xml:space="preserve"> ER</w:t>
      </w:r>
      <w:r w:rsidR="00A16E6B" w:rsidRPr="00BF0B26">
        <w:rPr>
          <w:rFonts w:ascii="Arial" w:hAnsi="Arial" w:cs="Arial"/>
          <w:sz w:val="20"/>
          <w:szCs w:val="20"/>
          <w:vertAlign w:val="superscript"/>
        </w:rPr>
        <w:t>®</w:t>
      </w:r>
      <w:r w:rsidRPr="00BF0B26">
        <w:rPr>
          <w:rFonts w:ascii="Arial" w:hAnsi="Arial" w:cs="Arial"/>
          <w:sz w:val="20"/>
          <w:szCs w:val="20"/>
        </w:rPr>
        <w:t xml:space="preserve"> with </w:t>
      </w:r>
      <w:proofErr w:type="spellStart"/>
      <w:r w:rsidRPr="00BF0B26">
        <w:rPr>
          <w:rFonts w:ascii="Arial" w:hAnsi="Arial" w:cs="Arial"/>
          <w:sz w:val="20"/>
          <w:szCs w:val="20"/>
        </w:rPr>
        <w:t>BeadTek</w:t>
      </w:r>
      <w:proofErr w:type="spellEnd"/>
      <w:r w:rsidRPr="00BF0B26">
        <w:rPr>
          <w:rFonts w:ascii="Arial" w:hAnsi="Arial" w:cs="Arial"/>
          <w:sz w:val="20"/>
          <w:szCs w:val="20"/>
        </w:rPr>
        <w:t>™ [press release on the internet]. Morristown (NJ). 2015 May</w:t>
      </w:r>
    </w:p>
    <w:p w:rsidR="00777933" w:rsidRPr="00BF0B26" w:rsidRDefault="00777933" w:rsidP="00083D63">
      <w:pPr>
        <w:numPr>
          <w:ilvl w:val="0"/>
          <w:numId w:val="9"/>
        </w:numPr>
        <w:spacing w:after="0" w:line="240" w:lineRule="auto"/>
        <w:rPr>
          <w:rFonts w:ascii="Arial" w:hAnsi="Arial" w:cs="Arial"/>
          <w:sz w:val="20"/>
          <w:szCs w:val="20"/>
        </w:rPr>
      </w:pPr>
      <w:proofErr w:type="spellStart"/>
      <w:r>
        <w:rPr>
          <w:rFonts w:ascii="Arial" w:hAnsi="Arial" w:cs="Arial"/>
          <w:sz w:val="20"/>
          <w:szCs w:val="20"/>
        </w:rPr>
        <w:t>Zohydro</w:t>
      </w:r>
      <w:proofErr w:type="spellEnd"/>
      <w:r>
        <w:rPr>
          <w:rFonts w:ascii="Arial" w:hAnsi="Arial" w:cs="Arial"/>
          <w:sz w:val="20"/>
          <w:szCs w:val="20"/>
        </w:rPr>
        <w:t xml:space="preserve"> ER</w:t>
      </w:r>
      <w:r w:rsidR="00A16E6B" w:rsidRPr="008820B1">
        <w:rPr>
          <w:rFonts w:ascii="Arial" w:hAnsi="Arial" w:cs="Arial"/>
          <w:sz w:val="20"/>
          <w:szCs w:val="20"/>
          <w:vertAlign w:val="superscript"/>
        </w:rPr>
        <w:t>®</w:t>
      </w:r>
      <w:r>
        <w:rPr>
          <w:rFonts w:ascii="Arial" w:hAnsi="Arial" w:cs="Arial"/>
          <w:sz w:val="20"/>
          <w:szCs w:val="20"/>
        </w:rPr>
        <w:t xml:space="preserve"> FAQs [web</w:t>
      </w:r>
      <w:r w:rsidR="00C04EA8">
        <w:rPr>
          <w:rFonts w:ascii="Arial" w:hAnsi="Arial" w:cs="Arial"/>
          <w:sz w:val="20"/>
          <w:szCs w:val="20"/>
        </w:rPr>
        <w:t>page on the internet</w:t>
      </w:r>
      <w:r>
        <w:rPr>
          <w:rFonts w:ascii="Arial" w:hAnsi="Arial" w:cs="Arial"/>
          <w:sz w:val="20"/>
          <w:szCs w:val="20"/>
        </w:rPr>
        <w:t xml:space="preserve">]. </w:t>
      </w:r>
      <w:proofErr w:type="spellStart"/>
      <w:r w:rsidR="00C04EA8" w:rsidRPr="008820B1">
        <w:rPr>
          <w:rFonts w:ascii="Arial" w:hAnsi="Arial" w:cs="Arial"/>
          <w:sz w:val="20"/>
          <w:szCs w:val="20"/>
        </w:rPr>
        <w:t>Pernix</w:t>
      </w:r>
      <w:proofErr w:type="spellEnd"/>
      <w:r w:rsidR="00C04EA8" w:rsidRPr="008820B1">
        <w:rPr>
          <w:rFonts w:ascii="Arial" w:hAnsi="Arial" w:cs="Arial"/>
          <w:sz w:val="20"/>
          <w:szCs w:val="20"/>
        </w:rPr>
        <w:t xml:space="preserve"> Ireland Pain Limited</w:t>
      </w:r>
      <w:r w:rsidR="00C04EA8">
        <w:rPr>
          <w:rFonts w:ascii="Arial" w:hAnsi="Arial" w:cs="Arial"/>
          <w:sz w:val="20"/>
          <w:szCs w:val="20"/>
        </w:rPr>
        <w:t>; 2015 Dec 23 [cited 2015 Dec 23].</w:t>
      </w:r>
    </w:p>
    <w:p w:rsidR="00591A24" w:rsidRDefault="005D0435" w:rsidP="00591A24">
      <w:pPr>
        <w:numPr>
          <w:ilvl w:val="0"/>
          <w:numId w:val="9"/>
        </w:numPr>
        <w:spacing w:after="0" w:line="240" w:lineRule="auto"/>
        <w:rPr>
          <w:rFonts w:ascii="Arial" w:hAnsi="Arial" w:cs="Arial"/>
          <w:sz w:val="20"/>
          <w:szCs w:val="20"/>
        </w:rPr>
      </w:pPr>
      <w:proofErr w:type="spellStart"/>
      <w:r w:rsidRPr="005A76DD">
        <w:rPr>
          <w:rFonts w:ascii="Arial" w:hAnsi="Arial" w:cs="Arial"/>
          <w:sz w:val="20"/>
          <w:szCs w:val="20"/>
        </w:rPr>
        <w:t>Trescot</w:t>
      </w:r>
      <w:proofErr w:type="spellEnd"/>
      <w:r w:rsidRPr="005A76DD">
        <w:rPr>
          <w:rFonts w:ascii="Arial" w:hAnsi="Arial" w:cs="Arial"/>
          <w:sz w:val="20"/>
          <w:szCs w:val="20"/>
        </w:rPr>
        <w:t xml:space="preserve"> AM, </w:t>
      </w:r>
      <w:proofErr w:type="spellStart"/>
      <w:r w:rsidRPr="005A76DD">
        <w:rPr>
          <w:rFonts w:ascii="Arial" w:hAnsi="Arial" w:cs="Arial"/>
          <w:sz w:val="20"/>
          <w:szCs w:val="20"/>
        </w:rPr>
        <w:t>Datta</w:t>
      </w:r>
      <w:proofErr w:type="spellEnd"/>
      <w:r w:rsidRPr="005A76DD">
        <w:rPr>
          <w:rFonts w:ascii="Arial" w:hAnsi="Arial" w:cs="Arial"/>
          <w:sz w:val="20"/>
          <w:szCs w:val="20"/>
        </w:rPr>
        <w:t xml:space="preserve"> S, Lee M, Hansen H. Opioid Pharmacology. Pain Physician. 2008 Mar;11(2 </w:t>
      </w:r>
      <w:proofErr w:type="spellStart"/>
      <w:r w:rsidRPr="005A76DD">
        <w:rPr>
          <w:rFonts w:ascii="Arial" w:hAnsi="Arial" w:cs="Arial"/>
          <w:sz w:val="20"/>
          <w:szCs w:val="20"/>
        </w:rPr>
        <w:t>Suppl</w:t>
      </w:r>
      <w:proofErr w:type="spellEnd"/>
      <w:r w:rsidRPr="005A76DD">
        <w:rPr>
          <w:rFonts w:ascii="Arial" w:hAnsi="Arial" w:cs="Arial"/>
          <w:sz w:val="20"/>
          <w:szCs w:val="20"/>
        </w:rPr>
        <w:t>):S133-153.</w:t>
      </w:r>
      <w:r w:rsidR="00591A24" w:rsidRPr="005A76DD">
        <w:rPr>
          <w:rFonts w:ascii="Arial" w:hAnsi="Arial" w:cs="Arial"/>
          <w:sz w:val="20"/>
          <w:szCs w:val="20"/>
        </w:rPr>
        <w:t xml:space="preserve"> </w:t>
      </w:r>
    </w:p>
    <w:p w:rsidR="00D07025" w:rsidRPr="00D07025" w:rsidRDefault="00D07025" w:rsidP="00D07025">
      <w:pPr>
        <w:numPr>
          <w:ilvl w:val="0"/>
          <w:numId w:val="9"/>
        </w:numPr>
        <w:spacing w:after="0" w:line="240" w:lineRule="auto"/>
        <w:rPr>
          <w:rFonts w:ascii="Arial" w:hAnsi="Arial" w:cs="Arial"/>
          <w:sz w:val="20"/>
          <w:szCs w:val="20"/>
        </w:rPr>
      </w:pPr>
      <w:proofErr w:type="spellStart"/>
      <w:r w:rsidRPr="00D07025">
        <w:rPr>
          <w:rFonts w:ascii="Arial" w:hAnsi="Arial" w:cs="Arial"/>
          <w:sz w:val="20"/>
          <w:szCs w:val="20"/>
        </w:rPr>
        <w:t>Rauck</w:t>
      </w:r>
      <w:proofErr w:type="spellEnd"/>
      <w:r w:rsidRPr="00D07025">
        <w:rPr>
          <w:rFonts w:ascii="Arial" w:hAnsi="Arial" w:cs="Arial"/>
          <w:sz w:val="20"/>
          <w:szCs w:val="20"/>
        </w:rPr>
        <w:t xml:space="preserve"> RL, Srinivas N, Wild JE, Walker GS, Robinson CY, Davis CS, et al. Single-Entity Hydrocodone Extended-Release Capsules in Opioid-Tolerant Subjects with Moderate-to-Severe Chronic Low Back Pain: A Randomized Double-Blind, Placebo-Controlled Study. Pain Medicine. 2014 Feb 12. </w:t>
      </w:r>
      <w:proofErr w:type="spellStart"/>
      <w:r w:rsidRPr="00D07025">
        <w:rPr>
          <w:rFonts w:ascii="Arial" w:hAnsi="Arial" w:cs="Arial"/>
          <w:sz w:val="20"/>
          <w:szCs w:val="20"/>
        </w:rPr>
        <w:t>doi</w:t>
      </w:r>
      <w:proofErr w:type="spellEnd"/>
      <w:r w:rsidRPr="00D07025">
        <w:rPr>
          <w:rFonts w:ascii="Arial" w:hAnsi="Arial" w:cs="Arial"/>
          <w:sz w:val="20"/>
          <w:szCs w:val="20"/>
        </w:rPr>
        <w:t>: 10.1111/pme.12377. [</w:t>
      </w:r>
      <w:proofErr w:type="spellStart"/>
      <w:r w:rsidRPr="00D07025">
        <w:rPr>
          <w:rFonts w:ascii="Arial" w:hAnsi="Arial" w:cs="Arial"/>
          <w:sz w:val="20"/>
          <w:szCs w:val="20"/>
        </w:rPr>
        <w:t>Epub</w:t>
      </w:r>
      <w:proofErr w:type="spellEnd"/>
      <w:r w:rsidRPr="00D07025">
        <w:rPr>
          <w:rFonts w:ascii="Arial" w:hAnsi="Arial" w:cs="Arial"/>
          <w:sz w:val="20"/>
          <w:szCs w:val="20"/>
        </w:rPr>
        <w:t xml:space="preserve"> ahead of print]</w:t>
      </w:r>
    </w:p>
    <w:p w:rsidR="00533AA3" w:rsidRPr="00533AA3" w:rsidRDefault="00533AA3" w:rsidP="00533AA3">
      <w:pPr>
        <w:pStyle w:val="ListParagraph"/>
        <w:numPr>
          <w:ilvl w:val="0"/>
          <w:numId w:val="9"/>
        </w:numPr>
        <w:rPr>
          <w:rFonts w:ascii="Arial" w:hAnsi="Arial" w:cs="Arial"/>
          <w:sz w:val="20"/>
          <w:szCs w:val="20"/>
        </w:rPr>
      </w:pPr>
      <w:r w:rsidRPr="00533AA3">
        <w:rPr>
          <w:rFonts w:ascii="Arial" w:hAnsi="Arial" w:cs="Arial"/>
          <w:sz w:val="20"/>
          <w:szCs w:val="20"/>
        </w:rPr>
        <w:t>Codeine [package insert on the internet]. Columbus (OH): Roxane Laboratories, Inc.; 2014 Sep. Available from: http://bidocs.boehringer-ingelheim.com/BIWebAccess/ViewServlet.ser?docBase=renetnt&amp;folderPath=/Prescribing+Information/PIs/Roxane/Codeine+NDA+2009/10005657_03+Codeine+NDA.pdf</w:t>
      </w:r>
    </w:p>
    <w:p w:rsidR="00533AA3" w:rsidRDefault="00533AA3" w:rsidP="00533AA3">
      <w:pPr>
        <w:pStyle w:val="ListParagraph"/>
        <w:numPr>
          <w:ilvl w:val="0"/>
          <w:numId w:val="9"/>
        </w:numPr>
        <w:rPr>
          <w:rFonts w:ascii="Arial" w:hAnsi="Arial" w:cs="Arial"/>
          <w:sz w:val="20"/>
          <w:szCs w:val="20"/>
        </w:rPr>
      </w:pPr>
      <w:proofErr w:type="spellStart"/>
      <w:r w:rsidRPr="00533AA3">
        <w:rPr>
          <w:rFonts w:ascii="Arial" w:hAnsi="Arial" w:cs="Arial"/>
          <w:sz w:val="20"/>
          <w:szCs w:val="20"/>
        </w:rPr>
        <w:t>Stauble</w:t>
      </w:r>
      <w:proofErr w:type="spellEnd"/>
      <w:r w:rsidRPr="00533AA3">
        <w:rPr>
          <w:rFonts w:ascii="Arial" w:hAnsi="Arial" w:cs="Arial"/>
          <w:sz w:val="20"/>
          <w:szCs w:val="20"/>
        </w:rPr>
        <w:t xml:space="preserve"> ME, Moore AW, </w:t>
      </w:r>
      <w:proofErr w:type="spellStart"/>
      <w:r w:rsidRPr="00533AA3">
        <w:rPr>
          <w:rFonts w:ascii="Arial" w:hAnsi="Arial" w:cs="Arial"/>
          <w:sz w:val="20"/>
          <w:szCs w:val="20"/>
        </w:rPr>
        <w:t>Langman</w:t>
      </w:r>
      <w:proofErr w:type="spellEnd"/>
      <w:r w:rsidRPr="00533AA3">
        <w:rPr>
          <w:rFonts w:ascii="Arial" w:hAnsi="Arial" w:cs="Arial"/>
          <w:sz w:val="20"/>
          <w:szCs w:val="20"/>
        </w:rPr>
        <w:t xml:space="preserve"> LJ, Boswell MV, Baumgartner R, McGee S, et al. Hydrocodone in postoperative personalized pain management: pro-drug or drug? </w:t>
      </w:r>
      <w:proofErr w:type="spellStart"/>
      <w:r w:rsidRPr="00533AA3">
        <w:rPr>
          <w:rFonts w:ascii="Arial" w:hAnsi="Arial" w:cs="Arial"/>
          <w:sz w:val="20"/>
          <w:szCs w:val="20"/>
        </w:rPr>
        <w:t>Clinica</w:t>
      </w:r>
      <w:proofErr w:type="spellEnd"/>
      <w:r w:rsidRPr="00533AA3">
        <w:rPr>
          <w:rFonts w:ascii="Arial" w:hAnsi="Arial" w:cs="Arial"/>
          <w:sz w:val="20"/>
          <w:szCs w:val="20"/>
        </w:rPr>
        <w:t xml:space="preserve"> </w:t>
      </w:r>
      <w:proofErr w:type="spellStart"/>
      <w:r w:rsidRPr="00533AA3">
        <w:rPr>
          <w:rFonts w:ascii="Arial" w:hAnsi="Arial" w:cs="Arial"/>
          <w:sz w:val="20"/>
          <w:szCs w:val="20"/>
        </w:rPr>
        <w:t>Chimica</w:t>
      </w:r>
      <w:proofErr w:type="spellEnd"/>
      <w:r w:rsidRPr="00533AA3">
        <w:rPr>
          <w:rFonts w:ascii="Arial" w:hAnsi="Arial" w:cs="Arial"/>
          <w:sz w:val="20"/>
          <w:szCs w:val="20"/>
        </w:rPr>
        <w:t xml:space="preserve"> </w:t>
      </w:r>
      <w:proofErr w:type="spellStart"/>
      <w:r w:rsidRPr="00533AA3">
        <w:rPr>
          <w:rFonts w:ascii="Arial" w:hAnsi="Arial" w:cs="Arial"/>
          <w:sz w:val="20"/>
          <w:szCs w:val="20"/>
        </w:rPr>
        <w:t>Acta</w:t>
      </w:r>
      <w:proofErr w:type="spellEnd"/>
      <w:r w:rsidRPr="00533AA3">
        <w:rPr>
          <w:rFonts w:ascii="Arial" w:hAnsi="Arial" w:cs="Arial"/>
          <w:sz w:val="20"/>
          <w:szCs w:val="20"/>
        </w:rPr>
        <w:t>. 2014 Feb 15;429:26-29.</w:t>
      </w:r>
    </w:p>
    <w:p w:rsidR="00C77660" w:rsidRDefault="00CE0BD3" w:rsidP="00CE0BD3">
      <w:pPr>
        <w:pStyle w:val="ListParagraph"/>
        <w:numPr>
          <w:ilvl w:val="0"/>
          <w:numId w:val="9"/>
        </w:numPr>
        <w:rPr>
          <w:rFonts w:ascii="Arial" w:hAnsi="Arial" w:cs="Arial"/>
          <w:sz w:val="20"/>
          <w:szCs w:val="20"/>
        </w:rPr>
      </w:pPr>
      <w:r w:rsidRPr="00CE0BD3">
        <w:rPr>
          <w:rFonts w:ascii="Arial" w:hAnsi="Arial" w:cs="Arial"/>
          <w:sz w:val="20"/>
          <w:szCs w:val="20"/>
        </w:rPr>
        <w:t>Micromedex</w:t>
      </w:r>
      <w:r w:rsidRPr="003C2451">
        <w:rPr>
          <w:rFonts w:ascii="Arial" w:hAnsi="Arial" w:cs="Arial"/>
          <w:sz w:val="20"/>
          <w:szCs w:val="20"/>
          <w:vertAlign w:val="superscript"/>
        </w:rPr>
        <w:t>®</w:t>
      </w:r>
      <w:r w:rsidRPr="00CE0BD3">
        <w:rPr>
          <w:rFonts w:ascii="Arial" w:hAnsi="Arial" w:cs="Arial"/>
          <w:sz w:val="20"/>
          <w:szCs w:val="20"/>
        </w:rPr>
        <w:t xml:space="preserve"> Healthcare Series DRUGDEX</w:t>
      </w:r>
      <w:r w:rsidRPr="003C2451">
        <w:rPr>
          <w:rFonts w:ascii="Arial" w:hAnsi="Arial" w:cs="Arial"/>
          <w:sz w:val="20"/>
          <w:szCs w:val="20"/>
          <w:vertAlign w:val="superscript"/>
        </w:rPr>
        <w:t>®</w:t>
      </w:r>
      <w:r w:rsidRPr="00CE0BD3">
        <w:rPr>
          <w:rFonts w:ascii="Arial" w:hAnsi="Arial" w:cs="Arial"/>
          <w:sz w:val="20"/>
          <w:szCs w:val="20"/>
        </w:rPr>
        <w:t xml:space="preserve"> [database on the internet]. Greenwood Village (CO): </w:t>
      </w:r>
      <w:proofErr w:type="spellStart"/>
      <w:r w:rsidRPr="00CE0BD3">
        <w:rPr>
          <w:rFonts w:ascii="Arial" w:hAnsi="Arial" w:cs="Arial"/>
          <w:sz w:val="20"/>
          <w:szCs w:val="20"/>
        </w:rPr>
        <w:t>Truven</w:t>
      </w:r>
      <w:proofErr w:type="spellEnd"/>
      <w:r w:rsidRPr="00CE0BD3">
        <w:rPr>
          <w:rFonts w:ascii="Arial" w:hAnsi="Arial" w:cs="Arial"/>
          <w:sz w:val="20"/>
          <w:szCs w:val="20"/>
        </w:rPr>
        <w:t xml:space="preserve"> Health Analytics; Updated periodically [cited 2015 Dec </w:t>
      </w:r>
      <w:r>
        <w:rPr>
          <w:rFonts w:ascii="Arial" w:hAnsi="Arial" w:cs="Arial"/>
          <w:sz w:val="20"/>
          <w:szCs w:val="20"/>
        </w:rPr>
        <w:t>15</w:t>
      </w:r>
      <w:r w:rsidRPr="00CE0BD3">
        <w:rPr>
          <w:rFonts w:ascii="Arial" w:hAnsi="Arial" w:cs="Arial"/>
          <w:sz w:val="20"/>
          <w:szCs w:val="20"/>
        </w:rPr>
        <w:t xml:space="preserve">]. Available from: </w:t>
      </w:r>
      <w:hyperlink r:id="rId14" w:history="1">
        <w:r w:rsidR="00B93021" w:rsidRPr="000E2FBE">
          <w:rPr>
            <w:rStyle w:val="Hyperlink"/>
            <w:rFonts w:ascii="Arial" w:hAnsi="Arial" w:cs="Arial"/>
            <w:sz w:val="20"/>
            <w:szCs w:val="20"/>
          </w:rPr>
          <w:t>http://www.micromedexsolutions.com/</w:t>
        </w:r>
      </w:hyperlink>
      <w:r w:rsidRPr="00CE0BD3">
        <w:rPr>
          <w:rFonts w:ascii="Arial" w:hAnsi="Arial" w:cs="Arial"/>
          <w:sz w:val="20"/>
          <w:szCs w:val="20"/>
        </w:rPr>
        <w:t>.</w:t>
      </w:r>
    </w:p>
    <w:p w:rsidR="00393B85" w:rsidRDefault="00393B85" w:rsidP="00CE0BD3">
      <w:pPr>
        <w:pStyle w:val="ListParagraph"/>
        <w:numPr>
          <w:ilvl w:val="0"/>
          <w:numId w:val="9"/>
        </w:numPr>
        <w:rPr>
          <w:rFonts w:ascii="Arial" w:hAnsi="Arial" w:cs="Arial"/>
          <w:sz w:val="20"/>
          <w:szCs w:val="20"/>
        </w:rPr>
      </w:pPr>
      <w:proofErr w:type="spellStart"/>
      <w:r>
        <w:rPr>
          <w:rFonts w:ascii="Arial" w:hAnsi="Arial" w:cs="Arial"/>
          <w:sz w:val="20"/>
          <w:szCs w:val="20"/>
        </w:rPr>
        <w:t>Zohydro</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Mechanism and Comparison of Abuse Resistance. </w:t>
      </w:r>
      <w:proofErr w:type="spellStart"/>
      <w:r>
        <w:rPr>
          <w:rFonts w:ascii="Arial" w:hAnsi="Arial" w:cs="Arial"/>
          <w:sz w:val="20"/>
          <w:szCs w:val="20"/>
        </w:rPr>
        <w:t>Pernix</w:t>
      </w:r>
      <w:proofErr w:type="spellEnd"/>
      <w:r>
        <w:rPr>
          <w:rFonts w:ascii="Arial" w:hAnsi="Arial" w:cs="Arial"/>
          <w:sz w:val="20"/>
          <w:szCs w:val="20"/>
        </w:rPr>
        <w:t xml:space="preserve"> Ireland Pain Limited; 2015 Dec 11 [cited 2016 Apr 25].</w:t>
      </w:r>
    </w:p>
    <w:p w:rsidR="00B93021" w:rsidRPr="00B93021" w:rsidRDefault="00B93021" w:rsidP="00B93021">
      <w:pPr>
        <w:pStyle w:val="ListParagraph"/>
        <w:numPr>
          <w:ilvl w:val="0"/>
          <w:numId w:val="9"/>
        </w:numPr>
        <w:rPr>
          <w:rFonts w:ascii="Arial" w:hAnsi="Arial" w:cs="Arial"/>
          <w:sz w:val="20"/>
          <w:szCs w:val="20"/>
        </w:rPr>
      </w:pPr>
      <w:proofErr w:type="spellStart"/>
      <w:r w:rsidRPr="00B93021">
        <w:rPr>
          <w:rFonts w:ascii="Arial" w:hAnsi="Arial" w:cs="Arial"/>
          <w:sz w:val="20"/>
          <w:szCs w:val="20"/>
        </w:rPr>
        <w:t>Drugs@FDA</w:t>
      </w:r>
      <w:proofErr w:type="spellEnd"/>
      <w:r w:rsidRPr="00B93021">
        <w:rPr>
          <w:rFonts w:ascii="Arial" w:hAnsi="Arial" w:cs="Arial"/>
          <w:sz w:val="20"/>
          <w:szCs w:val="20"/>
        </w:rPr>
        <w:t xml:space="preserve"> [database on the Internet]. Rockville (MD): Food and Drug Administration (US), Center for Drug Evaluation and </w:t>
      </w:r>
      <w:r>
        <w:rPr>
          <w:rFonts w:ascii="Arial" w:hAnsi="Arial" w:cs="Arial"/>
          <w:sz w:val="20"/>
          <w:szCs w:val="20"/>
        </w:rPr>
        <w:t>Research; 2016 [cited 2016 Apr 2</w:t>
      </w:r>
      <w:r w:rsidRPr="00B93021">
        <w:rPr>
          <w:rFonts w:ascii="Arial" w:hAnsi="Arial" w:cs="Arial"/>
          <w:sz w:val="20"/>
          <w:szCs w:val="20"/>
        </w:rPr>
        <w:t xml:space="preserve">5]. Available from: </w:t>
      </w:r>
      <w:hyperlink r:id="rId15" w:history="1">
        <w:r w:rsidRPr="00B93021">
          <w:rPr>
            <w:rStyle w:val="Hyperlink"/>
            <w:rFonts w:ascii="Arial" w:hAnsi="Arial" w:cs="Arial"/>
            <w:sz w:val="20"/>
            <w:szCs w:val="20"/>
          </w:rPr>
          <w:t>http</w:t>
        </w:r>
      </w:hyperlink>
      <w:hyperlink r:id="rId16" w:history="1">
        <w:r w:rsidRPr="00B93021">
          <w:rPr>
            <w:rStyle w:val="Hyperlink"/>
            <w:rFonts w:ascii="Arial" w:hAnsi="Arial" w:cs="Arial"/>
            <w:sz w:val="20"/>
            <w:szCs w:val="20"/>
          </w:rPr>
          <w:t>://www.accessdata.fda.gov/scripts/cder/drugsatfda/index.cfm</w:t>
        </w:r>
      </w:hyperlink>
      <w:r w:rsidRPr="00B93021">
        <w:rPr>
          <w:rFonts w:ascii="Arial" w:hAnsi="Arial" w:cs="Arial"/>
          <w:sz w:val="20"/>
          <w:szCs w:val="20"/>
        </w:rPr>
        <w:t>.</w:t>
      </w:r>
    </w:p>
    <w:sectPr w:rsidR="00B93021" w:rsidRPr="00B93021" w:rsidSect="00162B15">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CD" w:rsidRDefault="00A257CD" w:rsidP="001E5F88">
      <w:pPr>
        <w:spacing w:after="0" w:line="240" w:lineRule="auto"/>
      </w:pPr>
      <w:r>
        <w:separator/>
      </w:r>
    </w:p>
  </w:endnote>
  <w:endnote w:type="continuationSeparator" w:id="0">
    <w:p w:rsidR="00A257CD" w:rsidRDefault="00A257CD" w:rsidP="001E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yriadPro-BoldCon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F3C" w:rsidRPr="00071184" w:rsidRDefault="00625F3C"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625F3C" w:rsidTr="00C11BC4">
      <w:trPr>
        <w:jc w:val="center"/>
      </w:trPr>
      <w:tc>
        <w:tcPr>
          <w:tcW w:w="1420" w:type="pct"/>
        </w:tcPr>
        <w:p w:rsidR="00625F3C" w:rsidRPr="005C154A" w:rsidRDefault="00625F3C" w:rsidP="00C11BC4">
          <w:pPr>
            <w:pStyle w:val="Footer"/>
            <w:spacing w:after="0"/>
          </w:pPr>
          <w:r>
            <w:rPr>
              <w:noProof/>
            </w:rPr>
            <w:drawing>
              <wp:inline distT="0" distB="0" distL="0" distR="0" wp14:anchorId="084D57CA" wp14:editId="1A2D9ECD">
                <wp:extent cx="1391285" cy="4927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625F3C" w:rsidRPr="00C11BC4" w:rsidRDefault="00625F3C"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023DF3">
            <w:rPr>
              <w:rStyle w:val="PageNumber"/>
              <w:rFonts w:ascii="Arial" w:hAnsi="Arial" w:cs="Arial"/>
              <w:noProof/>
              <w:sz w:val="18"/>
              <w:szCs w:val="18"/>
            </w:rPr>
            <w:t>4</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023DF3">
            <w:rPr>
              <w:rStyle w:val="PageNumber"/>
              <w:rFonts w:ascii="Arial" w:hAnsi="Arial" w:cs="Arial"/>
              <w:noProof/>
              <w:sz w:val="18"/>
              <w:szCs w:val="18"/>
            </w:rPr>
            <w:t>14</w:t>
          </w:r>
          <w:r w:rsidRPr="00C11BC4">
            <w:rPr>
              <w:rStyle w:val="PageNumber"/>
              <w:rFonts w:ascii="Arial" w:hAnsi="Arial" w:cs="Arial"/>
              <w:sz w:val="18"/>
              <w:szCs w:val="18"/>
            </w:rPr>
            <w:fldChar w:fldCharType="end"/>
          </w:r>
        </w:p>
        <w:p w:rsidR="00625F3C" w:rsidRDefault="00625F3C" w:rsidP="004226F1">
          <w:pPr>
            <w:pStyle w:val="Footer"/>
            <w:spacing w:after="0"/>
            <w:jc w:val="center"/>
          </w:pPr>
          <w:r w:rsidRPr="008A4984">
            <w:rPr>
              <w:rFonts w:ascii="Arial" w:hAnsi="Arial" w:cs="Arial"/>
              <w:sz w:val="18"/>
              <w:szCs w:val="18"/>
            </w:rPr>
            <w:t xml:space="preserve">Copyright 2015 • </w:t>
          </w:r>
          <w:r w:rsidRPr="00C11BC4">
            <w:rPr>
              <w:rFonts w:ascii="Arial" w:hAnsi="Arial" w:cs="Arial"/>
              <w:sz w:val="18"/>
              <w:szCs w:val="18"/>
            </w:rPr>
            <w:t xml:space="preserve">Review Completed on </w:t>
          </w:r>
          <w:r>
            <w:rPr>
              <w:rFonts w:ascii="Arial" w:hAnsi="Arial" w:cs="Arial"/>
              <w:sz w:val="18"/>
              <w:szCs w:val="18"/>
            </w:rPr>
            <w:t>12/29/2015</w:t>
          </w:r>
        </w:p>
      </w:tc>
      <w:tc>
        <w:tcPr>
          <w:tcW w:w="1306" w:type="pct"/>
        </w:tcPr>
        <w:p w:rsidR="00625F3C" w:rsidRDefault="00625F3C" w:rsidP="00C11BC4">
          <w:pPr>
            <w:pStyle w:val="Footer"/>
            <w:spacing w:after="0"/>
            <w:jc w:val="right"/>
          </w:pPr>
        </w:p>
      </w:tc>
    </w:tr>
  </w:tbl>
  <w:p w:rsidR="00625F3C" w:rsidRPr="00071184" w:rsidRDefault="00625F3C" w:rsidP="00763120">
    <w:pPr>
      <w:pStyle w:val="NoSpacing"/>
      <w:rPr>
        <w:rFonts w:ascii="Arial" w:hAnsi="Arial" w:cs="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F3C" w:rsidRPr="00071184" w:rsidRDefault="00625F3C" w:rsidP="009632B9">
    <w:pPr>
      <w:pStyle w:val="Footer"/>
      <w:pBdr>
        <w:bottom w:val="double" w:sz="12" w:space="1" w:color="auto"/>
      </w:pBdr>
      <w:spacing w:after="120"/>
      <w:rPr>
        <w:rFonts w:ascii="Arial" w:hAnsi="Arial" w:cs="Arial"/>
        <w:sz w:val="2"/>
        <w:szCs w:val="16"/>
      </w:rPr>
    </w:pPr>
  </w:p>
  <w:tbl>
    <w:tblPr>
      <w:tblW w:w="4895" w:type="pct"/>
      <w:jc w:val="center"/>
      <w:tblLayout w:type="fixed"/>
      <w:tblCellMar>
        <w:left w:w="115" w:type="dxa"/>
        <w:right w:w="115" w:type="dxa"/>
      </w:tblCellMar>
      <w:tblLook w:val="01E0" w:firstRow="1" w:lastRow="1" w:firstColumn="1" w:lastColumn="1" w:noHBand="0" w:noVBand="0"/>
    </w:tblPr>
    <w:tblGrid>
      <w:gridCol w:w="2674"/>
      <w:gridCol w:w="4283"/>
      <w:gridCol w:w="2432"/>
    </w:tblGrid>
    <w:tr w:rsidR="00625F3C" w:rsidTr="004B173B">
      <w:trPr>
        <w:jc w:val="center"/>
      </w:trPr>
      <w:tc>
        <w:tcPr>
          <w:tcW w:w="1424" w:type="pct"/>
        </w:tcPr>
        <w:p w:rsidR="00625F3C" w:rsidRPr="005C154A" w:rsidRDefault="00625F3C" w:rsidP="00C11BC4">
          <w:pPr>
            <w:pStyle w:val="Footer"/>
            <w:spacing w:after="0"/>
          </w:pPr>
          <w:r>
            <w:rPr>
              <w:noProof/>
            </w:rPr>
            <w:drawing>
              <wp:inline distT="0" distB="0" distL="0" distR="0" wp14:anchorId="34F8C482" wp14:editId="469786F8">
                <wp:extent cx="1391285" cy="4927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81" w:type="pct"/>
        </w:tcPr>
        <w:p w:rsidR="00625F3C" w:rsidRPr="00C11BC4" w:rsidRDefault="00625F3C" w:rsidP="008A498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023DF3">
            <w:rPr>
              <w:rStyle w:val="PageNumber"/>
              <w:rFonts w:ascii="Arial" w:hAnsi="Arial" w:cs="Arial"/>
              <w:noProof/>
              <w:sz w:val="18"/>
              <w:szCs w:val="18"/>
            </w:rPr>
            <w:t>1</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023DF3">
            <w:rPr>
              <w:rStyle w:val="PageNumber"/>
              <w:rFonts w:ascii="Arial" w:hAnsi="Arial" w:cs="Arial"/>
              <w:noProof/>
              <w:sz w:val="18"/>
              <w:szCs w:val="18"/>
            </w:rPr>
            <w:t>14</w:t>
          </w:r>
          <w:r w:rsidRPr="00C11BC4">
            <w:rPr>
              <w:rStyle w:val="PageNumber"/>
              <w:rFonts w:ascii="Arial" w:hAnsi="Arial" w:cs="Arial"/>
              <w:sz w:val="18"/>
              <w:szCs w:val="18"/>
            </w:rPr>
            <w:fldChar w:fldCharType="end"/>
          </w:r>
        </w:p>
        <w:p w:rsidR="00625F3C" w:rsidRDefault="00625F3C" w:rsidP="001C6700">
          <w:pPr>
            <w:pStyle w:val="Footer"/>
            <w:spacing w:after="0"/>
            <w:jc w:val="center"/>
          </w:pPr>
          <w:r w:rsidRPr="008A4984">
            <w:rPr>
              <w:rFonts w:ascii="Arial" w:hAnsi="Arial" w:cs="Arial"/>
              <w:sz w:val="18"/>
              <w:szCs w:val="18"/>
            </w:rPr>
            <w:t xml:space="preserve">Copyright 2015 • </w:t>
          </w:r>
          <w:r w:rsidRPr="00C11BC4">
            <w:rPr>
              <w:rFonts w:ascii="Arial" w:hAnsi="Arial" w:cs="Arial"/>
              <w:sz w:val="18"/>
              <w:szCs w:val="18"/>
            </w:rPr>
            <w:t xml:space="preserve">Review Completed on </w:t>
          </w:r>
          <w:r>
            <w:rPr>
              <w:rFonts w:ascii="Arial" w:hAnsi="Arial" w:cs="Arial"/>
              <w:sz w:val="18"/>
              <w:szCs w:val="18"/>
            </w:rPr>
            <w:t>12/29/2015</w:t>
          </w:r>
        </w:p>
      </w:tc>
      <w:tc>
        <w:tcPr>
          <w:tcW w:w="1295" w:type="pct"/>
        </w:tcPr>
        <w:p w:rsidR="00625F3C" w:rsidRDefault="00625F3C" w:rsidP="004B173B">
          <w:pPr>
            <w:pStyle w:val="Footer"/>
            <w:spacing w:after="0"/>
            <w:jc w:val="center"/>
          </w:pPr>
        </w:p>
      </w:tc>
    </w:tr>
  </w:tbl>
  <w:p w:rsidR="00625F3C" w:rsidRDefault="00625F3C" w:rsidP="009632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F3C" w:rsidRPr="00071184" w:rsidRDefault="00625F3C"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3679"/>
      <w:gridCol w:w="5891"/>
      <w:gridCol w:w="3383"/>
    </w:tblGrid>
    <w:tr w:rsidR="00625F3C" w:rsidTr="00C11BC4">
      <w:trPr>
        <w:jc w:val="center"/>
      </w:trPr>
      <w:tc>
        <w:tcPr>
          <w:tcW w:w="1420" w:type="pct"/>
        </w:tcPr>
        <w:p w:rsidR="00625F3C" w:rsidRPr="005C154A" w:rsidRDefault="00625F3C" w:rsidP="00C11BC4">
          <w:pPr>
            <w:pStyle w:val="Footer"/>
            <w:spacing w:after="0"/>
          </w:pPr>
          <w:r>
            <w:rPr>
              <w:noProof/>
            </w:rPr>
            <w:drawing>
              <wp:inline distT="0" distB="0" distL="0" distR="0" wp14:anchorId="21760ADD" wp14:editId="488B79C1">
                <wp:extent cx="1391285" cy="4927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625F3C" w:rsidRPr="00C11BC4" w:rsidRDefault="00625F3C"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023DF3">
            <w:rPr>
              <w:rStyle w:val="PageNumber"/>
              <w:rFonts w:ascii="Arial" w:hAnsi="Arial" w:cs="Arial"/>
              <w:noProof/>
              <w:sz w:val="18"/>
              <w:szCs w:val="18"/>
            </w:rPr>
            <w:t>5</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023DF3">
            <w:rPr>
              <w:rStyle w:val="PageNumber"/>
              <w:rFonts w:ascii="Arial" w:hAnsi="Arial" w:cs="Arial"/>
              <w:noProof/>
              <w:sz w:val="18"/>
              <w:szCs w:val="18"/>
            </w:rPr>
            <w:t>14</w:t>
          </w:r>
          <w:r w:rsidRPr="00C11BC4">
            <w:rPr>
              <w:rStyle w:val="PageNumber"/>
              <w:rFonts w:ascii="Arial" w:hAnsi="Arial" w:cs="Arial"/>
              <w:sz w:val="18"/>
              <w:szCs w:val="18"/>
            </w:rPr>
            <w:fldChar w:fldCharType="end"/>
          </w:r>
        </w:p>
        <w:p w:rsidR="00625F3C" w:rsidRDefault="00625F3C" w:rsidP="008A4984">
          <w:pPr>
            <w:pStyle w:val="Footer"/>
            <w:spacing w:after="0"/>
            <w:jc w:val="center"/>
          </w:pPr>
          <w:r w:rsidRPr="008A4984">
            <w:rPr>
              <w:rFonts w:ascii="Arial" w:hAnsi="Arial" w:cs="Arial"/>
              <w:sz w:val="18"/>
              <w:szCs w:val="18"/>
            </w:rPr>
            <w:t xml:space="preserve">Copyright 2015 • </w:t>
          </w:r>
          <w:r w:rsidRPr="00C11BC4">
            <w:rPr>
              <w:rFonts w:ascii="Arial" w:hAnsi="Arial" w:cs="Arial"/>
              <w:sz w:val="18"/>
              <w:szCs w:val="18"/>
            </w:rPr>
            <w:t xml:space="preserve">Review Completed on </w:t>
          </w:r>
          <w:r>
            <w:rPr>
              <w:rFonts w:ascii="Arial" w:hAnsi="Arial" w:cs="Arial"/>
              <w:sz w:val="18"/>
              <w:szCs w:val="18"/>
            </w:rPr>
            <w:t>12/29/2015</w:t>
          </w:r>
        </w:p>
      </w:tc>
      <w:tc>
        <w:tcPr>
          <w:tcW w:w="1306" w:type="pct"/>
        </w:tcPr>
        <w:p w:rsidR="00625F3C" w:rsidRDefault="00625F3C" w:rsidP="00C11BC4">
          <w:pPr>
            <w:pStyle w:val="Footer"/>
            <w:spacing w:after="0"/>
            <w:jc w:val="right"/>
          </w:pPr>
        </w:p>
      </w:tc>
    </w:tr>
  </w:tbl>
  <w:p w:rsidR="00625F3C" w:rsidRPr="00071184" w:rsidRDefault="00625F3C" w:rsidP="00071184">
    <w:pPr>
      <w:pStyle w:val="NoSpacing"/>
      <w:rPr>
        <w:rFonts w:ascii="Arial" w:hAnsi="Arial" w:cs="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F3C" w:rsidRPr="00071184" w:rsidRDefault="00625F3C"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625F3C" w:rsidTr="00C11BC4">
      <w:trPr>
        <w:jc w:val="center"/>
      </w:trPr>
      <w:tc>
        <w:tcPr>
          <w:tcW w:w="1420" w:type="pct"/>
        </w:tcPr>
        <w:p w:rsidR="00625F3C" w:rsidRPr="005C154A" w:rsidRDefault="00625F3C" w:rsidP="00C11BC4">
          <w:pPr>
            <w:pStyle w:val="Footer"/>
            <w:spacing w:after="0"/>
          </w:pPr>
          <w:r>
            <w:rPr>
              <w:noProof/>
            </w:rPr>
            <w:drawing>
              <wp:inline distT="0" distB="0" distL="0" distR="0" wp14:anchorId="524288EC" wp14:editId="5D8BAF4F">
                <wp:extent cx="1391285" cy="492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625F3C" w:rsidRPr="00C11BC4" w:rsidRDefault="00625F3C"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023DF3">
            <w:rPr>
              <w:rStyle w:val="PageNumber"/>
              <w:rFonts w:ascii="Arial" w:hAnsi="Arial" w:cs="Arial"/>
              <w:noProof/>
              <w:sz w:val="18"/>
              <w:szCs w:val="18"/>
            </w:rPr>
            <w:t>14</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023DF3">
            <w:rPr>
              <w:rStyle w:val="PageNumber"/>
              <w:rFonts w:ascii="Arial" w:hAnsi="Arial" w:cs="Arial"/>
              <w:noProof/>
              <w:sz w:val="18"/>
              <w:szCs w:val="18"/>
            </w:rPr>
            <w:t>14</w:t>
          </w:r>
          <w:r w:rsidRPr="00C11BC4">
            <w:rPr>
              <w:rStyle w:val="PageNumber"/>
              <w:rFonts w:ascii="Arial" w:hAnsi="Arial" w:cs="Arial"/>
              <w:sz w:val="18"/>
              <w:szCs w:val="18"/>
            </w:rPr>
            <w:fldChar w:fldCharType="end"/>
          </w:r>
        </w:p>
        <w:p w:rsidR="00625F3C" w:rsidRDefault="00625F3C" w:rsidP="008A4984">
          <w:pPr>
            <w:pStyle w:val="Footer"/>
            <w:spacing w:after="0"/>
            <w:jc w:val="center"/>
          </w:pPr>
          <w:r w:rsidRPr="008A4984">
            <w:rPr>
              <w:rFonts w:ascii="Arial" w:hAnsi="Arial" w:cs="Arial"/>
              <w:sz w:val="18"/>
              <w:szCs w:val="18"/>
            </w:rPr>
            <w:t xml:space="preserve">Copyright 2015 • </w:t>
          </w:r>
          <w:r w:rsidRPr="00C11BC4">
            <w:rPr>
              <w:rFonts w:ascii="Arial" w:hAnsi="Arial" w:cs="Arial"/>
              <w:sz w:val="18"/>
              <w:szCs w:val="18"/>
            </w:rPr>
            <w:t xml:space="preserve">Review Completed on </w:t>
          </w:r>
          <w:r>
            <w:rPr>
              <w:rFonts w:ascii="Arial" w:hAnsi="Arial" w:cs="Arial"/>
              <w:sz w:val="18"/>
              <w:szCs w:val="18"/>
            </w:rPr>
            <w:t>12/29/2015</w:t>
          </w:r>
        </w:p>
      </w:tc>
      <w:tc>
        <w:tcPr>
          <w:tcW w:w="1306" w:type="pct"/>
        </w:tcPr>
        <w:p w:rsidR="00625F3C" w:rsidRDefault="00625F3C" w:rsidP="00C11BC4">
          <w:pPr>
            <w:pStyle w:val="Footer"/>
            <w:spacing w:after="0"/>
            <w:jc w:val="right"/>
          </w:pPr>
        </w:p>
      </w:tc>
    </w:tr>
  </w:tbl>
  <w:p w:rsidR="00625F3C" w:rsidRPr="00071184" w:rsidRDefault="00625F3C" w:rsidP="00071184">
    <w:pPr>
      <w:pStyle w:val="NoSpacing"/>
      <w:rPr>
        <w:rFonts w:ascii="Arial" w:hAnsi="Arial" w:cs="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CD" w:rsidRDefault="00A257CD" w:rsidP="001E5F88">
      <w:pPr>
        <w:spacing w:after="0" w:line="240" w:lineRule="auto"/>
      </w:pPr>
      <w:r>
        <w:separator/>
      </w:r>
    </w:p>
  </w:footnote>
  <w:footnote w:type="continuationSeparator" w:id="0">
    <w:p w:rsidR="00A257CD" w:rsidRDefault="00A257CD" w:rsidP="001E5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F3C" w:rsidRPr="00D40A11" w:rsidRDefault="00625F3C" w:rsidP="00AC3D8B">
    <w:pPr>
      <w:pStyle w:val="Header"/>
      <w:pBdr>
        <w:bottom w:val="double" w:sz="12" w:space="1" w:color="auto"/>
      </w:pBdr>
      <w:rPr>
        <w:rFonts w:ascii="Arial" w:hAnsi="Arial" w:cs="Arial"/>
        <w:color w:val="FF0000"/>
        <w:sz w:val="18"/>
        <w:szCs w:val="18"/>
        <w:u w:val="single"/>
      </w:rPr>
    </w:pPr>
    <w:r>
      <w:rPr>
        <w:rFonts w:ascii="Arial" w:hAnsi="Arial" w:cs="Arial"/>
        <w:sz w:val="18"/>
        <w:szCs w:val="18"/>
        <w:u w:val="single"/>
      </w:rPr>
      <w:t>Drug Formulary Commission Monograph</w:t>
    </w:r>
    <w:r w:rsidRPr="000F4975">
      <w:rPr>
        <w:rFonts w:ascii="Arial" w:hAnsi="Arial" w:cs="Arial"/>
        <w:sz w:val="18"/>
        <w:szCs w:val="18"/>
        <w:u w:val="single"/>
      </w:rPr>
      <w:t>:</w:t>
    </w:r>
    <w:r>
      <w:rPr>
        <w:rFonts w:ascii="Arial" w:hAnsi="Arial" w:cs="Arial"/>
        <w:sz w:val="18"/>
        <w:szCs w:val="18"/>
        <w:u w:val="single"/>
      </w:rPr>
      <w:t xml:space="preserve"> </w:t>
    </w:r>
    <w:r w:rsidRPr="004226F1">
      <w:rPr>
        <w:rFonts w:ascii="Arial" w:hAnsi="Arial" w:cs="Arial"/>
        <w:sz w:val="18"/>
        <w:szCs w:val="18"/>
        <w:u w:val="single"/>
      </w:rPr>
      <w:t>hydrocodone extended-release (</w:t>
    </w:r>
    <w:proofErr w:type="spellStart"/>
    <w:r>
      <w:rPr>
        <w:rFonts w:ascii="Arial" w:hAnsi="Arial" w:cs="Arial"/>
        <w:sz w:val="18"/>
        <w:szCs w:val="18"/>
        <w:u w:val="single"/>
      </w:rPr>
      <w:t>Zohydro</w:t>
    </w:r>
    <w:proofErr w:type="spellEnd"/>
    <w:r w:rsidRPr="004226F1">
      <w:rPr>
        <w:rFonts w:ascii="Arial" w:hAnsi="Arial" w:cs="Arial"/>
        <w:sz w:val="18"/>
        <w:szCs w:val="18"/>
        <w:u w:val="single"/>
      </w:rPr>
      <w:t xml:space="preserve"> ER</w:t>
    </w:r>
    <w:r w:rsidRPr="004226F1">
      <w:rPr>
        <w:rFonts w:ascii="Arial" w:hAnsi="Arial" w:cs="Arial"/>
        <w:sz w:val="18"/>
        <w:szCs w:val="18"/>
        <w:u w:val="single"/>
        <w:vertAlign w:val="superscript"/>
      </w:rPr>
      <w:t>®</w:t>
    </w:r>
    <w:r w:rsidRPr="004226F1">
      <w:rPr>
        <w:rFonts w:ascii="Arial" w:hAnsi="Arial" w:cs="Arial"/>
        <w:sz w:val="18"/>
        <w:szCs w:val="18"/>
        <w:u w:val="single"/>
      </w:rPr>
      <w:t>)</w:t>
    </w:r>
    <w:r w:rsidRPr="004226F1">
      <w:rPr>
        <w:rFonts w:ascii="Arial" w:hAnsi="Arial" w:cs="Arial"/>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F3C" w:rsidRPr="00D40A11" w:rsidRDefault="00625F3C" w:rsidP="009632B9">
    <w:pPr>
      <w:pStyle w:val="Header"/>
      <w:pBdr>
        <w:bottom w:val="double" w:sz="12" w:space="1" w:color="auto"/>
      </w:pBdr>
      <w:rPr>
        <w:rFonts w:ascii="Arial" w:hAnsi="Arial" w:cs="Arial"/>
        <w:color w:val="FF0000"/>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FBF"/>
    <w:multiLevelType w:val="hybridMultilevel"/>
    <w:tmpl w:val="F440C104"/>
    <w:lvl w:ilvl="0" w:tplc="250CC4F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C827B8"/>
    <w:multiLevelType w:val="multilevel"/>
    <w:tmpl w:val="713470E8"/>
    <w:lvl w:ilvl="0">
      <w:start w:val="1"/>
      <w:numFmt w:val="bullet"/>
      <w:lvlText w:val=""/>
      <w:lvlJc w:val="left"/>
      <w:pPr>
        <w:tabs>
          <w:tab w:val="num" w:pos="-7710"/>
        </w:tabs>
        <w:ind w:left="-7710" w:hanging="360"/>
      </w:pPr>
      <w:rPr>
        <w:rFonts w:ascii="Symbol" w:hAnsi="Symbol" w:hint="default"/>
        <w:sz w:val="20"/>
      </w:rPr>
    </w:lvl>
    <w:lvl w:ilvl="1" w:tentative="1">
      <w:start w:val="1"/>
      <w:numFmt w:val="bullet"/>
      <w:lvlText w:val="o"/>
      <w:lvlJc w:val="left"/>
      <w:pPr>
        <w:tabs>
          <w:tab w:val="num" w:pos="-6990"/>
        </w:tabs>
        <w:ind w:left="-6990" w:hanging="360"/>
      </w:pPr>
      <w:rPr>
        <w:rFonts w:ascii="Courier New" w:hAnsi="Courier New" w:hint="default"/>
        <w:sz w:val="20"/>
      </w:rPr>
    </w:lvl>
    <w:lvl w:ilvl="2" w:tentative="1">
      <w:start w:val="1"/>
      <w:numFmt w:val="bullet"/>
      <w:lvlText w:val=""/>
      <w:lvlJc w:val="left"/>
      <w:pPr>
        <w:tabs>
          <w:tab w:val="num" w:pos="-6270"/>
        </w:tabs>
        <w:ind w:left="-6270" w:hanging="360"/>
      </w:pPr>
      <w:rPr>
        <w:rFonts w:ascii="Wingdings" w:hAnsi="Wingdings" w:hint="default"/>
        <w:sz w:val="20"/>
      </w:rPr>
    </w:lvl>
    <w:lvl w:ilvl="3" w:tentative="1">
      <w:start w:val="1"/>
      <w:numFmt w:val="bullet"/>
      <w:lvlText w:val=""/>
      <w:lvlJc w:val="left"/>
      <w:pPr>
        <w:tabs>
          <w:tab w:val="num" w:pos="-5550"/>
        </w:tabs>
        <w:ind w:left="-5550" w:hanging="360"/>
      </w:pPr>
      <w:rPr>
        <w:rFonts w:ascii="Wingdings" w:hAnsi="Wingdings" w:hint="default"/>
        <w:sz w:val="20"/>
      </w:rPr>
    </w:lvl>
    <w:lvl w:ilvl="4" w:tentative="1">
      <w:start w:val="1"/>
      <w:numFmt w:val="bullet"/>
      <w:lvlText w:val=""/>
      <w:lvlJc w:val="left"/>
      <w:pPr>
        <w:tabs>
          <w:tab w:val="num" w:pos="-4830"/>
        </w:tabs>
        <w:ind w:left="-4830" w:hanging="360"/>
      </w:pPr>
      <w:rPr>
        <w:rFonts w:ascii="Wingdings" w:hAnsi="Wingdings" w:hint="default"/>
        <w:sz w:val="20"/>
      </w:rPr>
    </w:lvl>
    <w:lvl w:ilvl="5" w:tentative="1">
      <w:start w:val="1"/>
      <w:numFmt w:val="bullet"/>
      <w:lvlText w:val=""/>
      <w:lvlJc w:val="left"/>
      <w:pPr>
        <w:tabs>
          <w:tab w:val="num" w:pos="-4110"/>
        </w:tabs>
        <w:ind w:left="-4110" w:hanging="360"/>
      </w:pPr>
      <w:rPr>
        <w:rFonts w:ascii="Wingdings" w:hAnsi="Wingdings" w:hint="default"/>
        <w:sz w:val="20"/>
      </w:rPr>
    </w:lvl>
    <w:lvl w:ilvl="6" w:tentative="1">
      <w:start w:val="1"/>
      <w:numFmt w:val="bullet"/>
      <w:lvlText w:val=""/>
      <w:lvlJc w:val="left"/>
      <w:pPr>
        <w:tabs>
          <w:tab w:val="num" w:pos="-3390"/>
        </w:tabs>
        <w:ind w:left="-3390" w:hanging="360"/>
      </w:pPr>
      <w:rPr>
        <w:rFonts w:ascii="Wingdings" w:hAnsi="Wingdings" w:hint="default"/>
        <w:sz w:val="20"/>
      </w:rPr>
    </w:lvl>
    <w:lvl w:ilvl="7" w:tentative="1">
      <w:start w:val="1"/>
      <w:numFmt w:val="bullet"/>
      <w:lvlText w:val=""/>
      <w:lvlJc w:val="left"/>
      <w:pPr>
        <w:tabs>
          <w:tab w:val="num" w:pos="-2670"/>
        </w:tabs>
        <w:ind w:left="-2670" w:hanging="360"/>
      </w:pPr>
      <w:rPr>
        <w:rFonts w:ascii="Wingdings" w:hAnsi="Wingdings" w:hint="default"/>
        <w:sz w:val="20"/>
      </w:rPr>
    </w:lvl>
    <w:lvl w:ilvl="8" w:tentative="1">
      <w:start w:val="1"/>
      <w:numFmt w:val="bullet"/>
      <w:lvlText w:val=""/>
      <w:lvlJc w:val="left"/>
      <w:pPr>
        <w:tabs>
          <w:tab w:val="num" w:pos="-1950"/>
        </w:tabs>
        <w:ind w:left="-1950" w:hanging="360"/>
      </w:pPr>
      <w:rPr>
        <w:rFonts w:ascii="Wingdings" w:hAnsi="Wingdings" w:hint="default"/>
        <w:sz w:val="20"/>
      </w:rPr>
    </w:lvl>
  </w:abstractNum>
  <w:abstractNum w:abstractNumId="2">
    <w:nsid w:val="0C054837"/>
    <w:multiLevelType w:val="multilevel"/>
    <w:tmpl w:val="32F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802AB"/>
    <w:multiLevelType w:val="hybridMultilevel"/>
    <w:tmpl w:val="232226AE"/>
    <w:lvl w:ilvl="0" w:tplc="04090001">
      <w:start w:val="1"/>
      <w:numFmt w:val="bullet"/>
      <w:lvlText w:val=""/>
      <w:lvlJc w:val="left"/>
      <w:pPr>
        <w:tabs>
          <w:tab w:val="num" w:pos="360"/>
        </w:tabs>
        <w:ind w:left="360" w:hanging="360"/>
      </w:pPr>
      <w:rPr>
        <w:rFonts w:ascii="Symbol" w:hAnsi="Symbol" w:hint="default"/>
      </w:rPr>
    </w:lvl>
    <w:lvl w:ilvl="1" w:tplc="21787306">
      <w:start w:val="1"/>
      <w:numFmt w:val="bullet"/>
      <w:lvlText w:val="o"/>
      <w:lvlJc w:val="left"/>
      <w:pPr>
        <w:tabs>
          <w:tab w:val="num" w:pos="1080"/>
        </w:tabs>
        <w:ind w:left="1080" w:hanging="360"/>
      </w:pPr>
      <w:rPr>
        <w:rFonts w:ascii="Courier New" w:hAnsi="Courier New" w:cs="Courier New" w:hint="default"/>
        <w:color w:val="0000FF"/>
      </w:rPr>
    </w:lvl>
    <w:lvl w:ilvl="2" w:tplc="69485A78">
      <w:start w:val="1"/>
      <w:numFmt w:val="bullet"/>
      <w:lvlText w:val=""/>
      <w:lvlJc w:val="left"/>
      <w:pPr>
        <w:tabs>
          <w:tab w:val="num" w:pos="1440"/>
        </w:tabs>
        <w:ind w:left="1728" w:hanging="288"/>
      </w:pPr>
      <w:rPr>
        <w:rFonts w:ascii="Symbol" w:hAnsi="Symbol" w:hint="default"/>
        <w:color w:val="auto"/>
        <w:sz w:val="20"/>
        <w:szCs w:val="22"/>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7901DC"/>
    <w:multiLevelType w:val="hybridMultilevel"/>
    <w:tmpl w:val="E74A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F02E8"/>
    <w:multiLevelType w:val="hybridMultilevel"/>
    <w:tmpl w:val="2A0ECDAE"/>
    <w:lvl w:ilvl="0" w:tplc="13CA6DDA">
      <w:start w:val="1"/>
      <w:numFmt w:val="bullet"/>
      <w:lvlText w:val=""/>
      <w:lvlJc w:val="left"/>
      <w:pPr>
        <w:ind w:left="360" w:hanging="360"/>
      </w:pPr>
      <w:rPr>
        <w:rFonts w:ascii="Symbol" w:hAnsi="Symbol" w:hint="default"/>
        <w:color w:val="0033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6B31BA"/>
    <w:multiLevelType w:val="hybridMultilevel"/>
    <w:tmpl w:val="4508B0DC"/>
    <w:lvl w:ilvl="0" w:tplc="6218D1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B1E0F"/>
    <w:multiLevelType w:val="hybridMultilevel"/>
    <w:tmpl w:val="F0F0A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07995"/>
    <w:multiLevelType w:val="hybridMultilevel"/>
    <w:tmpl w:val="4EB0458C"/>
    <w:lvl w:ilvl="0" w:tplc="7FC40492">
      <w:start w:val="1"/>
      <w:numFmt w:val="decimal"/>
      <w:lvlText w:val="%1."/>
      <w:lvlJc w:val="left"/>
      <w:pPr>
        <w:ind w:left="360" w:hanging="360"/>
      </w:pPr>
      <w:rPr>
        <w:rFonts w:ascii="Arial" w:hAnsi="Arial" w:cs="Arial" w:hint="default"/>
        <w:b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B6C04BA"/>
    <w:multiLevelType w:val="hybridMultilevel"/>
    <w:tmpl w:val="E3362392"/>
    <w:lvl w:ilvl="0" w:tplc="7FC40492">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F7358"/>
    <w:multiLevelType w:val="hybridMultilevel"/>
    <w:tmpl w:val="A71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36D4F"/>
    <w:multiLevelType w:val="hybridMultilevel"/>
    <w:tmpl w:val="32AA2EAC"/>
    <w:lvl w:ilvl="0" w:tplc="04090001">
      <w:start w:val="1"/>
      <w:numFmt w:val="bullet"/>
      <w:lvlText w:val=""/>
      <w:lvlJc w:val="left"/>
      <w:pPr>
        <w:tabs>
          <w:tab w:val="num" w:pos="720"/>
        </w:tabs>
        <w:ind w:left="720" w:hanging="360"/>
      </w:pPr>
      <w:rPr>
        <w:rFonts w:ascii="Symbol" w:hAnsi="Symbol" w:hint="default"/>
      </w:rPr>
    </w:lvl>
    <w:lvl w:ilvl="1" w:tplc="F97A6F28">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5779C8"/>
    <w:multiLevelType w:val="hybridMultilevel"/>
    <w:tmpl w:val="E6F0196C"/>
    <w:lvl w:ilvl="0" w:tplc="A4806D56">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66780"/>
    <w:multiLevelType w:val="hybridMultilevel"/>
    <w:tmpl w:val="45448D0E"/>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D183EF0">
      <w:start w:val="1"/>
      <w:numFmt w:val="lowerLetter"/>
      <w:lvlText w:val="%3)"/>
      <w:lvlJc w:val="right"/>
      <w:pPr>
        <w:tabs>
          <w:tab w:val="num" w:pos="1800"/>
        </w:tabs>
        <w:ind w:left="1800" w:hanging="180"/>
      </w:pPr>
      <w:rPr>
        <w:rFonts w:ascii="Arial" w:eastAsia="Calibri" w:hAnsi="Arial" w:cs="Arial"/>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FF72D6E"/>
    <w:multiLevelType w:val="hybridMultilevel"/>
    <w:tmpl w:val="5C78E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C60071"/>
    <w:multiLevelType w:val="hybridMultilevel"/>
    <w:tmpl w:val="F1F02E16"/>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6">
    <w:nsid w:val="4D021C46"/>
    <w:multiLevelType w:val="multilevel"/>
    <w:tmpl w:val="A802C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201A80"/>
    <w:multiLevelType w:val="hybridMultilevel"/>
    <w:tmpl w:val="CE8ED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2FA0D73"/>
    <w:multiLevelType w:val="hybridMultilevel"/>
    <w:tmpl w:val="74DC82CA"/>
    <w:lvl w:ilvl="0" w:tplc="0E04EB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9529F2"/>
    <w:multiLevelType w:val="hybridMultilevel"/>
    <w:tmpl w:val="DBD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1449D"/>
    <w:multiLevelType w:val="hybridMultilevel"/>
    <w:tmpl w:val="0E36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E53C36"/>
    <w:multiLevelType w:val="hybridMultilevel"/>
    <w:tmpl w:val="50CAE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13"/>
  </w:num>
  <w:num w:numId="4">
    <w:abstractNumId w:val="1"/>
  </w:num>
  <w:num w:numId="5">
    <w:abstractNumId w:val="2"/>
  </w:num>
  <w:num w:numId="6">
    <w:abstractNumId w:val="16"/>
  </w:num>
  <w:num w:numId="7">
    <w:abstractNumId w:val="20"/>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21"/>
  </w:num>
  <w:num w:numId="13">
    <w:abstractNumId w:val="0"/>
  </w:num>
  <w:num w:numId="14">
    <w:abstractNumId w:val="8"/>
  </w:num>
  <w:num w:numId="15">
    <w:abstractNumId w:val="4"/>
  </w:num>
  <w:num w:numId="16">
    <w:abstractNumId w:val="10"/>
  </w:num>
  <w:num w:numId="17">
    <w:abstractNumId w:val="18"/>
  </w:num>
  <w:num w:numId="18">
    <w:abstractNumId w:val="15"/>
  </w:num>
  <w:num w:numId="19">
    <w:abstractNumId w:val="12"/>
  </w:num>
  <w:num w:numId="20">
    <w:abstractNumId w:val="6"/>
  </w:num>
  <w:num w:numId="21">
    <w:abstractNumId w:val="7"/>
  </w:num>
  <w:num w:numId="22">
    <w:abstractNumId w:val="19"/>
  </w:num>
  <w:num w:numId="2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71"/>
    <w:rsid w:val="0000156E"/>
    <w:rsid w:val="00001EFD"/>
    <w:rsid w:val="00002A01"/>
    <w:rsid w:val="00002BE5"/>
    <w:rsid w:val="00002F2E"/>
    <w:rsid w:val="0001042C"/>
    <w:rsid w:val="00012DEA"/>
    <w:rsid w:val="000130B1"/>
    <w:rsid w:val="00017BEF"/>
    <w:rsid w:val="00017E9E"/>
    <w:rsid w:val="00020A18"/>
    <w:rsid w:val="00020DBE"/>
    <w:rsid w:val="00021D4C"/>
    <w:rsid w:val="00023DF3"/>
    <w:rsid w:val="00024206"/>
    <w:rsid w:val="00030765"/>
    <w:rsid w:val="00032D3C"/>
    <w:rsid w:val="00034CAE"/>
    <w:rsid w:val="00035A44"/>
    <w:rsid w:val="00036519"/>
    <w:rsid w:val="000401E7"/>
    <w:rsid w:val="000415D6"/>
    <w:rsid w:val="00041FC8"/>
    <w:rsid w:val="00043847"/>
    <w:rsid w:val="00044E37"/>
    <w:rsid w:val="00046987"/>
    <w:rsid w:val="0005358B"/>
    <w:rsid w:val="0005363E"/>
    <w:rsid w:val="000537EE"/>
    <w:rsid w:val="000557B6"/>
    <w:rsid w:val="00055EA8"/>
    <w:rsid w:val="00066810"/>
    <w:rsid w:val="00070D57"/>
    <w:rsid w:val="00071184"/>
    <w:rsid w:val="00071643"/>
    <w:rsid w:val="000756CD"/>
    <w:rsid w:val="00076356"/>
    <w:rsid w:val="000776FD"/>
    <w:rsid w:val="00080C8B"/>
    <w:rsid w:val="00081BA6"/>
    <w:rsid w:val="00083D63"/>
    <w:rsid w:val="000860CC"/>
    <w:rsid w:val="000871AB"/>
    <w:rsid w:val="000875B1"/>
    <w:rsid w:val="000875C4"/>
    <w:rsid w:val="000877C0"/>
    <w:rsid w:val="000878AD"/>
    <w:rsid w:val="000958C3"/>
    <w:rsid w:val="0009633C"/>
    <w:rsid w:val="00096DB9"/>
    <w:rsid w:val="00097922"/>
    <w:rsid w:val="000A1B53"/>
    <w:rsid w:val="000A21B4"/>
    <w:rsid w:val="000A23C9"/>
    <w:rsid w:val="000A30B4"/>
    <w:rsid w:val="000A3FAA"/>
    <w:rsid w:val="000A41C7"/>
    <w:rsid w:val="000A5F73"/>
    <w:rsid w:val="000A69D1"/>
    <w:rsid w:val="000A6BC9"/>
    <w:rsid w:val="000A74F3"/>
    <w:rsid w:val="000B3401"/>
    <w:rsid w:val="000B3B40"/>
    <w:rsid w:val="000B40B7"/>
    <w:rsid w:val="000B6100"/>
    <w:rsid w:val="000B6AF9"/>
    <w:rsid w:val="000B7311"/>
    <w:rsid w:val="000C0564"/>
    <w:rsid w:val="000C0D2D"/>
    <w:rsid w:val="000C143E"/>
    <w:rsid w:val="000C2216"/>
    <w:rsid w:val="000C3556"/>
    <w:rsid w:val="000C4953"/>
    <w:rsid w:val="000D0FB6"/>
    <w:rsid w:val="000D193B"/>
    <w:rsid w:val="000D2531"/>
    <w:rsid w:val="000D2B95"/>
    <w:rsid w:val="000D3669"/>
    <w:rsid w:val="000D4443"/>
    <w:rsid w:val="000D4F05"/>
    <w:rsid w:val="000D5EE3"/>
    <w:rsid w:val="000D677D"/>
    <w:rsid w:val="000E049B"/>
    <w:rsid w:val="000E29CF"/>
    <w:rsid w:val="000E46FF"/>
    <w:rsid w:val="000E5038"/>
    <w:rsid w:val="000E6890"/>
    <w:rsid w:val="000E6E01"/>
    <w:rsid w:val="000E6E8D"/>
    <w:rsid w:val="000F132F"/>
    <w:rsid w:val="000F1EE0"/>
    <w:rsid w:val="000F29F9"/>
    <w:rsid w:val="000F4975"/>
    <w:rsid w:val="000F5004"/>
    <w:rsid w:val="000F616E"/>
    <w:rsid w:val="000F7B71"/>
    <w:rsid w:val="00100784"/>
    <w:rsid w:val="00102641"/>
    <w:rsid w:val="00103E40"/>
    <w:rsid w:val="00104FE4"/>
    <w:rsid w:val="00105685"/>
    <w:rsid w:val="0010594E"/>
    <w:rsid w:val="001074E4"/>
    <w:rsid w:val="00107E0F"/>
    <w:rsid w:val="001110F0"/>
    <w:rsid w:val="00111FF8"/>
    <w:rsid w:val="00114EC9"/>
    <w:rsid w:val="00117C37"/>
    <w:rsid w:val="00123D19"/>
    <w:rsid w:val="00124A17"/>
    <w:rsid w:val="00125467"/>
    <w:rsid w:val="00127E29"/>
    <w:rsid w:val="001302AF"/>
    <w:rsid w:val="00131F3A"/>
    <w:rsid w:val="001331CA"/>
    <w:rsid w:val="00134B51"/>
    <w:rsid w:val="001350F9"/>
    <w:rsid w:val="00135AF1"/>
    <w:rsid w:val="001360E8"/>
    <w:rsid w:val="00137C1F"/>
    <w:rsid w:val="00140859"/>
    <w:rsid w:val="001421D0"/>
    <w:rsid w:val="00142914"/>
    <w:rsid w:val="00146708"/>
    <w:rsid w:val="00146956"/>
    <w:rsid w:val="00147A3E"/>
    <w:rsid w:val="00147B6E"/>
    <w:rsid w:val="00147C05"/>
    <w:rsid w:val="00150F67"/>
    <w:rsid w:val="00151BDF"/>
    <w:rsid w:val="001522E0"/>
    <w:rsid w:val="00153084"/>
    <w:rsid w:val="00161C5D"/>
    <w:rsid w:val="00162B15"/>
    <w:rsid w:val="00164173"/>
    <w:rsid w:val="00164191"/>
    <w:rsid w:val="00165704"/>
    <w:rsid w:val="001723DB"/>
    <w:rsid w:val="001740BE"/>
    <w:rsid w:val="001742BC"/>
    <w:rsid w:val="001744BA"/>
    <w:rsid w:val="0017683D"/>
    <w:rsid w:val="001811FE"/>
    <w:rsid w:val="00182F9B"/>
    <w:rsid w:val="001843C5"/>
    <w:rsid w:val="00184EC9"/>
    <w:rsid w:val="001861F2"/>
    <w:rsid w:val="00187660"/>
    <w:rsid w:val="0019074D"/>
    <w:rsid w:val="00190B26"/>
    <w:rsid w:val="00190D1E"/>
    <w:rsid w:val="00192A63"/>
    <w:rsid w:val="0019441C"/>
    <w:rsid w:val="001950F9"/>
    <w:rsid w:val="001A032B"/>
    <w:rsid w:val="001A3DE1"/>
    <w:rsid w:val="001A5109"/>
    <w:rsid w:val="001A54FB"/>
    <w:rsid w:val="001A5BB9"/>
    <w:rsid w:val="001A6ED9"/>
    <w:rsid w:val="001A70F1"/>
    <w:rsid w:val="001B0A26"/>
    <w:rsid w:val="001B2859"/>
    <w:rsid w:val="001B2AD0"/>
    <w:rsid w:val="001B35F6"/>
    <w:rsid w:val="001B3C9C"/>
    <w:rsid w:val="001B7F23"/>
    <w:rsid w:val="001C18D9"/>
    <w:rsid w:val="001C2825"/>
    <w:rsid w:val="001C5893"/>
    <w:rsid w:val="001C64D1"/>
    <w:rsid w:val="001C6700"/>
    <w:rsid w:val="001C76B9"/>
    <w:rsid w:val="001D194F"/>
    <w:rsid w:val="001D198E"/>
    <w:rsid w:val="001D3C7A"/>
    <w:rsid w:val="001D4078"/>
    <w:rsid w:val="001E00DD"/>
    <w:rsid w:val="001E2A1A"/>
    <w:rsid w:val="001E2C80"/>
    <w:rsid w:val="001E3AF7"/>
    <w:rsid w:val="001E4E9A"/>
    <w:rsid w:val="001E5F88"/>
    <w:rsid w:val="001E694B"/>
    <w:rsid w:val="001F1A7E"/>
    <w:rsid w:val="001F3F59"/>
    <w:rsid w:val="001F5E79"/>
    <w:rsid w:val="001F7CFE"/>
    <w:rsid w:val="001F7E2B"/>
    <w:rsid w:val="00201C3C"/>
    <w:rsid w:val="002020FA"/>
    <w:rsid w:val="00202605"/>
    <w:rsid w:val="002028B0"/>
    <w:rsid w:val="0020385F"/>
    <w:rsid w:val="0021183C"/>
    <w:rsid w:val="002127A5"/>
    <w:rsid w:val="0021417B"/>
    <w:rsid w:val="0021782F"/>
    <w:rsid w:val="00217FE2"/>
    <w:rsid w:val="00221851"/>
    <w:rsid w:val="00224D80"/>
    <w:rsid w:val="00226AFB"/>
    <w:rsid w:val="00227103"/>
    <w:rsid w:val="002279A4"/>
    <w:rsid w:val="00227F5E"/>
    <w:rsid w:val="00230949"/>
    <w:rsid w:val="0023102E"/>
    <w:rsid w:val="00233C28"/>
    <w:rsid w:val="002344B7"/>
    <w:rsid w:val="00234764"/>
    <w:rsid w:val="00234E13"/>
    <w:rsid w:val="0023638B"/>
    <w:rsid w:val="00237628"/>
    <w:rsid w:val="00237A44"/>
    <w:rsid w:val="00241B07"/>
    <w:rsid w:val="002456E8"/>
    <w:rsid w:val="00253354"/>
    <w:rsid w:val="002574C5"/>
    <w:rsid w:val="0026215C"/>
    <w:rsid w:val="00272746"/>
    <w:rsid w:val="002732BC"/>
    <w:rsid w:val="0027416A"/>
    <w:rsid w:val="00274907"/>
    <w:rsid w:val="00274C4E"/>
    <w:rsid w:val="002764C8"/>
    <w:rsid w:val="00276B24"/>
    <w:rsid w:val="00280890"/>
    <w:rsid w:val="002830D0"/>
    <w:rsid w:val="00290082"/>
    <w:rsid w:val="0029098E"/>
    <w:rsid w:val="00290D6C"/>
    <w:rsid w:val="00291BAD"/>
    <w:rsid w:val="00291D40"/>
    <w:rsid w:val="00292298"/>
    <w:rsid w:val="002956A5"/>
    <w:rsid w:val="00297265"/>
    <w:rsid w:val="002A07F7"/>
    <w:rsid w:val="002A15C7"/>
    <w:rsid w:val="002A1A53"/>
    <w:rsid w:val="002A1FD5"/>
    <w:rsid w:val="002A2397"/>
    <w:rsid w:val="002A281B"/>
    <w:rsid w:val="002A467C"/>
    <w:rsid w:val="002A52A6"/>
    <w:rsid w:val="002A5676"/>
    <w:rsid w:val="002A5D34"/>
    <w:rsid w:val="002A6481"/>
    <w:rsid w:val="002A6FE8"/>
    <w:rsid w:val="002A7CBA"/>
    <w:rsid w:val="002A7D0D"/>
    <w:rsid w:val="002B0688"/>
    <w:rsid w:val="002B15F5"/>
    <w:rsid w:val="002B4328"/>
    <w:rsid w:val="002B596C"/>
    <w:rsid w:val="002B6EEC"/>
    <w:rsid w:val="002B7691"/>
    <w:rsid w:val="002B7E9B"/>
    <w:rsid w:val="002C1389"/>
    <w:rsid w:val="002C16A4"/>
    <w:rsid w:val="002C26EC"/>
    <w:rsid w:val="002C3594"/>
    <w:rsid w:val="002C368C"/>
    <w:rsid w:val="002C592F"/>
    <w:rsid w:val="002C641C"/>
    <w:rsid w:val="002D4368"/>
    <w:rsid w:val="002D5E5B"/>
    <w:rsid w:val="002E23D1"/>
    <w:rsid w:val="002E3DE5"/>
    <w:rsid w:val="002E49D1"/>
    <w:rsid w:val="002E4DE6"/>
    <w:rsid w:val="002E50E2"/>
    <w:rsid w:val="002E5FA4"/>
    <w:rsid w:val="002E6744"/>
    <w:rsid w:val="002E6EED"/>
    <w:rsid w:val="002F0DA8"/>
    <w:rsid w:val="002F27A2"/>
    <w:rsid w:val="002F320A"/>
    <w:rsid w:val="002F3EA4"/>
    <w:rsid w:val="002F40FA"/>
    <w:rsid w:val="002F4413"/>
    <w:rsid w:val="002F52FB"/>
    <w:rsid w:val="002F5305"/>
    <w:rsid w:val="002F788D"/>
    <w:rsid w:val="002F791F"/>
    <w:rsid w:val="003017A0"/>
    <w:rsid w:val="00303851"/>
    <w:rsid w:val="003058B9"/>
    <w:rsid w:val="00311F38"/>
    <w:rsid w:val="0031256C"/>
    <w:rsid w:val="00312586"/>
    <w:rsid w:val="00312EBF"/>
    <w:rsid w:val="00316E69"/>
    <w:rsid w:val="00317076"/>
    <w:rsid w:val="00321AF0"/>
    <w:rsid w:val="00323796"/>
    <w:rsid w:val="00323C87"/>
    <w:rsid w:val="00324083"/>
    <w:rsid w:val="003240E1"/>
    <w:rsid w:val="00324FD1"/>
    <w:rsid w:val="0032549C"/>
    <w:rsid w:val="003268DE"/>
    <w:rsid w:val="003268F7"/>
    <w:rsid w:val="00326BD0"/>
    <w:rsid w:val="00327E4C"/>
    <w:rsid w:val="00331AD7"/>
    <w:rsid w:val="003344D9"/>
    <w:rsid w:val="0033496E"/>
    <w:rsid w:val="00334CBA"/>
    <w:rsid w:val="00336EF4"/>
    <w:rsid w:val="0033720B"/>
    <w:rsid w:val="0034028F"/>
    <w:rsid w:val="0034133F"/>
    <w:rsid w:val="00346672"/>
    <w:rsid w:val="003518FB"/>
    <w:rsid w:val="0035250B"/>
    <w:rsid w:val="00352D7C"/>
    <w:rsid w:val="003554BE"/>
    <w:rsid w:val="00356F51"/>
    <w:rsid w:val="00361CC8"/>
    <w:rsid w:val="003628DE"/>
    <w:rsid w:val="003640E2"/>
    <w:rsid w:val="00364EDE"/>
    <w:rsid w:val="00366EED"/>
    <w:rsid w:val="00370F7F"/>
    <w:rsid w:val="003711D7"/>
    <w:rsid w:val="0037154D"/>
    <w:rsid w:val="00372B4E"/>
    <w:rsid w:val="00373B99"/>
    <w:rsid w:val="003745C7"/>
    <w:rsid w:val="00377AC8"/>
    <w:rsid w:val="0038147E"/>
    <w:rsid w:val="003820D0"/>
    <w:rsid w:val="0038306A"/>
    <w:rsid w:val="00383488"/>
    <w:rsid w:val="00384366"/>
    <w:rsid w:val="00385781"/>
    <w:rsid w:val="00385A9F"/>
    <w:rsid w:val="00385ECC"/>
    <w:rsid w:val="003866D4"/>
    <w:rsid w:val="00386FE0"/>
    <w:rsid w:val="0038735C"/>
    <w:rsid w:val="00387BA4"/>
    <w:rsid w:val="00390BED"/>
    <w:rsid w:val="0039107C"/>
    <w:rsid w:val="00391837"/>
    <w:rsid w:val="003931D3"/>
    <w:rsid w:val="0039355A"/>
    <w:rsid w:val="0039388F"/>
    <w:rsid w:val="00393B85"/>
    <w:rsid w:val="00394132"/>
    <w:rsid w:val="00395536"/>
    <w:rsid w:val="00395DBD"/>
    <w:rsid w:val="00396C34"/>
    <w:rsid w:val="00396DF2"/>
    <w:rsid w:val="003975A2"/>
    <w:rsid w:val="0039790E"/>
    <w:rsid w:val="003A120E"/>
    <w:rsid w:val="003A1D52"/>
    <w:rsid w:val="003A22B6"/>
    <w:rsid w:val="003A6096"/>
    <w:rsid w:val="003A67F1"/>
    <w:rsid w:val="003B010A"/>
    <w:rsid w:val="003B04FA"/>
    <w:rsid w:val="003B125B"/>
    <w:rsid w:val="003B14B9"/>
    <w:rsid w:val="003B2312"/>
    <w:rsid w:val="003B2FE1"/>
    <w:rsid w:val="003B5B3E"/>
    <w:rsid w:val="003B7237"/>
    <w:rsid w:val="003B7C44"/>
    <w:rsid w:val="003C2451"/>
    <w:rsid w:val="003C2B14"/>
    <w:rsid w:val="003C68A8"/>
    <w:rsid w:val="003D085B"/>
    <w:rsid w:val="003D0E04"/>
    <w:rsid w:val="003D499D"/>
    <w:rsid w:val="003D4F52"/>
    <w:rsid w:val="003D7BBC"/>
    <w:rsid w:val="003E1F82"/>
    <w:rsid w:val="003E241E"/>
    <w:rsid w:val="003E28A9"/>
    <w:rsid w:val="003E2D98"/>
    <w:rsid w:val="003E2E23"/>
    <w:rsid w:val="003E7337"/>
    <w:rsid w:val="003E780B"/>
    <w:rsid w:val="003E7B65"/>
    <w:rsid w:val="003F046B"/>
    <w:rsid w:val="003F05FE"/>
    <w:rsid w:val="003F06DB"/>
    <w:rsid w:val="003F0835"/>
    <w:rsid w:val="003F104E"/>
    <w:rsid w:val="003F1AA3"/>
    <w:rsid w:val="003F3017"/>
    <w:rsid w:val="003F30E9"/>
    <w:rsid w:val="003F5074"/>
    <w:rsid w:val="003F77DA"/>
    <w:rsid w:val="0040037A"/>
    <w:rsid w:val="004009F2"/>
    <w:rsid w:val="004037B6"/>
    <w:rsid w:val="0040509B"/>
    <w:rsid w:val="00406D3B"/>
    <w:rsid w:val="00407EE9"/>
    <w:rsid w:val="00410457"/>
    <w:rsid w:val="00410FDE"/>
    <w:rsid w:val="004128F5"/>
    <w:rsid w:val="0041351B"/>
    <w:rsid w:val="00414944"/>
    <w:rsid w:val="00414C86"/>
    <w:rsid w:val="00414DC1"/>
    <w:rsid w:val="00416B6F"/>
    <w:rsid w:val="00416DDD"/>
    <w:rsid w:val="004178F0"/>
    <w:rsid w:val="00417AA4"/>
    <w:rsid w:val="00421EA1"/>
    <w:rsid w:val="004226F1"/>
    <w:rsid w:val="0042324A"/>
    <w:rsid w:val="00424F9F"/>
    <w:rsid w:val="004261F2"/>
    <w:rsid w:val="00426B73"/>
    <w:rsid w:val="004319A8"/>
    <w:rsid w:val="004325F9"/>
    <w:rsid w:val="00432868"/>
    <w:rsid w:val="004333DA"/>
    <w:rsid w:val="004362BD"/>
    <w:rsid w:val="0044122B"/>
    <w:rsid w:val="00446C14"/>
    <w:rsid w:val="004471E7"/>
    <w:rsid w:val="00447DE3"/>
    <w:rsid w:val="0045080F"/>
    <w:rsid w:val="004521A7"/>
    <w:rsid w:val="00452ED0"/>
    <w:rsid w:val="00453785"/>
    <w:rsid w:val="00453ED7"/>
    <w:rsid w:val="0045413A"/>
    <w:rsid w:val="00455878"/>
    <w:rsid w:val="00457029"/>
    <w:rsid w:val="00462485"/>
    <w:rsid w:val="00464B72"/>
    <w:rsid w:val="00465812"/>
    <w:rsid w:val="004660D1"/>
    <w:rsid w:val="00467516"/>
    <w:rsid w:val="004704C6"/>
    <w:rsid w:val="00470A3F"/>
    <w:rsid w:val="00471428"/>
    <w:rsid w:val="00474A1C"/>
    <w:rsid w:val="0047527D"/>
    <w:rsid w:val="00480AD3"/>
    <w:rsid w:val="004828E1"/>
    <w:rsid w:val="00483F31"/>
    <w:rsid w:val="00486022"/>
    <w:rsid w:val="00486CF1"/>
    <w:rsid w:val="00487A88"/>
    <w:rsid w:val="00491058"/>
    <w:rsid w:val="00491914"/>
    <w:rsid w:val="00491AFA"/>
    <w:rsid w:val="00491C14"/>
    <w:rsid w:val="004920E8"/>
    <w:rsid w:val="0049378B"/>
    <w:rsid w:val="00493B77"/>
    <w:rsid w:val="00494196"/>
    <w:rsid w:val="00494EFD"/>
    <w:rsid w:val="004958D5"/>
    <w:rsid w:val="00497B13"/>
    <w:rsid w:val="00497F14"/>
    <w:rsid w:val="004A0A9C"/>
    <w:rsid w:val="004A15B3"/>
    <w:rsid w:val="004A2128"/>
    <w:rsid w:val="004A4C6D"/>
    <w:rsid w:val="004A4F2A"/>
    <w:rsid w:val="004A5149"/>
    <w:rsid w:val="004A7053"/>
    <w:rsid w:val="004B03F3"/>
    <w:rsid w:val="004B04AC"/>
    <w:rsid w:val="004B173B"/>
    <w:rsid w:val="004B2E6F"/>
    <w:rsid w:val="004B2E7B"/>
    <w:rsid w:val="004B64C1"/>
    <w:rsid w:val="004B7EB9"/>
    <w:rsid w:val="004C21F2"/>
    <w:rsid w:val="004C3FBA"/>
    <w:rsid w:val="004C4383"/>
    <w:rsid w:val="004C4386"/>
    <w:rsid w:val="004C5AA6"/>
    <w:rsid w:val="004C7C2F"/>
    <w:rsid w:val="004D02D7"/>
    <w:rsid w:val="004D0385"/>
    <w:rsid w:val="004D2522"/>
    <w:rsid w:val="004D5C46"/>
    <w:rsid w:val="004D601A"/>
    <w:rsid w:val="004D6238"/>
    <w:rsid w:val="004E23A3"/>
    <w:rsid w:val="004E58BF"/>
    <w:rsid w:val="004E5C58"/>
    <w:rsid w:val="004E7C56"/>
    <w:rsid w:val="004F261E"/>
    <w:rsid w:val="004F27CC"/>
    <w:rsid w:val="004F2DE8"/>
    <w:rsid w:val="004F44E7"/>
    <w:rsid w:val="004F5A2D"/>
    <w:rsid w:val="004F61C6"/>
    <w:rsid w:val="005014C0"/>
    <w:rsid w:val="00501AAA"/>
    <w:rsid w:val="00501B1B"/>
    <w:rsid w:val="00504E03"/>
    <w:rsid w:val="00504F6B"/>
    <w:rsid w:val="00504F97"/>
    <w:rsid w:val="005065E9"/>
    <w:rsid w:val="00506A2B"/>
    <w:rsid w:val="00507524"/>
    <w:rsid w:val="005103C2"/>
    <w:rsid w:val="00511203"/>
    <w:rsid w:val="00513476"/>
    <w:rsid w:val="0051607F"/>
    <w:rsid w:val="005160CE"/>
    <w:rsid w:val="005162E8"/>
    <w:rsid w:val="00516490"/>
    <w:rsid w:val="00517BED"/>
    <w:rsid w:val="00522099"/>
    <w:rsid w:val="00524198"/>
    <w:rsid w:val="0052433B"/>
    <w:rsid w:val="00526C44"/>
    <w:rsid w:val="00530E11"/>
    <w:rsid w:val="00531DCB"/>
    <w:rsid w:val="00533214"/>
    <w:rsid w:val="005333FA"/>
    <w:rsid w:val="00533AA3"/>
    <w:rsid w:val="00534E5A"/>
    <w:rsid w:val="005356E5"/>
    <w:rsid w:val="00536E95"/>
    <w:rsid w:val="00537D9B"/>
    <w:rsid w:val="00542A3C"/>
    <w:rsid w:val="00547FAB"/>
    <w:rsid w:val="00553AF3"/>
    <w:rsid w:val="00553D10"/>
    <w:rsid w:val="00555565"/>
    <w:rsid w:val="005560AB"/>
    <w:rsid w:val="0055637E"/>
    <w:rsid w:val="00556E25"/>
    <w:rsid w:val="00556EA8"/>
    <w:rsid w:val="00557E62"/>
    <w:rsid w:val="005606C3"/>
    <w:rsid w:val="00560B8F"/>
    <w:rsid w:val="00560CAF"/>
    <w:rsid w:val="00561D82"/>
    <w:rsid w:val="00562216"/>
    <w:rsid w:val="00562348"/>
    <w:rsid w:val="00564887"/>
    <w:rsid w:val="0056545F"/>
    <w:rsid w:val="005664A1"/>
    <w:rsid w:val="00570814"/>
    <w:rsid w:val="005714DD"/>
    <w:rsid w:val="00571F9F"/>
    <w:rsid w:val="00571FD9"/>
    <w:rsid w:val="005732F0"/>
    <w:rsid w:val="005742B7"/>
    <w:rsid w:val="0057477C"/>
    <w:rsid w:val="00575873"/>
    <w:rsid w:val="00576822"/>
    <w:rsid w:val="00587876"/>
    <w:rsid w:val="00590046"/>
    <w:rsid w:val="00590253"/>
    <w:rsid w:val="005907C0"/>
    <w:rsid w:val="00591A24"/>
    <w:rsid w:val="00591FA5"/>
    <w:rsid w:val="00594B8D"/>
    <w:rsid w:val="0059558B"/>
    <w:rsid w:val="005960E0"/>
    <w:rsid w:val="005973B2"/>
    <w:rsid w:val="00597C9B"/>
    <w:rsid w:val="005A03E1"/>
    <w:rsid w:val="005A0570"/>
    <w:rsid w:val="005A4619"/>
    <w:rsid w:val="005A5792"/>
    <w:rsid w:val="005A5B2C"/>
    <w:rsid w:val="005A6544"/>
    <w:rsid w:val="005A76DD"/>
    <w:rsid w:val="005B18BD"/>
    <w:rsid w:val="005B32F5"/>
    <w:rsid w:val="005B337C"/>
    <w:rsid w:val="005B44CD"/>
    <w:rsid w:val="005B5DB1"/>
    <w:rsid w:val="005B6BC2"/>
    <w:rsid w:val="005C50DB"/>
    <w:rsid w:val="005C60D0"/>
    <w:rsid w:val="005C66A8"/>
    <w:rsid w:val="005C66DD"/>
    <w:rsid w:val="005C7923"/>
    <w:rsid w:val="005D0435"/>
    <w:rsid w:val="005D22D4"/>
    <w:rsid w:val="005D2663"/>
    <w:rsid w:val="005D3E30"/>
    <w:rsid w:val="005D548A"/>
    <w:rsid w:val="005D585F"/>
    <w:rsid w:val="005E419D"/>
    <w:rsid w:val="005E43AE"/>
    <w:rsid w:val="005E4AEE"/>
    <w:rsid w:val="005E5637"/>
    <w:rsid w:val="005E5E50"/>
    <w:rsid w:val="005E7A09"/>
    <w:rsid w:val="005F5F0E"/>
    <w:rsid w:val="005F78F7"/>
    <w:rsid w:val="00600064"/>
    <w:rsid w:val="00602D14"/>
    <w:rsid w:val="00603258"/>
    <w:rsid w:val="006068CC"/>
    <w:rsid w:val="00606A3E"/>
    <w:rsid w:val="0060759C"/>
    <w:rsid w:val="00612CE1"/>
    <w:rsid w:val="00613973"/>
    <w:rsid w:val="006152BA"/>
    <w:rsid w:val="00615CD0"/>
    <w:rsid w:val="00622D12"/>
    <w:rsid w:val="00622DEE"/>
    <w:rsid w:val="006231B3"/>
    <w:rsid w:val="00624518"/>
    <w:rsid w:val="00625F3C"/>
    <w:rsid w:val="006263E4"/>
    <w:rsid w:val="00626427"/>
    <w:rsid w:val="00626B2F"/>
    <w:rsid w:val="00630987"/>
    <w:rsid w:val="00630EAB"/>
    <w:rsid w:val="00631189"/>
    <w:rsid w:val="00632554"/>
    <w:rsid w:val="0063259B"/>
    <w:rsid w:val="00632C79"/>
    <w:rsid w:val="00633D7D"/>
    <w:rsid w:val="00634C49"/>
    <w:rsid w:val="006358FB"/>
    <w:rsid w:val="00635C2A"/>
    <w:rsid w:val="00636F89"/>
    <w:rsid w:val="0064148E"/>
    <w:rsid w:val="0064150B"/>
    <w:rsid w:val="00642298"/>
    <w:rsid w:val="00642830"/>
    <w:rsid w:val="00642FEA"/>
    <w:rsid w:val="00645489"/>
    <w:rsid w:val="00645E1A"/>
    <w:rsid w:val="0064644D"/>
    <w:rsid w:val="006470EC"/>
    <w:rsid w:val="0064729F"/>
    <w:rsid w:val="006479A6"/>
    <w:rsid w:val="00650961"/>
    <w:rsid w:val="00651614"/>
    <w:rsid w:val="0065182B"/>
    <w:rsid w:val="00654921"/>
    <w:rsid w:val="00660070"/>
    <w:rsid w:val="00660875"/>
    <w:rsid w:val="0066161C"/>
    <w:rsid w:val="00661FB8"/>
    <w:rsid w:val="006626A1"/>
    <w:rsid w:val="006638D5"/>
    <w:rsid w:val="006652D0"/>
    <w:rsid w:val="00671B80"/>
    <w:rsid w:val="0067232D"/>
    <w:rsid w:val="006737B1"/>
    <w:rsid w:val="0067534B"/>
    <w:rsid w:val="00676170"/>
    <w:rsid w:val="006769AC"/>
    <w:rsid w:val="006770D2"/>
    <w:rsid w:val="0068024C"/>
    <w:rsid w:val="00680675"/>
    <w:rsid w:val="00681A9B"/>
    <w:rsid w:val="00683574"/>
    <w:rsid w:val="00684115"/>
    <w:rsid w:val="00685912"/>
    <w:rsid w:val="00685A61"/>
    <w:rsid w:val="0069273B"/>
    <w:rsid w:val="006929E9"/>
    <w:rsid w:val="00695A7B"/>
    <w:rsid w:val="00696060"/>
    <w:rsid w:val="00697827"/>
    <w:rsid w:val="00697EAE"/>
    <w:rsid w:val="006A231C"/>
    <w:rsid w:val="006A24AC"/>
    <w:rsid w:val="006A29B6"/>
    <w:rsid w:val="006A2F1D"/>
    <w:rsid w:val="006A311C"/>
    <w:rsid w:val="006A3A74"/>
    <w:rsid w:val="006A3AA0"/>
    <w:rsid w:val="006A4F30"/>
    <w:rsid w:val="006A5600"/>
    <w:rsid w:val="006B0A16"/>
    <w:rsid w:val="006B153F"/>
    <w:rsid w:val="006B18B5"/>
    <w:rsid w:val="006B1F86"/>
    <w:rsid w:val="006B2BB7"/>
    <w:rsid w:val="006B2C1B"/>
    <w:rsid w:val="006B3463"/>
    <w:rsid w:val="006B3FCB"/>
    <w:rsid w:val="006B4B41"/>
    <w:rsid w:val="006B6AD3"/>
    <w:rsid w:val="006B7813"/>
    <w:rsid w:val="006B7CA4"/>
    <w:rsid w:val="006B7EF5"/>
    <w:rsid w:val="006C09D6"/>
    <w:rsid w:val="006C3B25"/>
    <w:rsid w:val="006C4D6D"/>
    <w:rsid w:val="006C61DC"/>
    <w:rsid w:val="006C7016"/>
    <w:rsid w:val="006D3F1C"/>
    <w:rsid w:val="006D420E"/>
    <w:rsid w:val="006D48D0"/>
    <w:rsid w:val="006D4974"/>
    <w:rsid w:val="006D5290"/>
    <w:rsid w:val="006D7873"/>
    <w:rsid w:val="006E0759"/>
    <w:rsid w:val="006E1C3F"/>
    <w:rsid w:val="006E3EE2"/>
    <w:rsid w:val="006E5BCE"/>
    <w:rsid w:val="006E62AB"/>
    <w:rsid w:val="006E6E23"/>
    <w:rsid w:val="006E70C5"/>
    <w:rsid w:val="006E7EBC"/>
    <w:rsid w:val="006F18DA"/>
    <w:rsid w:val="006F205B"/>
    <w:rsid w:val="006F2D14"/>
    <w:rsid w:val="006F4FFF"/>
    <w:rsid w:val="007009D6"/>
    <w:rsid w:val="007022AE"/>
    <w:rsid w:val="007033A9"/>
    <w:rsid w:val="00706D8D"/>
    <w:rsid w:val="00707055"/>
    <w:rsid w:val="00711F4A"/>
    <w:rsid w:val="00712887"/>
    <w:rsid w:val="007159AA"/>
    <w:rsid w:val="007179DE"/>
    <w:rsid w:val="00721569"/>
    <w:rsid w:val="007219C0"/>
    <w:rsid w:val="00723EE4"/>
    <w:rsid w:val="007255E9"/>
    <w:rsid w:val="00726A30"/>
    <w:rsid w:val="0072712F"/>
    <w:rsid w:val="00727982"/>
    <w:rsid w:val="00727AB5"/>
    <w:rsid w:val="00730BE7"/>
    <w:rsid w:val="00731BF3"/>
    <w:rsid w:val="007328D9"/>
    <w:rsid w:val="00733792"/>
    <w:rsid w:val="00733CEF"/>
    <w:rsid w:val="007340DD"/>
    <w:rsid w:val="007349F7"/>
    <w:rsid w:val="00734B3E"/>
    <w:rsid w:val="00735F5A"/>
    <w:rsid w:val="007374DB"/>
    <w:rsid w:val="007375ED"/>
    <w:rsid w:val="00737B09"/>
    <w:rsid w:val="00742335"/>
    <w:rsid w:val="0074436D"/>
    <w:rsid w:val="007503D1"/>
    <w:rsid w:val="00750E22"/>
    <w:rsid w:val="007542F0"/>
    <w:rsid w:val="0075538D"/>
    <w:rsid w:val="007553F1"/>
    <w:rsid w:val="007567EF"/>
    <w:rsid w:val="0075680D"/>
    <w:rsid w:val="00760BD3"/>
    <w:rsid w:val="00761627"/>
    <w:rsid w:val="007624C8"/>
    <w:rsid w:val="00762572"/>
    <w:rsid w:val="00763120"/>
    <w:rsid w:val="007672BA"/>
    <w:rsid w:val="00767C27"/>
    <w:rsid w:val="007708FC"/>
    <w:rsid w:val="00770B40"/>
    <w:rsid w:val="00770FA6"/>
    <w:rsid w:val="007712F4"/>
    <w:rsid w:val="00772162"/>
    <w:rsid w:val="00773158"/>
    <w:rsid w:val="00774257"/>
    <w:rsid w:val="007749DC"/>
    <w:rsid w:val="00777933"/>
    <w:rsid w:val="00777EFC"/>
    <w:rsid w:val="00780E58"/>
    <w:rsid w:val="00780EB3"/>
    <w:rsid w:val="0078208E"/>
    <w:rsid w:val="00783A18"/>
    <w:rsid w:val="00784730"/>
    <w:rsid w:val="00785F78"/>
    <w:rsid w:val="00790792"/>
    <w:rsid w:val="007907CD"/>
    <w:rsid w:val="00791BB0"/>
    <w:rsid w:val="0079210A"/>
    <w:rsid w:val="00793E2C"/>
    <w:rsid w:val="00793E3B"/>
    <w:rsid w:val="00794744"/>
    <w:rsid w:val="007966C1"/>
    <w:rsid w:val="007A00B9"/>
    <w:rsid w:val="007A29C7"/>
    <w:rsid w:val="007A3665"/>
    <w:rsid w:val="007A48E6"/>
    <w:rsid w:val="007B04E9"/>
    <w:rsid w:val="007B04F7"/>
    <w:rsid w:val="007B0F6E"/>
    <w:rsid w:val="007B54FB"/>
    <w:rsid w:val="007C12D7"/>
    <w:rsid w:val="007C3F92"/>
    <w:rsid w:val="007C7428"/>
    <w:rsid w:val="007D05D5"/>
    <w:rsid w:val="007D17D2"/>
    <w:rsid w:val="007D17F4"/>
    <w:rsid w:val="007D1F92"/>
    <w:rsid w:val="007D4CC0"/>
    <w:rsid w:val="007D4F2F"/>
    <w:rsid w:val="007D504C"/>
    <w:rsid w:val="007D50DD"/>
    <w:rsid w:val="007D5F1F"/>
    <w:rsid w:val="007E1728"/>
    <w:rsid w:val="007E3077"/>
    <w:rsid w:val="007E500A"/>
    <w:rsid w:val="007E6201"/>
    <w:rsid w:val="007F1E0A"/>
    <w:rsid w:val="007F22D1"/>
    <w:rsid w:val="007F2BBD"/>
    <w:rsid w:val="007F423A"/>
    <w:rsid w:val="007F4DF8"/>
    <w:rsid w:val="007F7A3A"/>
    <w:rsid w:val="0080073D"/>
    <w:rsid w:val="0080135E"/>
    <w:rsid w:val="00801FC6"/>
    <w:rsid w:val="0080603F"/>
    <w:rsid w:val="008064DD"/>
    <w:rsid w:val="00806843"/>
    <w:rsid w:val="00806962"/>
    <w:rsid w:val="008069BE"/>
    <w:rsid w:val="008079F0"/>
    <w:rsid w:val="008100EA"/>
    <w:rsid w:val="00810AF7"/>
    <w:rsid w:val="00813843"/>
    <w:rsid w:val="00815007"/>
    <w:rsid w:val="0081546F"/>
    <w:rsid w:val="00815E63"/>
    <w:rsid w:val="00821E4C"/>
    <w:rsid w:val="008225F8"/>
    <w:rsid w:val="00823F9B"/>
    <w:rsid w:val="008250E8"/>
    <w:rsid w:val="00825719"/>
    <w:rsid w:val="00825B59"/>
    <w:rsid w:val="008268E9"/>
    <w:rsid w:val="00830201"/>
    <w:rsid w:val="00831D33"/>
    <w:rsid w:val="00831EDE"/>
    <w:rsid w:val="00832C0A"/>
    <w:rsid w:val="00832C8C"/>
    <w:rsid w:val="0083476D"/>
    <w:rsid w:val="00834EFB"/>
    <w:rsid w:val="0083652A"/>
    <w:rsid w:val="008418E8"/>
    <w:rsid w:val="00841A07"/>
    <w:rsid w:val="00843ED9"/>
    <w:rsid w:val="00844C58"/>
    <w:rsid w:val="008459A1"/>
    <w:rsid w:val="008476DC"/>
    <w:rsid w:val="00851D5F"/>
    <w:rsid w:val="00851ECF"/>
    <w:rsid w:val="008528A2"/>
    <w:rsid w:val="00855B3E"/>
    <w:rsid w:val="00856832"/>
    <w:rsid w:val="00857F09"/>
    <w:rsid w:val="008620F8"/>
    <w:rsid w:val="00862AE8"/>
    <w:rsid w:val="008641CA"/>
    <w:rsid w:val="00867BF9"/>
    <w:rsid w:val="00873683"/>
    <w:rsid w:val="00874A19"/>
    <w:rsid w:val="00882CF4"/>
    <w:rsid w:val="00882DB7"/>
    <w:rsid w:val="00884B53"/>
    <w:rsid w:val="00885088"/>
    <w:rsid w:val="00885859"/>
    <w:rsid w:val="0088604C"/>
    <w:rsid w:val="00886C0A"/>
    <w:rsid w:val="0089051B"/>
    <w:rsid w:val="00890985"/>
    <w:rsid w:val="008918C9"/>
    <w:rsid w:val="0089391A"/>
    <w:rsid w:val="008945DA"/>
    <w:rsid w:val="00896B92"/>
    <w:rsid w:val="008A1E43"/>
    <w:rsid w:val="008A2F52"/>
    <w:rsid w:val="008A3CC9"/>
    <w:rsid w:val="008A4984"/>
    <w:rsid w:val="008A70B6"/>
    <w:rsid w:val="008B06EC"/>
    <w:rsid w:val="008B1B86"/>
    <w:rsid w:val="008B2586"/>
    <w:rsid w:val="008B2797"/>
    <w:rsid w:val="008B32A0"/>
    <w:rsid w:val="008B40A6"/>
    <w:rsid w:val="008B72C5"/>
    <w:rsid w:val="008C2D56"/>
    <w:rsid w:val="008C3CA5"/>
    <w:rsid w:val="008D034B"/>
    <w:rsid w:val="008D0978"/>
    <w:rsid w:val="008D1C0E"/>
    <w:rsid w:val="008D2420"/>
    <w:rsid w:val="008D34F9"/>
    <w:rsid w:val="008D5BFA"/>
    <w:rsid w:val="008D62BE"/>
    <w:rsid w:val="008D6BCA"/>
    <w:rsid w:val="008D7E1F"/>
    <w:rsid w:val="008D7FB1"/>
    <w:rsid w:val="008E020A"/>
    <w:rsid w:val="008E0D2E"/>
    <w:rsid w:val="008E18D0"/>
    <w:rsid w:val="008E4170"/>
    <w:rsid w:val="008E41E0"/>
    <w:rsid w:val="008E4C01"/>
    <w:rsid w:val="008E4DB5"/>
    <w:rsid w:val="008E5ABA"/>
    <w:rsid w:val="008E7C04"/>
    <w:rsid w:val="008F12A4"/>
    <w:rsid w:val="008F1EBB"/>
    <w:rsid w:val="008F24F3"/>
    <w:rsid w:val="008F26D6"/>
    <w:rsid w:val="008F3405"/>
    <w:rsid w:val="008F42FD"/>
    <w:rsid w:val="008F6A10"/>
    <w:rsid w:val="00900E28"/>
    <w:rsid w:val="0090331E"/>
    <w:rsid w:val="0090535C"/>
    <w:rsid w:val="00906019"/>
    <w:rsid w:val="00906BD1"/>
    <w:rsid w:val="009070F0"/>
    <w:rsid w:val="009073B1"/>
    <w:rsid w:val="00910105"/>
    <w:rsid w:val="00913014"/>
    <w:rsid w:val="00913644"/>
    <w:rsid w:val="00915A6F"/>
    <w:rsid w:val="00917378"/>
    <w:rsid w:val="00917F2E"/>
    <w:rsid w:val="00920DA7"/>
    <w:rsid w:val="00920FE1"/>
    <w:rsid w:val="009210ED"/>
    <w:rsid w:val="00921BCB"/>
    <w:rsid w:val="00922C8E"/>
    <w:rsid w:val="0092328E"/>
    <w:rsid w:val="00923851"/>
    <w:rsid w:val="00924F3E"/>
    <w:rsid w:val="0093521C"/>
    <w:rsid w:val="00935A66"/>
    <w:rsid w:val="009361B3"/>
    <w:rsid w:val="009361C2"/>
    <w:rsid w:val="00936531"/>
    <w:rsid w:val="00942119"/>
    <w:rsid w:val="00942AF6"/>
    <w:rsid w:val="0094351F"/>
    <w:rsid w:val="00945436"/>
    <w:rsid w:val="00947D4D"/>
    <w:rsid w:val="009504FE"/>
    <w:rsid w:val="0095079D"/>
    <w:rsid w:val="009515CD"/>
    <w:rsid w:val="00953D77"/>
    <w:rsid w:val="0095556A"/>
    <w:rsid w:val="00957BBA"/>
    <w:rsid w:val="009603ED"/>
    <w:rsid w:val="009630BB"/>
    <w:rsid w:val="009632B9"/>
    <w:rsid w:val="009646DF"/>
    <w:rsid w:val="00965695"/>
    <w:rsid w:val="0096642F"/>
    <w:rsid w:val="0096691E"/>
    <w:rsid w:val="0096771C"/>
    <w:rsid w:val="00967D88"/>
    <w:rsid w:val="00970A1F"/>
    <w:rsid w:val="009728FB"/>
    <w:rsid w:val="00972E3B"/>
    <w:rsid w:val="00972E5B"/>
    <w:rsid w:val="009738DE"/>
    <w:rsid w:val="00974BD8"/>
    <w:rsid w:val="00976BFE"/>
    <w:rsid w:val="0097717A"/>
    <w:rsid w:val="00980597"/>
    <w:rsid w:val="00981A22"/>
    <w:rsid w:val="00982600"/>
    <w:rsid w:val="00983964"/>
    <w:rsid w:val="00983D8D"/>
    <w:rsid w:val="00986EA2"/>
    <w:rsid w:val="009878A1"/>
    <w:rsid w:val="00987E8A"/>
    <w:rsid w:val="0099155D"/>
    <w:rsid w:val="00991D2F"/>
    <w:rsid w:val="00992C06"/>
    <w:rsid w:val="00993018"/>
    <w:rsid w:val="00995C3C"/>
    <w:rsid w:val="00995D09"/>
    <w:rsid w:val="0099741E"/>
    <w:rsid w:val="009A0063"/>
    <w:rsid w:val="009A05AD"/>
    <w:rsid w:val="009A0998"/>
    <w:rsid w:val="009A2A11"/>
    <w:rsid w:val="009A57A1"/>
    <w:rsid w:val="009A61FA"/>
    <w:rsid w:val="009A63D8"/>
    <w:rsid w:val="009A67E2"/>
    <w:rsid w:val="009B69D3"/>
    <w:rsid w:val="009B69FA"/>
    <w:rsid w:val="009B7C8D"/>
    <w:rsid w:val="009B7DCB"/>
    <w:rsid w:val="009C5A51"/>
    <w:rsid w:val="009C6D9C"/>
    <w:rsid w:val="009C7CA7"/>
    <w:rsid w:val="009D19C3"/>
    <w:rsid w:val="009D1A73"/>
    <w:rsid w:val="009D214B"/>
    <w:rsid w:val="009D31B4"/>
    <w:rsid w:val="009D4DE8"/>
    <w:rsid w:val="009D6C4D"/>
    <w:rsid w:val="009E0670"/>
    <w:rsid w:val="009E0B49"/>
    <w:rsid w:val="009E0F77"/>
    <w:rsid w:val="009E2480"/>
    <w:rsid w:val="009E4D14"/>
    <w:rsid w:val="009E51EC"/>
    <w:rsid w:val="009E7874"/>
    <w:rsid w:val="009F02E1"/>
    <w:rsid w:val="009F0377"/>
    <w:rsid w:val="009F04CC"/>
    <w:rsid w:val="009F4123"/>
    <w:rsid w:val="009F434C"/>
    <w:rsid w:val="009F5A3B"/>
    <w:rsid w:val="00A0078C"/>
    <w:rsid w:val="00A0084A"/>
    <w:rsid w:val="00A023AD"/>
    <w:rsid w:val="00A03111"/>
    <w:rsid w:val="00A04901"/>
    <w:rsid w:val="00A0691A"/>
    <w:rsid w:val="00A06FCE"/>
    <w:rsid w:val="00A128DC"/>
    <w:rsid w:val="00A1361E"/>
    <w:rsid w:val="00A154B7"/>
    <w:rsid w:val="00A16167"/>
    <w:rsid w:val="00A16E6B"/>
    <w:rsid w:val="00A2049C"/>
    <w:rsid w:val="00A2107E"/>
    <w:rsid w:val="00A21E3F"/>
    <w:rsid w:val="00A24FF3"/>
    <w:rsid w:val="00A257CD"/>
    <w:rsid w:val="00A26DB4"/>
    <w:rsid w:val="00A347C5"/>
    <w:rsid w:val="00A357F6"/>
    <w:rsid w:val="00A360D8"/>
    <w:rsid w:val="00A4262B"/>
    <w:rsid w:val="00A4269A"/>
    <w:rsid w:val="00A43B20"/>
    <w:rsid w:val="00A43E45"/>
    <w:rsid w:val="00A4565E"/>
    <w:rsid w:val="00A4607A"/>
    <w:rsid w:val="00A47D88"/>
    <w:rsid w:val="00A508C9"/>
    <w:rsid w:val="00A50988"/>
    <w:rsid w:val="00A50C9B"/>
    <w:rsid w:val="00A511A4"/>
    <w:rsid w:val="00A519A5"/>
    <w:rsid w:val="00A521B2"/>
    <w:rsid w:val="00A5258A"/>
    <w:rsid w:val="00A53861"/>
    <w:rsid w:val="00A55267"/>
    <w:rsid w:val="00A60FA3"/>
    <w:rsid w:val="00A61962"/>
    <w:rsid w:val="00A621EE"/>
    <w:rsid w:val="00A625DA"/>
    <w:rsid w:val="00A629F7"/>
    <w:rsid w:val="00A65177"/>
    <w:rsid w:val="00A65583"/>
    <w:rsid w:val="00A664E4"/>
    <w:rsid w:val="00A770B6"/>
    <w:rsid w:val="00A77B7E"/>
    <w:rsid w:val="00A8226D"/>
    <w:rsid w:val="00A8248F"/>
    <w:rsid w:val="00A83096"/>
    <w:rsid w:val="00A84C47"/>
    <w:rsid w:val="00A90545"/>
    <w:rsid w:val="00A9252C"/>
    <w:rsid w:val="00A93784"/>
    <w:rsid w:val="00A94BE6"/>
    <w:rsid w:val="00A94FDD"/>
    <w:rsid w:val="00A957C1"/>
    <w:rsid w:val="00A95E04"/>
    <w:rsid w:val="00A968A5"/>
    <w:rsid w:val="00AA00A0"/>
    <w:rsid w:val="00AA0AA1"/>
    <w:rsid w:val="00AA2758"/>
    <w:rsid w:val="00AA4C65"/>
    <w:rsid w:val="00AA5B5A"/>
    <w:rsid w:val="00AA5CB1"/>
    <w:rsid w:val="00AA60C8"/>
    <w:rsid w:val="00AA6AAC"/>
    <w:rsid w:val="00AB0F7F"/>
    <w:rsid w:val="00AB2378"/>
    <w:rsid w:val="00AB2740"/>
    <w:rsid w:val="00AB342E"/>
    <w:rsid w:val="00AB3736"/>
    <w:rsid w:val="00AB3934"/>
    <w:rsid w:val="00AB3F29"/>
    <w:rsid w:val="00AB505A"/>
    <w:rsid w:val="00AB521E"/>
    <w:rsid w:val="00AB5347"/>
    <w:rsid w:val="00AC29F5"/>
    <w:rsid w:val="00AC3D8B"/>
    <w:rsid w:val="00AC534E"/>
    <w:rsid w:val="00AC6518"/>
    <w:rsid w:val="00AD0891"/>
    <w:rsid w:val="00AD1131"/>
    <w:rsid w:val="00AD2821"/>
    <w:rsid w:val="00AD32A6"/>
    <w:rsid w:val="00AD332F"/>
    <w:rsid w:val="00AD5D98"/>
    <w:rsid w:val="00AE0429"/>
    <w:rsid w:val="00AE12E6"/>
    <w:rsid w:val="00AE2C20"/>
    <w:rsid w:val="00AE304E"/>
    <w:rsid w:val="00AE32D7"/>
    <w:rsid w:val="00AE4171"/>
    <w:rsid w:val="00AE5757"/>
    <w:rsid w:val="00AE5B18"/>
    <w:rsid w:val="00AE5F46"/>
    <w:rsid w:val="00AE634F"/>
    <w:rsid w:val="00AE6BD8"/>
    <w:rsid w:val="00AE7966"/>
    <w:rsid w:val="00AE7C5C"/>
    <w:rsid w:val="00AF070C"/>
    <w:rsid w:val="00AF1CC2"/>
    <w:rsid w:val="00AF1F1A"/>
    <w:rsid w:val="00AF20B7"/>
    <w:rsid w:val="00AF6B36"/>
    <w:rsid w:val="00B029D3"/>
    <w:rsid w:val="00B03C22"/>
    <w:rsid w:val="00B04567"/>
    <w:rsid w:val="00B05EA7"/>
    <w:rsid w:val="00B10017"/>
    <w:rsid w:val="00B11BCD"/>
    <w:rsid w:val="00B1230B"/>
    <w:rsid w:val="00B155E8"/>
    <w:rsid w:val="00B16775"/>
    <w:rsid w:val="00B16AB7"/>
    <w:rsid w:val="00B21B67"/>
    <w:rsid w:val="00B21CD8"/>
    <w:rsid w:val="00B25D2C"/>
    <w:rsid w:val="00B26475"/>
    <w:rsid w:val="00B277FF"/>
    <w:rsid w:val="00B321D4"/>
    <w:rsid w:val="00B34C65"/>
    <w:rsid w:val="00B35AD5"/>
    <w:rsid w:val="00B4265B"/>
    <w:rsid w:val="00B44950"/>
    <w:rsid w:val="00B51E65"/>
    <w:rsid w:val="00B53340"/>
    <w:rsid w:val="00B57DF0"/>
    <w:rsid w:val="00B61890"/>
    <w:rsid w:val="00B619F5"/>
    <w:rsid w:val="00B62233"/>
    <w:rsid w:val="00B63396"/>
    <w:rsid w:val="00B65D71"/>
    <w:rsid w:val="00B67841"/>
    <w:rsid w:val="00B72E6C"/>
    <w:rsid w:val="00B73471"/>
    <w:rsid w:val="00B73F7C"/>
    <w:rsid w:val="00B7535C"/>
    <w:rsid w:val="00B831BA"/>
    <w:rsid w:val="00B83AFA"/>
    <w:rsid w:val="00B8553F"/>
    <w:rsid w:val="00B85E9A"/>
    <w:rsid w:val="00B9157E"/>
    <w:rsid w:val="00B92056"/>
    <w:rsid w:val="00B92964"/>
    <w:rsid w:val="00B92ABB"/>
    <w:rsid w:val="00B93021"/>
    <w:rsid w:val="00B946D8"/>
    <w:rsid w:val="00B97835"/>
    <w:rsid w:val="00BA0F06"/>
    <w:rsid w:val="00BA31DC"/>
    <w:rsid w:val="00BA5783"/>
    <w:rsid w:val="00BA70AC"/>
    <w:rsid w:val="00BA7609"/>
    <w:rsid w:val="00BB1406"/>
    <w:rsid w:val="00BB155B"/>
    <w:rsid w:val="00BB1C2B"/>
    <w:rsid w:val="00BB7AFA"/>
    <w:rsid w:val="00BB7AFF"/>
    <w:rsid w:val="00BC1982"/>
    <w:rsid w:val="00BC309F"/>
    <w:rsid w:val="00BC6030"/>
    <w:rsid w:val="00BC6170"/>
    <w:rsid w:val="00BD00E9"/>
    <w:rsid w:val="00BD107A"/>
    <w:rsid w:val="00BD5844"/>
    <w:rsid w:val="00BE06C4"/>
    <w:rsid w:val="00BE0718"/>
    <w:rsid w:val="00BE097A"/>
    <w:rsid w:val="00BE0D17"/>
    <w:rsid w:val="00BE1194"/>
    <w:rsid w:val="00BE1B32"/>
    <w:rsid w:val="00BE7A4A"/>
    <w:rsid w:val="00BE7BA8"/>
    <w:rsid w:val="00BF0B26"/>
    <w:rsid w:val="00BF70B8"/>
    <w:rsid w:val="00C003FF"/>
    <w:rsid w:val="00C014A2"/>
    <w:rsid w:val="00C01C84"/>
    <w:rsid w:val="00C02F04"/>
    <w:rsid w:val="00C03AE0"/>
    <w:rsid w:val="00C04531"/>
    <w:rsid w:val="00C04EA8"/>
    <w:rsid w:val="00C05448"/>
    <w:rsid w:val="00C06255"/>
    <w:rsid w:val="00C118FE"/>
    <w:rsid w:val="00C11BC4"/>
    <w:rsid w:val="00C13D6D"/>
    <w:rsid w:val="00C14751"/>
    <w:rsid w:val="00C15911"/>
    <w:rsid w:val="00C200EC"/>
    <w:rsid w:val="00C22392"/>
    <w:rsid w:val="00C25C10"/>
    <w:rsid w:val="00C30069"/>
    <w:rsid w:val="00C31946"/>
    <w:rsid w:val="00C31C5C"/>
    <w:rsid w:val="00C3416C"/>
    <w:rsid w:val="00C34201"/>
    <w:rsid w:val="00C35434"/>
    <w:rsid w:val="00C37B60"/>
    <w:rsid w:val="00C37D06"/>
    <w:rsid w:val="00C50B84"/>
    <w:rsid w:val="00C50CE6"/>
    <w:rsid w:val="00C53776"/>
    <w:rsid w:val="00C53857"/>
    <w:rsid w:val="00C558EF"/>
    <w:rsid w:val="00C565DD"/>
    <w:rsid w:val="00C574FF"/>
    <w:rsid w:val="00C61693"/>
    <w:rsid w:val="00C6256E"/>
    <w:rsid w:val="00C6432A"/>
    <w:rsid w:val="00C64786"/>
    <w:rsid w:val="00C6714D"/>
    <w:rsid w:val="00C6726B"/>
    <w:rsid w:val="00C6776F"/>
    <w:rsid w:val="00C70916"/>
    <w:rsid w:val="00C71E81"/>
    <w:rsid w:val="00C77660"/>
    <w:rsid w:val="00C77728"/>
    <w:rsid w:val="00C81EE9"/>
    <w:rsid w:val="00C83B9B"/>
    <w:rsid w:val="00C83D37"/>
    <w:rsid w:val="00C85446"/>
    <w:rsid w:val="00C86093"/>
    <w:rsid w:val="00C8798C"/>
    <w:rsid w:val="00C91165"/>
    <w:rsid w:val="00C91772"/>
    <w:rsid w:val="00C923A9"/>
    <w:rsid w:val="00C928E9"/>
    <w:rsid w:val="00C9485C"/>
    <w:rsid w:val="00C94E09"/>
    <w:rsid w:val="00C9511A"/>
    <w:rsid w:val="00C96864"/>
    <w:rsid w:val="00C97405"/>
    <w:rsid w:val="00CA30F2"/>
    <w:rsid w:val="00CA3629"/>
    <w:rsid w:val="00CA376D"/>
    <w:rsid w:val="00CA37B9"/>
    <w:rsid w:val="00CA57D3"/>
    <w:rsid w:val="00CA75ED"/>
    <w:rsid w:val="00CB0978"/>
    <w:rsid w:val="00CB0C69"/>
    <w:rsid w:val="00CB5B3E"/>
    <w:rsid w:val="00CB5C40"/>
    <w:rsid w:val="00CC1069"/>
    <w:rsid w:val="00CC162B"/>
    <w:rsid w:val="00CC346B"/>
    <w:rsid w:val="00CC437C"/>
    <w:rsid w:val="00CC5677"/>
    <w:rsid w:val="00CC5CE4"/>
    <w:rsid w:val="00CC62FC"/>
    <w:rsid w:val="00CD04D7"/>
    <w:rsid w:val="00CD1D29"/>
    <w:rsid w:val="00CD38E4"/>
    <w:rsid w:val="00CD6FE8"/>
    <w:rsid w:val="00CD7878"/>
    <w:rsid w:val="00CE0BD3"/>
    <w:rsid w:val="00CE276D"/>
    <w:rsid w:val="00CE38A4"/>
    <w:rsid w:val="00CE4FB8"/>
    <w:rsid w:val="00CE5576"/>
    <w:rsid w:val="00CE64F9"/>
    <w:rsid w:val="00CE6B60"/>
    <w:rsid w:val="00CF169B"/>
    <w:rsid w:val="00CF3D10"/>
    <w:rsid w:val="00CF4829"/>
    <w:rsid w:val="00CF49CF"/>
    <w:rsid w:val="00D0086D"/>
    <w:rsid w:val="00D0246C"/>
    <w:rsid w:val="00D024F3"/>
    <w:rsid w:val="00D02A3A"/>
    <w:rsid w:val="00D07025"/>
    <w:rsid w:val="00D10504"/>
    <w:rsid w:val="00D1115E"/>
    <w:rsid w:val="00D11243"/>
    <w:rsid w:val="00D123A0"/>
    <w:rsid w:val="00D14E3E"/>
    <w:rsid w:val="00D15075"/>
    <w:rsid w:val="00D206B3"/>
    <w:rsid w:val="00D21648"/>
    <w:rsid w:val="00D244C9"/>
    <w:rsid w:val="00D2575B"/>
    <w:rsid w:val="00D26202"/>
    <w:rsid w:val="00D26A83"/>
    <w:rsid w:val="00D31528"/>
    <w:rsid w:val="00D32043"/>
    <w:rsid w:val="00D32900"/>
    <w:rsid w:val="00D33544"/>
    <w:rsid w:val="00D350F0"/>
    <w:rsid w:val="00D360A6"/>
    <w:rsid w:val="00D40A11"/>
    <w:rsid w:val="00D411A1"/>
    <w:rsid w:val="00D4190C"/>
    <w:rsid w:val="00D4199D"/>
    <w:rsid w:val="00D41F9C"/>
    <w:rsid w:val="00D42930"/>
    <w:rsid w:val="00D443FF"/>
    <w:rsid w:val="00D45485"/>
    <w:rsid w:val="00D529E5"/>
    <w:rsid w:val="00D530A0"/>
    <w:rsid w:val="00D551EA"/>
    <w:rsid w:val="00D5715D"/>
    <w:rsid w:val="00D573F4"/>
    <w:rsid w:val="00D60964"/>
    <w:rsid w:val="00D6124D"/>
    <w:rsid w:val="00D62AA1"/>
    <w:rsid w:val="00D63407"/>
    <w:rsid w:val="00D63BFC"/>
    <w:rsid w:val="00D63D25"/>
    <w:rsid w:val="00D6554F"/>
    <w:rsid w:val="00D67167"/>
    <w:rsid w:val="00D7176D"/>
    <w:rsid w:val="00D7395C"/>
    <w:rsid w:val="00D75C76"/>
    <w:rsid w:val="00D825FC"/>
    <w:rsid w:val="00D82BDB"/>
    <w:rsid w:val="00D82FB1"/>
    <w:rsid w:val="00D84515"/>
    <w:rsid w:val="00D84CBA"/>
    <w:rsid w:val="00D85D23"/>
    <w:rsid w:val="00D9014E"/>
    <w:rsid w:val="00D90A0D"/>
    <w:rsid w:val="00D90BD5"/>
    <w:rsid w:val="00D93DFA"/>
    <w:rsid w:val="00D95426"/>
    <w:rsid w:val="00D963AE"/>
    <w:rsid w:val="00D964B0"/>
    <w:rsid w:val="00D97BD9"/>
    <w:rsid w:val="00DA6A48"/>
    <w:rsid w:val="00DA71AD"/>
    <w:rsid w:val="00DB23C0"/>
    <w:rsid w:val="00DB62B1"/>
    <w:rsid w:val="00DB7665"/>
    <w:rsid w:val="00DC23AF"/>
    <w:rsid w:val="00DC38E3"/>
    <w:rsid w:val="00DC4C6C"/>
    <w:rsid w:val="00DD03B1"/>
    <w:rsid w:val="00DD0557"/>
    <w:rsid w:val="00DD0F1A"/>
    <w:rsid w:val="00DD49D3"/>
    <w:rsid w:val="00DD58B9"/>
    <w:rsid w:val="00DD66D0"/>
    <w:rsid w:val="00DD6DA5"/>
    <w:rsid w:val="00DE09CD"/>
    <w:rsid w:val="00DE11BA"/>
    <w:rsid w:val="00DE2B02"/>
    <w:rsid w:val="00DE42C9"/>
    <w:rsid w:val="00DE50CF"/>
    <w:rsid w:val="00DE52BA"/>
    <w:rsid w:val="00DE77D2"/>
    <w:rsid w:val="00DF025E"/>
    <w:rsid w:val="00DF0C09"/>
    <w:rsid w:val="00DF167B"/>
    <w:rsid w:val="00DF4C74"/>
    <w:rsid w:val="00DF5DBF"/>
    <w:rsid w:val="00DF63E5"/>
    <w:rsid w:val="00DF6618"/>
    <w:rsid w:val="00E02009"/>
    <w:rsid w:val="00E02DF7"/>
    <w:rsid w:val="00E0368E"/>
    <w:rsid w:val="00E04066"/>
    <w:rsid w:val="00E06CF0"/>
    <w:rsid w:val="00E16A5D"/>
    <w:rsid w:val="00E16B34"/>
    <w:rsid w:val="00E1752A"/>
    <w:rsid w:val="00E21079"/>
    <w:rsid w:val="00E212A9"/>
    <w:rsid w:val="00E223B5"/>
    <w:rsid w:val="00E23EC6"/>
    <w:rsid w:val="00E25AAA"/>
    <w:rsid w:val="00E2747D"/>
    <w:rsid w:val="00E3049B"/>
    <w:rsid w:val="00E31232"/>
    <w:rsid w:val="00E31C46"/>
    <w:rsid w:val="00E33768"/>
    <w:rsid w:val="00E350B0"/>
    <w:rsid w:val="00E40909"/>
    <w:rsid w:val="00E42D11"/>
    <w:rsid w:val="00E44744"/>
    <w:rsid w:val="00E457E8"/>
    <w:rsid w:val="00E47AF3"/>
    <w:rsid w:val="00E52CD8"/>
    <w:rsid w:val="00E5349B"/>
    <w:rsid w:val="00E53D19"/>
    <w:rsid w:val="00E56537"/>
    <w:rsid w:val="00E56E8B"/>
    <w:rsid w:val="00E612A1"/>
    <w:rsid w:val="00E6357E"/>
    <w:rsid w:val="00E660F0"/>
    <w:rsid w:val="00E6654D"/>
    <w:rsid w:val="00E679A9"/>
    <w:rsid w:val="00E70494"/>
    <w:rsid w:val="00E70B7C"/>
    <w:rsid w:val="00E71641"/>
    <w:rsid w:val="00E73285"/>
    <w:rsid w:val="00E7512F"/>
    <w:rsid w:val="00E75A24"/>
    <w:rsid w:val="00E770F7"/>
    <w:rsid w:val="00E80179"/>
    <w:rsid w:val="00E81A86"/>
    <w:rsid w:val="00E83FB7"/>
    <w:rsid w:val="00E84C75"/>
    <w:rsid w:val="00E923B6"/>
    <w:rsid w:val="00E927BB"/>
    <w:rsid w:val="00E95C66"/>
    <w:rsid w:val="00E978DD"/>
    <w:rsid w:val="00E97DD8"/>
    <w:rsid w:val="00EA60A3"/>
    <w:rsid w:val="00EA620A"/>
    <w:rsid w:val="00EB0081"/>
    <w:rsid w:val="00EB0337"/>
    <w:rsid w:val="00EB048A"/>
    <w:rsid w:val="00EB24B6"/>
    <w:rsid w:val="00EB2A1B"/>
    <w:rsid w:val="00EB2CEC"/>
    <w:rsid w:val="00EB3B9A"/>
    <w:rsid w:val="00EC0F96"/>
    <w:rsid w:val="00EC2587"/>
    <w:rsid w:val="00EC25BC"/>
    <w:rsid w:val="00EC3C69"/>
    <w:rsid w:val="00EC4A10"/>
    <w:rsid w:val="00EC68F4"/>
    <w:rsid w:val="00EC6AF0"/>
    <w:rsid w:val="00ED1379"/>
    <w:rsid w:val="00ED23F7"/>
    <w:rsid w:val="00ED2466"/>
    <w:rsid w:val="00ED4604"/>
    <w:rsid w:val="00EE5631"/>
    <w:rsid w:val="00EE6398"/>
    <w:rsid w:val="00EF2E91"/>
    <w:rsid w:val="00EF3028"/>
    <w:rsid w:val="00EF5C4E"/>
    <w:rsid w:val="00EF791A"/>
    <w:rsid w:val="00F01B15"/>
    <w:rsid w:val="00F01BAA"/>
    <w:rsid w:val="00F01BF1"/>
    <w:rsid w:val="00F03EE5"/>
    <w:rsid w:val="00F105E2"/>
    <w:rsid w:val="00F117A0"/>
    <w:rsid w:val="00F12066"/>
    <w:rsid w:val="00F12B1C"/>
    <w:rsid w:val="00F12BD7"/>
    <w:rsid w:val="00F13597"/>
    <w:rsid w:val="00F206C3"/>
    <w:rsid w:val="00F20775"/>
    <w:rsid w:val="00F20F62"/>
    <w:rsid w:val="00F21679"/>
    <w:rsid w:val="00F24F2B"/>
    <w:rsid w:val="00F267E0"/>
    <w:rsid w:val="00F272D2"/>
    <w:rsid w:val="00F279BB"/>
    <w:rsid w:val="00F3297E"/>
    <w:rsid w:val="00F33D04"/>
    <w:rsid w:val="00F341D4"/>
    <w:rsid w:val="00F34863"/>
    <w:rsid w:val="00F34BB6"/>
    <w:rsid w:val="00F35623"/>
    <w:rsid w:val="00F36995"/>
    <w:rsid w:val="00F36F63"/>
    <w:rsid w:val="00F37B87"/>
    <w:rsid w:val="00F40E64"/>
    <w:rsid w:val="00F44B9D"/>
    <w:rsid w:val="00F45082"/>
    <w:rsid w:val="00F4536C"/>
    <w:rsid w:val="00F477A8"/>
    <w:rsid w:val="00F47F75"/>
    <w:rsid w:val="00F50E7F"/>
    <w:rsid w:val="00F51370"/>
    <w:rsid w:val="00F515EB"/>
    <w:rsid w:val="00F52C06"/>
    <w:rsid w:val="00F53F2C"/>
    <w:rsid w:val="00F55029"/>
    <w:rsid w:val="00F61A25"/>
    <w:rsid w:val="00F65C8D"/>
    <w:rsid w:val="00F66669"/>
    <w:rsid w:val="00F672E5"/>
    <w:rsid w:val="00F67FB7"/>
    <w:rsid w:val="00F7214F"/>
    <w:rsid w:val="00F738A1"/>
    <w:rsid w:val="00F7395D"/>
    <w:rsid w:val="00F75053"/>
    <w:rsid w:val="00F76569"/>
    <w:rsid w:val="00F77F80"/>
    <w:rsid w:val="00F84879"/>
    <w:rsid w:val="00F8536B"/>
    <w:rsid w:val="00F859E4"/>
    <w:rsid w:val="00F8671E"/>
    <w:rsid w:val="00F867F3"/>
    <w:rsid w:val="00F9017C"/>
    <w:rsid w:val="00F911BC"/>
    <w:rsid w:val="00F926CD"/>
    <w:rsid w:val="00F937EC"/>
    <w:rsid w:val="00F94992"/>
    <w:rsid w:val="00F94E22"/>
    <w:rsid w:val="00F94F2F"/>
    <w:rsid w:val="00F952E7"/>
    <w:rsid w:val="00FA25C3"/>
    <w:rsid w:val="00FA3D8B"/>
    <w:rsid w:val="00FA4396"/>
    <w:rsid w:val="00FA4F95"/>
    <w:rsid w:val="00FA6B65"/>
    <w:rsid w:val="00FA7308"/>
    <w:rsid w:val="00FB1334"/>
    <w:rsid w:val="00FB20D1"/>
    <w:rsid w:val="00FB4F98"/>
    <w:rsid w:val="00FB6944"/>
    <w:rsid w:val="00FC0F1E"/>
    <w:rsid w:val="00FC4DDA"/>
    <w:rsid w:val="00FD63AA"/>
    <w:rsid w:val="00FD7AED"/>
    <w:rsid w:val="00FE0A5B"/>
    <w:rsid w:val="00FE17D5"/>
    <w:rsid w:val="00FE39F0"/>
    <w:rsid w:val="00FE4D39"/>
    <w:rsid w:val="00FE61CD"/>
    <w:rsid w:val="00FF114E"/>
    <w:rsid w:val="00FF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F2"/>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F2"/>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91">
      <w:bodyDiv w:val="1"/>
      <w:marLeft w:val="0"/>
      <w:marRight w:val="0"/>
      <w:marTop w:val="0"/>
      <w:marBottom w:val="0"/>
      <w:divBdr>
        <w:top w:val="none" w:sz="0" w:space="0" w:color="auto"/>
        <w:left w:val="none" w:sz="0" w:space="0" w:color="auto"/>
        <w:bottom w:val="none" w:sz="0" w:space="0" w:color="auto"/>
        <w:right w:val="none" w:sz="0" w:space="0" w:color="auto"/>
      </w:divBdr>
    </w:div>
    <w:div w:id="53507433">
      <w:bodyDiv w:val="1"/>
      <w:marLeft w:val="0"/>
      <w:marRight w:val="0"/>
      <w:marTop w:val="0"/>
      <w:marBottom w:val="0"/>
      <w:divBdr>
        <w:top w:val="none" w:sz="0" w:space="0" w:color="auto"/>
        <w:left w:val="none" w:sz="0" w:space="0" w:color="auto"/>
        <w:bottom w:val="none" w:sz="0" w:space="0" w:color="auto"/>
        <w:right w:val="none" w:sz="0" w:space="0" w:color="auto"/>
      </w:divBdr>
    </w:div>
    <w:div w:id="144319634">
      <w:bodyDiv w:val="1"/>
      <w:marLeft w:val="0"/>
      <w:marRight w:val="0"/>
      <w:marTop w:val="0"/>
      <w:marBottom w:val="0"/>
      <w:divBdr>
        <w:top w:val="none" w:sz="0" w:space="0" w:color="auto"/>
        <w:left w:val="none" w:sz="0" w:space="0" w:color="auto"/>
        <w:bottom w:val="none" w:sz="0" w:space="0" w:color="auto"/>
        <w:right w:val="none" w:sz="0" w:space="0" w:color="auto"/>
      </w:divBdr>
    </w:div>
    <w:div w:id="219678698">
      <w:bodyDiv w:val="1"/>
      <w:marLeft w:val="75"/>
      <w:marRight w:val="75"/>
      <w:marTop w:val="75"/>
      <w:marBottom w:val="75"/>
      <w:divBdr>
        <w:top w:val="none" w:sz="0" w:space="0" w:color="auto"/>
        <w:left w:val="none" w:sz="0" w:space="0" w:color="auto"/>
        <w:bottom w:val="none" w:sz="0" w:space="0" w:color="auto"/>
        <w:right w:val="none" w:sz="0" w:space="0" w:color="auto"/>
      </w:divBdr>
      <w:divsChild>
        <w:div w:id="163474443">
          <w:marLeft w:val="120"/>
          <w:marRight w:val="0"/>
          <w:marTop w:val="150"/>
          <w:marBottom w:val="0"/>
          <w:divBdr>
            <w:top w:val="none" w:sz="0" w:space="0" w:color="auto"/>
            <w:left w:val="none" w:sz="0" w:space="0" w:color="auto"/>
            <w:bottom w:val="none" w:sz="0" w:space="0" w:color="auto"/>
            <w:right w:val="none" w:sz="0" w:space="0" w:color="auto"/>
          </w:divBdr>
          <w:divsChild>
            <w:div w:id="4359076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44651476">
      <w:bodyDiv w:val="1"/>
      <w:marLeft w:val="0"/>
      <w:marRight w:val="0"/>
      <w:marTop w:val="0"/>
      <w:marBottom w:val="0"/>
      <w:divBdr>
        <w:top w:val="none" w:sz="0" w:space="0" w:color="auto"/>
        <w:left w:val="none" w:sz="0" w:space="0" w:color="auto"/>
        <w:bottom w:val="none" w:sz="0" w:space="0" w:color="auto"/>
        <w:right w:val="none" w:sz="0" w:space="0" w:color="auto"/>
      </w:divBdr>
    </w:div>
    <w:div w:id="259994430">
      <w:bodyDiv w:val="1"/>
      <w:marLeft w:val="0"/>
      <w:marRight w:val="0"/>
      <w:marTop w:val="0"/>
      <w:marBottom w:val="0"/>
      <w:divBdr>
        <w:top w:val="none" w:sz="0" w:space="0" w:color="auto"/>
        <w:left w:val="none" w:sz="0" w:space="0" w:color="auto"/>
        <w:bottom w:val="none" w:sz="0" w:space="0" w:color="auto"/>
        <w:right w:val="none" w:sz="0" w:space="0" w:color="auto"/>
      </w:divBdr>
    </w:div>
    <w:div w:id="499391635">
      <w:bodyDiv w:val="1"/>
      <w:marLeft w:val="0"/>
      <w:marRight w:val="0"/>
      <w:marTop w:val="0"/>
      <w:marBottom w:val="0"/>
      <w:divBdr>
        <w:top w:val="none" w:sz="0" w:space="0" w:color="auto"/>
        <w:left w:val="none" w:sz="0" w:space="0" w:color="auto"/>
        <w:bottom w:val="none" w:sz="0" w:space="0" w:color="auto"/>
        <w:right w:val="none" w:sz="0" w:space="0" w:color="auto"/>
      </w:divBdr>
    </w:div>
    <w:div w:id="564952378">
      <w:bodyDiv w:val="1"/>
      <w:marLeft w:val="0"/>
      <w:marRight w:val="0"/>
      <w:marTop w:val="0"/>
      <w:marBottom w:val="0"/>
      <w:divBdr>
        <w:top w:val="none" w:sz="0" w:space="0" w:color="auto"/>
        <w:left w:val="none" w:sz="0" w:space="0" w:color="auto"/>
        <w:bottom w:val="none" w:sz="0" w:space="0" w:color="auto"/>
        <w:right w:val="none" w:sz="0" w:space="0" w:color="auto"/>
      </w:divBdr>
    </w:div>
    <w:div w:id="643386580">
      <w:bodyDiv w:val="1"/>
      <w:marLeft w:val="0"/>
      <w:marRight w:val="0"/>
      <w:marTop w:val="0"/>
      <w:marBottom w:val="0"/>
      <w:divBdr>
        <w:top w:val="none" w:sz="0" w:space="0" w:color="auto"/>
        <w:left w:val="none" w:sz="0" w:space="0" w:color="auto"/>
        <w:bottom w:val="none" w:sz="0" w:space="0" w:color="auto"/>
        <w:right w:val="none" w:sz="0" w:space="0" w:color="auto"/>
      </w:divBdr>
    </w:div>
    <w:div w:id="876816554">
      <w:bodyDiv w:val="1"/>
      <w:marLeft w:val="75"/>
      <w:marRight w:val="75"/>
      <w:marTop w:val="75"/>
      <w:marBottom w:val="75"/>
      <w:divBdr>
        <w:top w:val="none" w:sz="0" w:space="0" w:color="auto"/>
        <w:left w:val="none" w:sz="0" w:space="0" w:color="auto"/>
        <w:bottom w:val="none" w:sz="0" w:space="0" w:color="auto"/>
        <w:right w:val="none" w:sz="0" w:space="0" w:color="auto"/>
      </w:divBdr>
      <w:divsChild>
        <w:div w:id="426342413">
          <w:marLeft w:val="120"/>
          <w:marRight w:val="0"/>
          <w:marTop w:val="150"/>
          <w:marBottom w:val="0"/>
          <w:divBdr>
            <w:top w:val="none" w:sz="0" w:space="0" w:color="auto"/>
            <w:left w:val="none" w:sz="0" w:space="0" w:color="auto"/>
            <w:bottom w:val="none" w:sz="0" w:space="0" w:color="auto"/>
            <w:right w:val="none" w:sz="0" w:space="0" w:color="auto"/>
          </w:divBdr>
          <w:divsChild>
            <w:div w:id="1307514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88827090">
      <w:bodyDiv w:val="1"/>
      <w:marLeft w:val="0"/>
      <w:marRight w:val="0"/>
      <w:marTop w:val="0"/>
      <w:marBottom w:val="0"/>
      <w:divBdr>
        <w:top w:val="none" w:sz="0" w:space="0" w:color="auto"/>
        <w:left w:val="none" w:sz="0" w:space="0" w:color="auto"/>
        <w:bottom w:val="none" w:sz="0" w:space="0" w:color="auto"/>
        <w:right w:val="none" w:sz="0" w:space="0" w:color="auto"/>
      </w:divBdr>
    </w:div>
    <w:div w:id="1010059386">
      <w:bodyDiv w:val="1"/>
      <w:marLeft w:val="0"/>
      <w:marRight w:val="0"/>
      <w:marTop w:val="0"/>
      <w:marBottom w:val="0"/>
      <w:divBdr>
        <w:top w:val="none" w:sz="0" w:space="0" w:color="auto"/>
        <w:left w:val="none" w:sz="0" w:space="0" w:color="auto"/>
        <w:bottom w:val="none" w:sz="0" w:space="0" w:color="auto"/>
        <w:right w:val="none" w:sz="0" w:space="0" w:color="auto"/>
      </w:divBdr>
    </w:div>
    <w:div w:id="1034503661">
      <w:bodyDiv w:val="1"/>
      <w:marLeft w:val="0"/>
      <w:marRight w:val="0"/>
      <w:marTop w:val="0"/>
      <w:marBottom w:val="0"/>
      <w:divBdr>
        <w:top w:val="none" w:sz="0" w:space="0" w:color="auto"/>
        <w:left w:val="none" w:sz="0" w:space="0" w:color="auto"/>
        <w:bottom w:val="none" w:sz="0" w:space="0" w:color="auto"/>
        <w:right w:val="none" w:sz="0" w:space="0" w:color="auto"/>
      </w:divBdr>
    </w:div>
    <w:div w:id="1205943743">
      <w:bodyDiv w:val="1"/>
      <w:marLeft w:val="0"/>
      <w:marRight w:val="0"/>
      <w:marTop w:val="0"/>
      <w:marBottom w:val="0"/>
      <w:divBdr>
        <w:top w:val="none" w:sz="0" w:space="0" w:color="auto"/>
        <w:left w:val="none" w:sz="0" w:space="0" w:color="auto"/>
        <w:bottom w:val="none" w:sz="0" w:space="0" w:color="auto"/>
        <w:right w:val="none" w:sz="0" w:space="0" w:color="auto"/>
      </w:divBdr>
    </w:div>
    <w:div w:id="1231768207">
      <w:bodyDiv w:val="1"/>
      <w:marLeft w:val="0"/>
      <w:marRight w:val="0"/>
      <w:marTop w:val="0"/>
      <w:marBottom w:val="0"/>
      <w:divBdr>
        <w:top w:val="none" w:sz="0" w:space="0" w:color="auto"/>
        <w:left w:val="none" w:sz="0" w:space="0" w:color="auto"/>
        <w:bottom w:val="none" w:sz="0" w:space="0" w:color="auto"/>
        <w:right w:val="none" w:sz="0" w:space="0" w:color="auto"/>
      </w:divBdr>
    </w:div>
    <w:div w:id="1253590211">
      <w:bodyDiv w:val="1"/>
      <w:marLeft w:val="0"/>
      <w:marRight w:val="0"/>
      <w:marTop w:val="0"/>
      <w:marBottom w:val="0"/>
      <w:divBdr>
        <w:top w:val="none" w:sz="0" w:space="0" w:color="auto"/>
        <w:left w:val="none" w:sz="0" w:space="0" w:color="auto"/>
        <w:bottom w:val="none" w:sz="0" w:space="0" w:color="auto"/>
        <w:right w:val="none" w:sz="0" w:space="0" w:color="auto"/>
      </w:divBdr>
    </w:div>
    <w:div w:id="1428622193">
      <w:bodyDiv w:val="1"/>
      <w:marLeft w:val="75"/>
      <w:marRight w:val="75"/>
      <w:marTop w:val="75"/>
      <w:marBottom w:val="75"/>
      <w:divBdr>
        <w:top w:val="none" w:sz="0" w:space="0" w:color="auto"/>
        <w:left w:val="none" w:sz="0" w:space="0" w:color="auto"/>
        <w:bottom w:val="none" w:sz="0" w:space="0" w:color="auto"/>
        <w:right w:val="none" w:sz="0" w:space="0" w:color="auto"/>
      </w:divBdr>
      <w:divsChild>
        <w:div w:id="2138720507">
          <w:marLeft w:val="120"/>
          <w:marRight w:val="0"/>
          <w:marTop w:val="150"/>
          <w:marBottom w:val="0"/>
          <w:divBdr>
            <w:top w:val="none" w:sz="0" w:space="0" w:color="auto"/>
            <w:left w:val="none" w:sz="0" w:space="0" w:color="auto"/>
            <w:bottom w:val="none" w:sz="0" w:space="0" w:color="auto"/>
            <w:right w:val="none" w:sz="0" w:space="0" w:color="auto"/>
          </w:divBdr>
          <w:divsChild>
            <w:div w:id="1683780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7287807">
      <w:bodyDiv w:val="1"/>
      <w:marLeft w:val="0"/>
      <w:marRight w:val="0"/>
      <w:marTop w:val="0"/>
      <w:marBottom w:val="0"/>
      <w:divBdr>
        <w:top w:val="none" w:sz="0" w:space="0" w:color="auto"/>
        <w:left w:val="none" w:sz="0" w:space="0" w:color="auto"/>
        <w:bottom w:val="none" w:sz="0" w:space="0" w:color="auto"/>
        <w:right w:val="none" w:sz="0" w:space="0" w:color="auto"/>
      </w:divBdr>
    </w:div>
    <w:div w:id="1499882882">
      <w:bodyDiv w:val="1"/>
      <w:marLeft w:val="75"/>
      <w:marRight w:val="75"/>
      <w:marTop w:val="75"/>
      <w:marBottom w:val="75"/>
      <w:divBdr>
        <w:top w:val="none" w:sz="0" w:space="0" w:color="auto"/>
        <w:left w:val="none" w:sz="0" w:space="0" w:color="auto"/>
        <w:bottom w:val="none" w:sz="0" w:space="0" w:color="auto"/>
        <w:right w:val="none" w:sz="0" w:space="0" w:color="auto"/>
      </w:divBdr>
      <w:divsChild>
        <w:div w:id="1627539513">
          <w:marLeft w:val="120"/>
          <w:marRight w:val="0"/>
          <w:marTop w:val="150"/>
          <w:marBottom w:val="0"/>
          <w:divBdr>
            <w:top w:val="none" w:sz="0" w:space="0" w:color="auto"/>
            <w:left w:val="none" w:sz="0" w:space="0" w:color="auto"/>
            <w:bottom w:val="none" w:sz="0" w:space="0" w:color="auto"/>
            <w:right w:val="none" w:sz="0" w:space="0" w:color="auto"/>
          </w:divBdr>
          <w:divsChild>
            <w:div w:id="2215237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9428977">
      <w:bodyDiv w:val="1"/>
      <w:marLeft w:val="0"/>
      <w:marRight w:val="0"/>
      <w:marTop w:val="0"/>
      <w:marBottom w:val="0"/>
      <w:divBdr>
        <w:top w:val="none" w:sz="0" w:space="0" w:color="auto"/>
        <w:left w:val="none" w:sz="0" w:space="0" w:color="auto"/>
        <w:bottom w:val="none" w:sz="0" w:space="0" w:color="auto"/>
        <w:right w:val="none" w:sz="0" w:space="0" w:color="auto"/>
      </w:divBdr>
    </w:div>
    <w:div w:id="1828738883">
      <w:bodyDiv w:val="1"/>
      <w:marLeft w:val="0"/>
      <w:marRight w:val="0"/>
      <w:marTop w:val="0"/>
      <w:marBottom w:val="0"/>
      <w:divBdr>
        <w:top w:val="none" w:sz="0" w:space="0" w:color="auto"/>
        <w:left w:val="none" w:sz="0" w:space="0" w:color="auto"/>
        <w:bottom w:val="none" w:sz="0" w:space="0" w:color="auto"/>
        <w:right w:val="none" w:sz="0" w:space="0" w:color="auto"/>
      </w:divBdr>
      <w:divsChild>
        <w:div w:id="243686292">
          <w:marLeft w:val="0"/>
          <w:marRight w:val="0"/>
          <w:marTop w:val="0"/>
          <w:marBottom w:val="0"/>
          <w:divBdr>
            <w:top w:val="none" w:sz="0" w:space="0" w:color="auto"/>
            <w:left w:val="none" w:sz="0" w:space="0" w:color="auto"/>
            <w:bottom w:val="none" w:sz="0" w:space="0" w:color="auto"/>
            <w:right w:val="none" w:sz="0" w:space="0" w:color="auto"/>
          </w:divBdr>
          <w:divsChild>
            <w:div w:id="349798122">
              <w:marLeft w:val="0"/>
              <w:marRight w:val="0"/>
              <w:marTop w:val="0"/>
              <w:marBottom w:val="0"/>
              <w:divBdr>
                <w:top w:val="none" w:sz="0" w:space="0" w:color="auto"/>
                <w:left w:val="none" w:sz="0" w:space="0" w:color="auto"/>
                <w:bottom w:val="none" w:sz="0" w:space="0" w:color="auto"/>
                <w:right w:val="none" w:sz="0" w:space="0" w:color="auto"/>
              </w:divBdr>
              <w:divsChild>
                <w:div w:id="325598631">
                  <w:marLeft w:val="0"/>
                  <w:marRight w:val="0"/>
                  <w:marTop w:val="0"/>
                  <w:marBottom w:val="0"/>
                  <w:divBdr>
                    <w:top w:val="none" w:sz="0" w:space="0" w:color="auto"/>
                    <w:left w:val="none" w:sz="0" w:space="0" w:color="auto"/>
                    <w:bottom w:val="none" w:sz="0" w:space="0" w:color="auto"/>
                    <w:right w:val="none" w:sz="0" w:space="0" w:color="auto"/>
                  </w:divBdr>
                </w:div>
                <w:div w:id="996960222">
                  <w:marLeft w:val="0"/>
                  <w:marRight w:val="0"/>
                  <w:marTop w:val="0"/>
                  <w:marBottom w:val="0"/>
                  <w:divBdr>
                    <w:top w:val="none" w:sz="0" w:space="0" w:color="auto"/>
                    <w:left w:val="none" w:sz="0" w:space="0" w:color="auto"/>
                    <w:bottom w:val="none" w:sz="0" w:space="0" w:color="auto"/>
                    <w:right w:val="none" w:sz="0" w:space="0" w:color="auto"/>
                  </w:divBdr>
                </w:div>
                <w:div w:id="1343160979">
                  <w:marLeft w:val="0"/>
                  <w:marRight w:val="0"/>
                  <w:marTop w:val="0"/>
                  <w:marBottom w:val="0"/>
                  <w:divBdr>
                    <w:top w:val="none" w:sz="0" w:space="0" w:color="auto"/>
                    <w:left w:val="none" w:sz="0" w:space="0" w:color="auto"/>
                    <w:bottom w:val="none" w:sz="0" w:space="0" w:color="auto"/>
                    <w:right w:val="none" w:sz="0" w:space="0" w:color="auto"/>
                  </w:divBdr>
                </w:div>
                <w:div w:id="1371681691">
                  <w:marLeft w:val="0"/>
                  <w:marRight w:val="0"/>
                  <w:marTop w:val="0"/>
                  <w:marBottom w:val="0"/>
                  <w:divBdr>
                    <w:top w:val="none" w:sz="0" w:space="0" w:color="auto"/>
                    <w:left w:val="none" w:sz="0" w:space="0" w:color="auto"/>
                    <w:bottom w:val="none" w:sz="0" w:space="0" w:color="auto"/>
                    <w:right w:val="none" w:sz="0" w:space="0" w:color="auto"/>
                  </w:divBdr>
                </w:div>
                <w:div w:id="1447578800">
                  <w:marLeft w:val="0"/>
                  <w:marRight w:val="0"/>
                  <w:marTop w:val="0"/>
                  <w:marBottom w:val="0"/>
                  <w:divBdr>
                    <w:top w:val="none" w:sz="0" w:space="0" w:color="auto"/>
                    <w:left w:val="none" w:sz="0" w:space="0" w:color="auto"/>
                    <w:bottom w:val="none" w:sz="0" w:space="0" w:color="auto"/>
                    <w:right w:val="none" w:sz="0" w:space="0" w:color="auto"/>
                  </w:divBdr>
                </w:div>
                <w:div w:id="1586457930">
                  <w:marLeft w:val="0"/>
                  <w:marRight w:val="0"/>
                  <w:marTop w:val="0"/>
                  <w:marBottom w:val="0"/>
                  <w:divBdr>
                    <w:top w:val="none" w:sz="0" w:space="0" w:color="auto"/>
                    <w:left w:val="none" w:sz="0" w:space="0" w:color="auto"/>
                    <w:bottom w:val="none" w:sz="0" w:space="0" w:color="auto"/>
                    <w:right w:val="none" w:sz="0" w:space="0" w:color="auto"/>
                  </w:divBdr>
                </w:div>
                <w:div w:id="1707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ode="External" Target="http://www.micromedexsolutions.com/"/>
  <Relationship Id="rId15" Type="http://schemas.openxmlformats.org/officeDocument/2006/relationships/hyperlink" TargetMode="External" Target="http://www.accessdata.fda.gov/scripts/cder/drugsatfda/index.cfm"/>
  <Relationship Id="rId16" Type="http://schemas.openxmlformats.org/officeDocument/2006/relationships/hyperlink" TargetMode="External" Target="http://www.accessdata.fda.gov/scripts/cder/drugsatfda/index.cfm"/>
  <Relationship Id="rId17" Type="http://schemas.openxmlformats.org/officeDocument/2006/relationships/footer" Target="footer4.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_rels/footer2.xml.rels><?xml version="1.0" encoding="UTF-8"?>

<Relationships xmlns="http://schemas.openxmlformats.org/package/2006/relationships">
  <Relationship Id="rId1" Type="http://schemas.openxmlformats.org/officeDocument/2006/relationships/image" Target="media/image1.png"/>
</Relationships>

</file>

<file path=word/_rels/footer3.xml.rels><?xml version="1.0" encoding="UTF-8"?>

<Relationships xmlns="http://schemas.openxmlformats.org/package/2006/relationships">
  <Relationship Id="rId1" Type="http://schemas.openxmlformats.org/officeDocument/2006/relationships/image" Target="media/image1.png"/>
</Relationships>

</file>

<file path=word/_rels/footer4.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EBE2F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28B6-00FF-45C6-AC3B-F86BA428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5677</Words>
  <Characters>32362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New Drug Review</vt:lpstr>
    </vt:vector>
  </TitlesOfParts>
  <Company>UMASSMED</Company>
  <LinksUpToDate>false</LinksUpToDate>
  <CharactersWithSpaces>37964</CharactersWithSpaces>
  <SharedDoc>false</SharedDoc>
  <HLinks>
    <vt:vector size="222" baseType="variant">
      <vt:variant>
        <vt:i4>6029324</vt:i4>
      </vt:variant>
      <vt:variant>
        <vt:i4>54</vt:i4>
      </vt:variant>
      <vt:variant>
        <vt:i4>0</vt:i4>
      </vt:variant>
      <vt:variant>
        <vt:i4>5</vt:i4>
      </vt:variant>
      <vt:variant>
        <vt:lpwstr>http://www.ahrq.gov/clinic/uspstf08/methods/procmanualap7.htm</vt:lpwstr>
      </vt:variant>
      <vt:variant>
        <vt:lpwstr/>
      </vt:variant>
      <vt:variant>
        <vt:i4>7602278</vt:i4>
      </vt:variant>
      <vt:variant>
        <vt:i4>51</vt:i4>
      </vt:variant>
      <vt:variant>
        <vt:i4>0</vt:i4>
      </vt:variant>
      <vt:variant>
        <vt:i4>5</vt:i4>
      </vt:variant>
      <vt:variant>
        <vt:lpwstr>http://www.tuftshealthplan.com/providers/provider.php?sec=pharmacy&amp;content=pharmacy</vt:lpwstr>
      </vt:variant>
      <vt:variant>
        <vt:lpwstr/>
      </vt:variant>
      <vt:variant>
        <vt:i4>5177368</vt:i4>
      </vt:variant>
      <vt:variant>
        <vt:i4>48</vt:i4>
      </vt:variant>
      <vt:variant>
        <vt:i4>0</vt:i4>
      </vt:variant>
      <vt:variant>
        <vt:i4>5</vt:i4>
      </vt:variant>
      <vt:variant>
        <vt:lpwstr>https://www.harvardpilgrim.org/pls/portal/url/page/PROVIDERS/PHARMACY</vt:lpwstr>
      </vt:variant>
      <vt:variant>
        <vt:lpwstr/>
      </vt:variant>
      <vt:variant>
        <vt:i4>6750265</vt:i4>
      </vt:variant>
      <vt:variant>
        <vt:i4>45</vt:i4>
      </vt:variant>
      <vt:variant>
        <vt:i4>0</vt:i4>
      </vt:variant>
      <vt:variant>
        <vt:i4>5</vt:i4>
      </vt:variant>
      <vt:variant>
        <vt:lpwstr>https://www.bluecrossma.com/wps/portal/members/using-my-plan/manage-my-plan/pharmacy-coverage/</vt:lpwstr>
      </vt:variant>
      <vt:variant>
        <vt:lpwstr/>
      </vt:variant>
      <vt:variant>
        <vt:i4>720922</vt:i4>
      </vt:variant>
      <vt:variant>
        <vt:i4>42</vt:i4>
      </vt:variant>
      <vt:variant>
        <vt:i4>0</vt:i4>
      </vt:variant>
      <vt:variant>
        <vt:i4>5</vt:i4>
      </vt:variant>
      <vt:variant>
        <vt:lpwstr>http://www.hca.wa.gov/medicaid/billing/Documents/guides/wpdl.pdf</vt:lpwstr>
      </vt:variant>
      <vt:variant>
        <vt:lpwstr/>
      </vt:variant>
      <vt:variant>
        <vt:i4>8126587</vt:i4>
      </vt:variant>
      <vt:variant>
        <vt:i4>39</vt:i4>
      </vt:variant>
      <vt:variant>
        <vt:i4>0</vt:i4>
      </vt:variant>
      <vt:variant>
        <vt:i4>5</vt:i4>
      </vt:variant>
      <vt:variant>
        <vt:lpwstr>http://dvha.vermont.gov/for-providers/pharmacy</vt:lpwstr>
      </vt:variant>
      <vt:variant>
        <vt:lpwstr/>
      </vt:variant>
      <vt:variant>
        <vt:i4>4587554</vt:i4>
      </vt:variant>
      <vt:variant>
        <vt:i4>36</vt:i4>
      </vt:variant>
      <vt:variant>
        <vt:i4>0</vt:i4>
      </vt:variant>
      <vt:variant>
        <vt:i4>5</vt:i4>
      </vt:variant>
      <vt:variant>
        <vt:lpwstr>http://www.health.ny.gov/health_care/medicaid/program/pharmacy.htm</vt:lpwstr>
      </vt:variant>
      <vt:variant>
        <vt:lpwstr/>
      </vt:variant>
      <vt:variant>
        <vt:i4>6553725</vt:i4>
      </vt:variant>
      <vt:variant>
        <vt:i4>33</vt:i4>
      </vt:variant>
      <vt:variant>
        <vt:i4>0</vt:i4>
      </vt:variant>
      <vt:variant>
        <vt:i4>5</vt:i4>
      </vt:variant>
      <vt:variant>
        <vt:lpwstr>https://newhampshire.magellanmedicaid.com/</vt:lpwstr>
      </vt:variant>
      <vt:variant>
        <vt:lpwstr/>
      </vt:variant>
      <vt:variant>
        <vt:i4>458837</vt:i4>
      </vt:variant>
      <vt:variant>
        <vt:i4>30</vt:i4>
      </vt:variant>
      <vt:variant>
        <vt:i4>0</vt:i4>
      </vt:variant>
      <vt:variant>
        <vt:i4>5</vt:i4>
      </vt:variant>
      <vt:variant>
        <vt:lpwstr>http://dss.mo.gov/mhd/cs/pharmacy/pages/clinedit.htm</vt:lpwstr>
      </vt:variant>
      <vt:variant>
        <vt:lpwstr/>
      </vt:variant>
      <vt:variant>
        <vt:i4>1835076</vt:i4>
      </vt:variant>
      <vt:variant>
        <vt:i4>27</vt:i4>
      </vt:variant>
      <vt:variant>
        <vt:i4>0</vt:i4>
      </vt:variant>
      <vt:variant>
        <vt:i4>5</vt:i4>
      </vt:variant>
      <vt:variant>
        <vt:lpwstr>http://minnesota.magellanmedicaid.com/default.asp</vt:lpwstr>
      </vt:variant>
      <vt:variant>
        <vt:lpwstr/>
      </vt:variant>
      <vt:variant>
        <vt:i4>5898318</vt:i4>
      </vt:variant>
      <vt:variant>
        <vt:i4>24</vt:i4>
      </vt:variant>
      <vt:variant>
        <vt:i4>0</vt:i4>
      </vt:variant>
      <vt:variant>
        <vt:i4>5</vt:i4>
      </vt:variant>
      <vt:variant>
        <vt:lpwstr>https://michigan.fhsc.com/Providers/DrugInfo.asp</vt:lpwstr>
      </vt:variant>
      <vt:variant>
        <vt:lpwstr/>
      </vt:variant>
      <vt:variant>
        <vt:i4>2031630</vt:i4>
      </vt:variant>
      <vt:variant>
        <vt:i4>21</vt:i4>
      </vt:variant>
      <vt:variant>
        <vt:i4>0</vt:i4>
      </vt:variant>
      <vt:variant>
        <vt:i4>5</vt:i4>
      </vt:variant>
      <vt:variant>
        <vt:lpwstr>https://mmcp.dhmh.maryland.gov/pap/SitePages/Preferred Drug List.aspx</vt:lpwstr>
      </vt:variant>
      <vt:variant>
        <vt:lpwstr/>
      </vt:variant>
      <vt:variant>
        <vt:i4>3997738</vt:i4>
      </vt:variant>
      <vt:variant>
        <vt:i4>18</vt:i4>
      </vt:variant>
      <vt:variant>
        <vt:i4>0</vt:i4>
      </vt:variant>
      <vt:variant>
        <vt:i4>5</vt:i4>
      </vt:variant>
      <vt:variant>
        <vt:lpwstr>http://www.mainecarepdl.org/pdl</vt:lpwstr>
      </vt:variant>
      <vt:variant>
        <vt:lpwstr/>
      </vt:variant>
      <vt:variant>
        <vt:i4>7864441</vt:i4>
      </vt:variant>
      <vt:variant>
        <vt:i4>15</vt:i4>
      </vt:variant>
      <vt:variant>
        <vt:i4>0</vt:i4>
      </vt:variant>
      <vt:variant>
        <vt:i4>5</vt:i4>
      </vt:variant>
      <vt:variant>
        <vt:lpwstr>http://www.network-health.org/Providers/PDL-Providers.aspx</vt:lpwstr>
      </vt:variant>
      <vt:variant>
        <vt:lpwstr/>
      </vt:variant>
      <vt:variant>
        <vt:i4>7143464</vt:i4>
      </vt:variant>
      <vt:variant>
        <vt:i4>12</vt:i4>
      </vt:variant>
      <vt:variant>
        <vt:i4>0</vt:i4>
      </vt:variant>
      <vt:variant>
        <vt:i4>5</vt:i4>
      </vt:variant>
      <vt:variant>
        <vt:lpwstr>https://nhp.benefits.catamaranrx.com/rxpublic/portal/memberMain</vt:lpwstr>
      </vt:variant>
      <vt:variant>
        <vt:lpwstr/>
      </vt:variant>
      <vt:variant>
        <vt:i4>131110</vt:i4>
      </vt:variant>
      <vt:variant>
        <vt:i4>9</vt:i4>
      </vt:variant>
      <vt:variant>
        <vt:i4>0</vt:i4>
      </vt:variant>
      <vt:variant>
        <vt:i4>5</vt:i4>
      </vt:variant>
      <vt:variant>
        <vt:lpwstr>http://www.healthnewengland.com/HNE_Pharmacy/formulary.html</vt:lpwstr>
      </vt:variant>
      <vt:variant>
        <vt:lpwstr/>
      </vt:variant>
      <vt:variant>
        <vt:i4>5177436</vt:i4>
      </vt:variant>
      <vt:variant>
        <vt:i4>6</vt:i4>
      </vt:variant>
      <vt:variant>
        <vt:i4>0</vt:i4>
      </vt:variant>
      <vt:variant>
        <vt:i4>5</vt:i4>
      </vt:variant>
      <vt:variant>
        <vt:lpwstr>http://www.fchp.org/membertools/MassHealthFormulary/</vt:lpwstr>
      </vt:variant>
      <vt:variant>
        <vt:lpwstr/>
      </vt:variant>
      <vt:variant>
        <vt:i4>5570577</vt:i4>
      </vt:variant>
      <vt:variant>
        <vt:i4>3</vt:i4>
      </vt:variant>
      <vt:variant>
        <vt:i4>0</vt:i4>
      </vt:variant>
      <vt:variant>
        <vt:i4>5</vt:i4>
      </vt:variant>
      <vt:variant>
        <vt:lpwstr>http://www.bmchp.org/pharmacy/providers/drug-list</vt:lpwstr>
      </vt:variant>
      <vt:variant>
        <vt:lpwstr/>
      </vt:variant>
      <vt:variant>
        <vt:i4>3342376</vt:i4>
      </vt:variant>
      <vt:variant>
        <vt:i4>0</vt:i4>
      </vt:variant>
      <vt:variant>
        <vt:i4>0</vt:i4>
      </vt:variant>
      <vt:variant>
        <vt:i4>5</vt:i4>
      </vt:variant>
      <vt:variant>
        <vt:lpwstr>http://www.amcp.org/amcp.ark?p=0F6E1295</vt:lpwstr>
      </vt:variant>
      <vt:variant>
        <vt:lpwstr/>
      </vt:variant>
      <vt:variant>
        <vt:i4>7340084</vt:i4>
      </vt:variant>
      <vt:variant>
        <vt:i4>51</vt:i4>
      </vt:variant>
      <vt:variant>
        <vt:i4>0</vt:i4>
      </vt:variant>
      <vt:variant>
        <vt:i4>5</vt:i4>
      </vt:variant>
      <vt:variant>
        <vt:lpwstr>\\edunivrdir03\CPS Shared DataBank\Templates and Logos\Templates\CPS Reference Manual.htm</vt:lpwstr>
      </vt:variant>
      <vt:variant>
        <vt:lpwstr/>
      </vt:variant>
      <vt:variant>
        <vt:i4>6291529</vt:i4>
      </vt:variant>
      <vt:variant>
        <vt:i4>48</vt:i4>
      </vt:variant>
      <vt:variant>
        <vt:i4>0</vt:i4>
      </vt:variant>
      <vt:variant>
        <vt:i4>5</vt:i4>
      </vt:variant>
      <vt:variant>
        <vt:lpwstr/>
      </vt:variant>
      <vt:variant>
        <vt:lpwstr>Appendix_I</vt:lpwstr>
      </vt:variant>
      <vt:variant>
        <vt:i4>524318</vt:i4>
      </vt:variant>
      <vt:variant>
        <vt:i4>45</vt:i4>
      </vt:variant>
      <vt:variant>
        <vt:i4>0</vt:i4>
      </vt:variant>
      <vt:variant>
        <vt:i4>5</vt:i4>
      </vt:variant>
      <vt:variant>
        <vt:lpwstr/>
      </vt:variant>
      <vt:variant>
        <vt:lpwstr>Addendum</vt:lpwstr>
      </vt:variant>
      <vt:variant>
        <vt:i4>7012449</vt:i4>
      </vt:variant>
      <vt:variant>
        <vt:i4>42</vt:i4>
      </vt:variant>
      <vt:variant>
        <vt:i4>0</vt:i4>
      </vt:variant>
      <vt:variant>
        <vt:i4>5</vt:i4>
      </vt:variant>
      <vt:variant>
        <vt:lpwstr/>
      </vt:variant>
      <vt:variant>
        <vt:lpwstr>ConclusionsRecommendations</vt:lpwstr>
      </vt:variant>
      <vt:variant>
        <vt:i4>7143525</vt:i4>
      </vt:variant>
      <vt:variant>
        <vt:i4>39</vt:i4>
      </vt:variant>
      <vt:variant>
        <vt:i4>0</vt:i4>
      </vt:variant>
      <vt:variant>
        <vt:i4>5</vt:i4>
      </vt:variant>
      <vt:variant>
        <vt:lpwstr/>
      </vt:variant>
      <vt:variant>
        <vt:lpwstr>ClinicalGuidelines</vt:lpwstr>
      </vt:variant>
      <vt:variant>
        <vt:i4>6422640</vt:i4>
      </vt:variant>
      <vt:variant>
        <vt:i4>36</vt:i4>
      </vt:variant>
      <vt:variant>
        <vt:i4>0</vt:i4>
      </vt:variant>
      <vt:variant>
        <vt:i4>5</vt:i4>
      </vt:variant>
      <vt:variant>
        <vt:lpwstr/>
      </vt:variant>
      <vt:variant>
        <vt:lpwstr>PredictedImpactOfPARestriction</vt:lpwstr>
      </vt:variant>
      <vt:variant>
        <vt:i4>1048606</vt:i4>
      </vt:variant>
      <vt:variant>
        <vt:i4>33</vt:i4>
      </vt:variant>
      <vt:variant>
        <vt:i4>0</vt:i4>
      </vt:variant>
      <vt:variant>
        <vt:i4>5</vt:i4>
      </vt:variant>
      <vt:variant>
        <vt:lpwstr/>
      </vt:variant>
      <vt:variant>
        <vt:lpwstr>PotentialAdvantagesDisadvantages</vt:lpwstr>
      </vt:variant>
      <vt:variant>
        <vt:i4>8061033</vt:i4>
      </vt:variant>
      <vt:variant>
        <vt:i4>30</vt:i4>
      </vt:variant>
      <vt:variant>
        <vt:i4>0</vt:i4>
      </vt:variant>
      <vt:variant>
        <vt:i4>5</vt:i4>
      </vt:variant>
      <vt:variant>
        <vt:lpwstr/>
      </vt:variant>
      <vt:variant>
        <vt:lpwstr>DrugAcquisitionCost</vt:lpwstr>
      </vt:variant>
      <vt:variant>
        <vt:i4>1900552</vt:i4>
      </vt:variant>
      <vt:variant>
        <vt:i4>27</vt:i4>
      </vt:variant>
      <vt:variant>
        <vt:i4>0</vt:i4>
      </vt:variant>
      <vt:variant>
        <vt:i4>5</vt:i4>
      </vt:variant>
      <vt:variant>
        <vt:lpwstr/>
      </vt:variant>
      <vt:variant>
        <vt:lpwstr>DosageAdministration</vt:lpwstr>
      </vt:variant>
      <vt:variant>
        <vt:i4>1507354</vt:i4>
      </vt:variant>
      <vt:variant>
        <vt:i4>24</vt:i4>
      </vt:variant>
      <vt:variant>
        <vt:i4>0</vt:i4>
      </vt:variant>
      <vt:variant>
        <vt:i4>5</vt:i4>
      </vt:variant>
      <vt:variant>
        <vt:lpwstr/>
      </vt:variant>
      <vt:variant>
        <vt:lpwstr>DrugInteractions</vt:lpwstr>
      </vt:variant>
      <vt:variant>
        <vt:i4>458778</vt:i4>
      </vt:variant>
      <vt:variant>
        <vt:i4>21</vt:i4>
      </vt:variant>
      <vt:variant>
        <vt:i4>0</vt:i4>
      </vt:variant>
      <vt:variant>
        <vt:i4>5</vt:i4>
      </vt:variant>
      <vt:variant>
        <vt:lpwstr/>
      </vt:variant>
      <vt:variant>
        <vt:lpwstr>ContraindicationsPrecautions</vt:lpwstr>
      </vt:variant>
      <vt:variant>
        <vt:i4>1507341</vt:i4>
      </vt:variant>
      <vt:variant>
        <vt:i4>18</vt:i4>
      </vt:variant>
      <vt:variant>
        <vt:i4>0</vt:i4>
      </vt:variant>
      <vt:variant>
        <vt:i4>5</vt:i4>
      </vt:variant>
      <vt:variant>
        <vt:lpwstr/>
      </vt:variant>
      <vt:variant>
        <vt:lpwstr>AdverseDrugEvents</vt:lpwstr>
      </vt:variant>
      <vt:variant>
        <vt:i4>7733359</vt:i4>
      </vt:variant>
      <vt:variant>
        <vt:i4>15</vt:i4>
      </vt:variant>
      <vt:variant>
        <vt:i4>0</vt:i4>
      </vt:variant>
      <vt:variant>
        <vt:i4>5</vt:i4>
      </vt:variant>
      <vt:variant>
        <vt:lpwstr/>
      </vt:variant>
      <vt:variant>
        <vt:lpwstr>SpecialPopulations</vt:lpwstr>
      </vt:variant>
      <vt:variant>
        <vt:i4>7143539</vt:i4>
      </vt:variant>
      <vt:variant>
        <vt:i4>12</vt:i4>
      </vt:variant>
      <vt:variant>
        <vt:i4>0</vt:i4>
      </vt:variant>
      <vt:variant>
        <vt:i4>5</vt:i4>
      </vt:variant>
      <vt:variant>
        <vt:lpwstr/>
      </vt:variant>
      <vt:variant>
        <vt:lpwstr>ClinicalTrials</vt:lpwstr>
      </vt:variant>
      <vt:variant>
        <vt:i4>7340134</vt:i4>
      </vt:variant>
      <vt:variant>
        <vt:i4>9</vt:i4>
      </vt:variant>
      <vt:variant>
        <vt:i4>0</vt:i4>
      </vt:variant>
      <vt:variant>
        <vt:i4>5</vt:i4>
      </vt:variant>
      <vt:variant>
        <vt:lpwstr/>
      </vt:variant>
      <vt:variant>
        <vt:lpwstr>OverviewSummary</vt:lpwstr>
      </vt:variant>
      <vt:variant>
        <vt:i4>6619239</vt:i4>
      </vt:variant>
      <vt:variant>
        <vt:i4>6</vt:i4>
      </vt:variant>
      <vt:variant>
        <vt:i4>0</vt:i4>
      </vt:variant>
      <vt:variant>
        <vt:i4>5</vt:i4>
      </vt:variant>
      <vt:variant>
        <vt:lpwstr/>
      </vt:variant>
      <vt:variant>
        <vt:lpwstr>StylisticGuideline</vt:lpwstr>
      </vt:variant>
      <vt:variant>
        <vt:i4>7667817</vt:i4>
      </vt:variant>
      <vt:variant>
        <vt:i4>3</vt:i4>
      </vt:variant>
      <vt:variant>
        <vt:i4>0</vt:i4>
      </vt:variant>
      <vt:variant>
        <vt:i4>5</vt:i4>
      </vt:variant>
      <vt:variant>
        <vt:lpwstr/>
      </vt:variant>
      <vt:variant>
        <vt:lpwstr>Formulation</vt:lpwstr>
      </vt:variant>
      <vt:variant>
        <vt:i4>3145811</vt:i4>
      </vt:variant>
      <vt:variant>
        <vt:i4>0</vt:i4>
      </vt:variant>
      <vt:variant>
        <vt:i4>0</vt:i4>
      </vt:variant>
      <vt:variant>
        <vt:i4>5</vt:i4>
      </vt:variant>
      <vt:variant>
        <vt:lpwstr/>
      </vt:variant>
      <vt:variant>
        <vt:lpwstr>Appendix_IIITable4</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2016-05-10T00:01:00Z</dcterms:created>
  <dc:creator>Information Services</dc:creator>
  <lastModifiedBy/>
  <lastPrinted>2016-05-23T13:22:00Z</lastPrinted>
  <dcterms:modified xsi:type="dcterms:W3CDTF">2016-05-23T13:22:00Z</dcterms:modified>
  <revision>3</revision>
  <dc:title>New Drug Review</dc:title>
</coreProperties>
</file>