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6FCF" w14:textId="77777777" w:rsidR="00A54717" w:rsidRPr="00A94F63" w:rsidRDefault="00A54717" w:rsidP="00A54717">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21581977"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DIVISION OF ADMINISTRATIVE LAW APPEALS</w:t>
      </w:r>
    </w:p>
    <w:p w14:paraId="4BD5A5B9"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BUREAU OF SPECIAL EDUCATION APPEALS</w:t>
      </w:r>
    </w:p>
    <w:p w14:paraId="5E438C96" w14:textId="77777777" w:rsidR="00A54717" w:rsidRDefault="00A54717" w:rsidP="00A54717">
      <w:pPr>
        <w:pStyle w:val="NoSpacing"/>
        <w:jc w:val="center"/>
        <w:rPr>
          <w:rFonts w:ascii="Times New Roman" w:hAnsi="Times New Roman" w:cs="Times New Roman"/>
          <w:sz w:val="25"/>
          <w:szCs w:val="25"/>
        </w:rPr>
      </w:pPr>
    </w:p>
    <w:p w14:paraId="60754349" w14:textId="77777777" w:rsidR="00A54717" w:rsidRPr="00331E3A" w:rsidRDefault="00A54717" w:rsidP="00A54717">
      <w:pPr>
        <w:pStyle w:val="NoSpacing"/>
        <w:jc w:val="center"/>
        <w:rPr>
          <w:rFonts w:ascii="Times New Roman" w:hAnsi="Times New Roman" w:cs="Times New Roman"/>
          <w:sz w:val="24"/>
        </w:rPr>
      </w:pPr>
    </w:p>
    <w:p w14:paraId="0DA33DD6" w14:textId="57C7CAAD" w:rsidR="00A54717" w:rsidRDefault="00A54717" w:rsidP="00A54717">
      <w:pPr>
        <w:pStyle w:val="NoSpacing"/>
        <w:rPr>
          <w:rFonts w:ascii="Times New Roman" w:hAnsi="Times New Roman" w:cs="Times New Roman"/>
          <w:sz w:val="24"/>
        </w:rPr>
      </w:pPr>
      <w:r w:rsidRPr="00331E3A">
        <w:rPr>
          <w:rFonts w:ascii="Times New Roman" w:hAnsi="Times New Roman" w:cs="Times New Roman"/>
          <w:sz w:val="24"/>
        </w:rPr>
        <w:t xml:space="preserve">In re:   </w:t>
      </w:r>
      <w:r w:rsidRPr="00CC2A45">
        <w:rPr>
          <w:rFonts w:ascii="Times New Roman" w:hAnsi="Times New Roman" w:cs="Times New Roman"/>
          <w:color w:val="000000" w:themeColor="text1"/>
          <w:sz w:val="24"/>
        </w:rPr>
        <w:t xml:space="preserve"> </w:t>
      </w:r>
      <w:r w:rsidR="00C639F7">
        <w:rPr>
          <w:rFonts w:ascii="Times New Roman" w:hAnsi="Times New Roman" w:cs="Times New Roman"/>
          <w:color w:val="000000" w:themeColor="text1"/>
          <w:sz w:val="24"/>
        </w:rPr>
        <w:t>Quin</w:t>
      </w:r>
      <w:r w:rsidR="00156906">
        <w:rPr>
          <w:rStyle w:val="FootnoteReference"/>
          <w:rFonts w:ascii="Times New Roman" w:hAnsi="Times New Roman" w:cs="Times New Roman"/>
          <w:color w:val="000000" w:themeColor="text1"/>
          <w:sz w:val="24"/>
        </w:rPr>
        <w:footnoteReference w:id="1"/>
      </w:r>
      <w:r w:rsidRPr="001F21FA">
        <w:rPr>
          <w:rFonts w:ascii="Times New Roman" w:hAnsi="Times New Roman" w:cs="Times New Roman"/>
          <w:color w:val="FF0000"/>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C639F7">
        <w:rPr>
          <w:rFonts w:ascii="Times New Roman" w:hAnsi="Times New Roman" w:cs="Times New Roman"/>
          <w:sz w:val="24"/>
        </w:rPr>
        <w:tab/>
      </w:r>
      <w:r w:rsidR="00C639F7">
        <w:rPr>
          <w:rFonts w:ascii="Times New Roman" w:hAnsi="Times New Roman" w:cs="Times New Roman"/>
          <w:sz w:val="24"/>
        </w:rPr>
        <w:tab/>
      </w:r>
      <w:r w:rsidRPr="00331E3A">
        <w:rPr>
          <w:rFonts w:ascii="Times New Roman" w:hAnsi="Times New Roman" w:cs="Times New Roman"/>
          <w:sz w:val="24"/>
        </w:rPr>
        <w:t>BSEA</w:t>
      </w:r>
      <w:r w:rsidRPr="00331E3A">
        <w:rPr>
          <w:rFonts w:ascii="Times New Roman" w:hAnsi="Times New Roman" w:cs="Times New Roman"/>
          <w:b/>
          <w:sz w:val="24"/>
        </w:rPr>
        <w:t xml:space="preserve"> </w:t>
      </w:r>
      <w:r w:rsidR="00C639F7" w:rsidRPr="001708D1">
        <w:rPr>
          <w:rFonts w:ascii="Times New Roman" w:hAnsi="Times New Roman" w:cs="Times New Roman"/>
          <w:b/>
          <w:sz w:val="24"/>
        </w:rPr>
        <w:t>#</w:t>
      </w:r>
      <w:r w:rsidR="00C639F7" w:rsidRPr="001708D1">
        <w:rPr>
          <w:rFonts w:ascii="Times New Roman" w:hAnsi="Times New Roman" w:cs="Times New Roman"/>
          <w:sz w:val="24"/>
        </w:rPr>
        <w:t>1605247</w:t>
      </w:r>
    </w:p>
    <w:p w14:paraId="4A87E6F3" w14:textId="77777777" w:rsidR="00A54717" w:rsidRPr="00331E3A" w:rsidRDefault="00A54717" w:rsidP="00A54717">
      <w:pPr>
        <w:pStyle w:val="NoSpacing"/>
        <w:rPr>
          <w:rFonts w:ascii="Times New Roman" w:hAnsi="Times New Roman" w:cs="Times New Roman"/>
          <w:sz w:val="24"/>
        </w:rPr>
      </w:pPr>
    </w:p>
    <w:p w14:paraId="4087CF73" w14:textId="77777777" w:rsidR="00A54717" w:rsidRPr="00331E3A" w:rsidRDefault="00A54717" w:rsidP="00A54717">
      <w:pPr>
        <w:pStyle w:val="NoSpacing"/>
        <w:rPr>
          <w:rFonts w:ascii="Times New Roman" w:hAnsi="Times New Roman" w:cs="Times New Roman"/>
          <w:b/>
          <w:sz w:val="24"/>
        </w:rPr>
      </w:pPr>
    </w:p>
    <w:p w14:paraId="352E3F07" w14:textId="244FA4F2" w:rsidR="00A54717" w:rsidRPr="00331E3A" w:rsidRDefault="00A54717" w:rsidP="00C833C4">
      <w:pPr>
        <w:pStyle w:val="NoSpacing"/>
        <w:ind w:left="1440" w:firstLine="720"/>
        <w:rPr>
          <w:rFonts w:ascii="Times New Roman" w:hAnsi="Times New Roman" w:cs="Times New Roman"/>
          <w:b/>
          <w:sz w:val="24"/>
          <w:u w:val="single"/>
        </w:rPr>
      </w:pPr>
      <w:r w:rsidRPr="00331E3A">
        <w:rPr>
          <w:rFonts w:ascii="Times New Roman" w:hAnsi="Times New Roman" w:cs="Times New Roman"/>
          <w:b/>
          <w:sz w:val="24"/>
          <w:u w:val="single"/>
        </w:rPr>
        <w:t xml:space="preserve">RULING ON </w:t>
      </w:r>
      <w:r w:rsidR="00C833C4">
        <w:rPr>
          <w:rFonts w:ascii="Times New Roman" w:hAnsi="Times New Roman" w:cs="Times New Roman"/>
          <w:b/>
          <w:sz w:val="24"/>
          <w:u w:val="single"/>
        </w:rPr>
        <w:t xml:space="preserve">MOTION TO </w:t>
      </w:r>
      <w:r w:rsidR="00E96AED">
        <w:rPr>
          <w:rFonts w:ascii="Times New Roman" w:hAnsi="Times New Roman" w:cs="Times New Roman"/>
          <w:b/>
          <w:sz w:val="24"/>
          <w:u w:val="single"/>
        </w:rPr>
        <w:t>REOPEN EVIDENCE</w:t>
      </w:r>
    </w:p>
    <w:p w14:paraId="4A34B7A0" w14:textId="77777777" w:rsidR="00A54717" w:rsidRPr="00EB42F9" w:rsidRDefault="00A54717" w:rsidP="00EB42F9">
      <w:pPr>
        <w:pStyle w:val="NoSpacing"/>
        <w:jc w:val="center"/>
        <w:rPr>
          <w:rFonts w:ascii="Times New Roman" w:hAnsi="Times New Roman" w:cs="Times New Roman"/>
          <w:b/>
          <w:sz w:val="24"/>
          <w:u w:val="single"/>
        </w:rPr>
      </w:pPr>
    </w:p>
    <w:p w14:paraId="27DC5217" w14:textId="37585B9A" w:rsidR="00453902" w:rsidRPr="00EB42F9" w:rsidRDefault="00E96AED" w:rsidP="00EB42F9">
      <w:pPr>
        <w:pStyle w:val="NoSpacing"/>
        <w:spacing w:after="100" w:afterAutospacing="1"/>
        <w:ind w:firstLine="720"/>
        <w:rPr>
          <w:rFonts w:ascii="Times New Roman" w:hAnsi="Times New Roman" w:cs="Times New Roman"/>
          <w:sz w:val="24"/>
        </w:rPr>
      </w:pPr>
      <w:r w:rsidRPr="00EB42F9">
        <w:rPr>
          <w:rFonts w:ascii="Times New Roman" w:hAnsi="Times New Roman" w:cs="Times New Roman"/>
          <w:sz w:val="24"/>
        </w:rPr>
        <w:t>This</w:t>
      </w:r>
      <w:r w:rsidR="00A54717" w:rsidRPr="00EB42F9">
        <w:rPr>
          <w:rFonts w:ascii="Times New Roman" w:hAnsi="Times New Roman" w:cs="Times New Roman"/>
          <w:sz w:val="24"/>
        </w:rPr>
        <w:t xml:space="preserve"> matter</w:t>
      </w:r>
      <w:r w:rsidR="003D1258" w:rsidRPr="00EB42F9">
        <w:rPr>
          <w:rFonts w:ascii="Times New Roman" w:hAnsi="Times New Roman" w:cs="Times New Roman"/>
          <w:sz w:val="24"/>
        </w:rPr>
        <w:t xml:space="preserve"> come</w:t>
      </w:r>
      <w:r w:rsidRPr="00EB42F9">
        <w:rPr>
          <w:rFonts w:ascii="Times New Roman" w:hAnsi="Times New Roman" w:cs="Times New Roman"/>
          <w:sz w:val="24"/>
        </w:rPr>
        <w:t>s</w:t>
      </w:r>
      <w:r w:rsidR="00A54717" w:rsidRPr="00EB42F9">
        <w:rPr>
          <w:rFonts w:ascii="Times New Roman" w:hAnsi="Times New Roman" w:cs="Times New Roman"/>
          <w:sz w:val="24"/>
        </w:rPr>
        <w:t xml:space="preserve"> before the Hearing Officer on the</w:t>
      </w:r>
      <w:r w:rsidRPr="00EB42F9">
        <w:rPr>
          <w:rFonts w:ascii="Times New Roman" w:hAnsi="Times New Roman" w:cs="Times New Roman"/>
          <w:sz w:val="24"/>
        </w:rPr>
        <w:t xml:space="preserve"> </w:t>
      </w:r>
      <w:r w:rsidR="00A54717" w:rsidRPr="00EB42F9">
        <w:rPr>
          <w:rFonts w:ascii="Times New Roman" w:hAnsi="Times New Roman" w:cs="Times New Roman"/>
          <w:sz w:val="24"/>
        </w:rPr>
        <w:t>Motion</w:t>
      </w:r>
      <w:r w:rsidR="004576A9" w:rsidRPr="00EB42F9">
        <w:rPr>
          <w:rFonts w:ascii="Times New Roman" w:hAnsi="Times New Roman" w:cs="Times New Roman"/>
          <w:sz w:val="24"/>
        </w:rPr>
        <w:t xml:space="preserve"> of the Parent</w:t>
      </w:r>
      <w:r w:rsidR="00A54717" w:rsidRPr="00EB42F9">
        <w:rPr>
          <w:rFonts w:ascii="Times New Roman" w:hAnsi="Times New Roman" w:cs="Times New Roman"/>
          <w:sz w:val="24"/>
        </w:rPr>
        <w:t xml:space="preserve"> to </w:t>
      </w:r>
      <w:r w:rsidRPr="00EB42F9">
        <w:rPr>
          <w:rFonts w:ascii="Times New Roman" w:hAnsi="Times New Roman" w:cs="Times New Roman"/>
          <w:sz w:val="24"/>
        </w:rPr>
        <w:t xml:space="preserve">Reopen Evidence </w:t>
      </w:r>
      <w:r w:rsidR="00A54717" w:rsidRPr="00EB42F9">
        <w:rPr>
          <w:rFonts w:ascii="Times New Roman" w:hAnsi="Times New Roman" w:cs="Times New Roman"/>
          <w:sz w:val="24"/>
        </w:rPr>
        <w:t xml:space="preserve">(“Motion to </w:t>
      </w:r>
      <w:r w:rsidRPr="00EB42F9">
        <w:rPr>
          <w:rFonts w:ascii="Times New Roman" w:hAnsi="Times New Roman" w:cs="Times New Roman"/>
          <w:sz w:val="24"/>
        </w:rPr>
        <w:t>Reopen</w:t>
      </w:r>
      <w:r w:rsidR="00B50A9B" w:rsidRPr="00EB42F9">
        <w:rPr>
          <w:rFonts w:ascii="Times New Roman" w:hAnsi="Times New Roman" w:cs="Times New Roman"/>
          <w:sz w:val="24"/>
        </w:rPr>
        <w:t>”) to</w:t>
      </w:r>
      <w:r w:rsidR="00512FD4" w:rsidRPr="00EB42F9">
        <w:rPr>
          <w:rFonts w:ascii="Times New Roman" w:hAnsi="Times New Roman" w:cs="Times New Roman"/>
          <w:sz w:val="24"/>
        </w:rPr>
        <w:t xml:space="preserve"> allow Parent to</w:t>
      </w:r>
      <w:r w:rsidR="00B50A9B" w:rsidRPr="00EB42F9">
        <w:rPr>
          <w:rFonts w:ascii="Times New Roman" w:hAnsi="Times New Roman" w:cs="Times New Roman"/>
          <w:sz w:val="24"/>
        </w:rPr>
        <w:t xml:space="preserve"> submit </w:t>
      </w:r>
      <w:r w:rsidR="00512FD4" w:rsidRPr="00EB42F9">
        <w:rPr>
          <w:rFonts w:ascii="Times New Roman" w:hAnsi="Times New Roman" w:cs="Times New Roman"/>
          <w:sz w:val="24"/>
        </w:rPr>
        <w:t>her phone records from November 19-November</w:t>
      </w:r>
      <w:r w:rsidR="00DD25A0" w:rsidRPr="00EB42F9">
        <w:rPr>
          <w:rFonts w:ascii="Times New Roman" w:hAnsi="Times New Roman" w:cs="Times New Roman"/>
          <w:sz w:val="24"/>
        </w:rPr>
        <w:t xml:space="preserve"> 21</w:t>
      </w:r>
      <w:r w:rsidR="00512FD4" w:rsidRPr="00EB42F9">
        <w:rPr>
          <w:rFonts w:ascii="Times New Roman" w:hAnsi="Times New Roman" w:cs="Times New Roman"/>
          <w:sz w:val="24"/>
        </w:rPr>
        <w:t xml:space="preserve">, 2015. </w:t>
      </w:r>
      <w:r w:rsidR="00A54717" w:rsidRPr="00EB42F9">
        <w:rPr>
          <w:rFonts w:ascii="Times New Roman" w:hAnsi="Times New Roman" w:cs="Times New Roman"/>
          <w:sz w:val="24"/>
        </w:rPr>
        <w:t xml:space="preserve">The Motion </w:t>
      </w:r>
      <w:r w:rsidR="00597739" w:rsidRPr="00EB42F9">
        <w:rPr>
          <w:rFonts w:ascii="Times New Roman" w:hAnsi="Times New Roman" w:cs="Times New Roman"/>
          <w:sz w:val="24"/>
        </w:rPr>
        <w:t xml:space="preserve">to </w:t>
      </w:r>
      <w:proofErr w:type="gramStart"/>
      <w:r w:rsidR="00512FD4" w:rsidRPr="00EB42F9">
        <w:rPr>
          <w:rFonts w:ascii="Times New Roman" w:hAnsi="Times New Roman" w:cs="Times New Roman"/>
          <w:sz w:val="24"/>
        </w:rPr>
        <w:t>Reopen</w:t>
      </w:r>
      <w:proofErr w:type="gramEnd"/>
      <w:r w:rsidR="00597739" w:rsidRPr="00EB42F9">
        <w:rPr>
          <w:rFonts w:ascii="Times New Roman" w:hAnsi="Times New Roman" w:cs="Times New Roman"/>
          <w:sz w:val="24"/>
        </w:rPr>
        <w:t xml:space="preserve"> was filed</w:t>
      </w:r>
      <w:r w:rsidR="0030780D" w:rsidRPr="00EB42F9">
        <w:rPr>
          <w:rFonts w:ascii="Times New Roman" w:hAnsi="Times New Roman" w:cs="Times New Roman"/>
          <w:sz w:val="24"/>
        </w:rPr>
        <w:t xml:space="preserve"> by Parent </w:t>
      </w:r>
      <w:r w:rsidR="00512FD4" w:rsidRPr="00EB42F9">
        <w:rPr>
          <w:rFonts w:ascii="Times New Roman" w:hAnsi="Times New Roman" w:cs="Times New Roman"/>
          <w:sz w:val="24"/>
        </w:rPr>
        <w:t>on June 9, 2016</w:t>
      </w:r>
      <w:r w:rsidR="003D2BEF" w:rsidRPr="00EB42F9">
        <w:rPr>
          <w:rFonts w:ascii="Times New Roman" w:hAnsi="Times New Roman" w:cs="Times New Roman"/>
          <w:sz w:val="24"/>
        </w:rPr>
        <w:t xml:space="preserve"> in response to a</w:t>
      </w:r>
      <w:r w:rsidR="00AC2FB1" w:rsidRPr="00EB42F9">
        <w:rPr>
          <w:rFonts w:ascii="Times New Roman" w:hAnsi="Times New Roman" w:cs="Times New Roman"/>
          <w:sz w:val="24"/>
        </w:rPr>
        <w:t xml:space="preserve"> change in </w:t>
      </w:r>
      <w:r w:rsidR="00DD2C06">
        <w:rPr>
          <w:rFonts w:ascii="Times New Roman" w:hAnsi="Times New Roman" w:cs="Times New Roman"/>
          <w:sz w:val="24"/>
        </w:rPr>
        <w:t xml:space="preserve">the </w:t>
      </w:r>
      <w:r w:rsidR="00AC2FB1" w:rsidRPr="00EB42F9">
        <w:rPr>
          <w:rFonts w:ascii="Times New Roman" w:hAnsi="Times New Roman" w:cs="Times New Roman"/>
          <w:sz w:val="24"/>
        </w:rPr>
        <w:t>testimony</w:t>
      </w:r>
      <w:r w:rsidR="00D75E93" w:rsidRPr="00EB42F9">
        <w:rPr>
          <w:rFonts w:ascii="Times New Roman" w:hAnsi="Times New Roman" w:cs="Times New Roman"/>
          <w:sz w:val="24"/>
        </w:rPr>
        <w:t xml:space="preserve"> </w:t>
      </w:r>
      <w:r w:rsidR="00DD2C06">
        <w:rPr>
          <w:rFonts w:ascii="Times New Roman" w:hAnsi="Times New Roman" w:cs="Times New Roman"/>
          <w:sz w:val="24"/>
        </w:rPr>
        <w:t xml:space="preserve">of </w:t>
      </w:r>
      <w:r w:rsidR="000B5F1F">
        <w:rPr>
          <w:rFonts w:ascii="Times New Roman" w:hAnsi="Times New Roman" w:cs="Times New Roman"/>
          <w:sz w:val="24"/>
        </w:rPr>
        <w:t>a key witness,</w:t>
      </w:r>
      <w:r w:rsidR="00AC2FB1" w:rsidRPr="00EB42F9">
        <w:rPr>
          <w:rFonts w:ascii="Times New Roman" w:hAnsi="Times New Roman" w:cs="Times New Roman"/>
          <w:sz w:val="24"/>
        </w:rPr>
        <w:t xml:space="preserve"> discovered at Hearing</w:t>
      </w:r>
      <w:r w:rsidR="00AC2FB1" w:rsidRPr="00EB42F9">
        <w:rPr>
          <w:rStyle w:val="FootnoteReference"/>
          <w:rFonts w:ascii="Times New Roman" w:hAnsi="Times New Roman" w:cs="Times New Roman"/>
          <w:sz w:val="24"/>
        </w:rPr>
        <w:footnoteReference w:id="2"/>
      </w:r>
      <w:r w:rsidR="00910ADB" w:rsidRPr="00EB42F9">
        <w:rPr>
          <w:rFonts w:ascii="Times New Roman" w:hAnsi="Times New Roman" w:cs="Times New Roman"/>
          <w:sz w:val="24"/>
        </w:rPr>
        <w:t xml:space="preserve"> </w:t>
      </w:r>
      <w:r w:rsidR="00512FD4" w:rsidRPr="00EB42F9">
        <w:rPr>
          <w:rFonts w:ascii="Times New Roman" w:hAnsi="Times New Roman" w:cs="Times New Roman"/>
          <w:sz w:val="24"/>
        </w:rPr>
        <w:t>on June 8, 2016</w:t>
      </w:r>
      <w:r w:rsidR="00AC2FB1" w:rsidRPr="00EB42F9">
        <w:rPr>
          <w:rFonts w:ascii="Times New Roman" w:hAnsi="Times New Roman" w:cs="Times New Roman"/>
          <w:sz w:val="24"/>
        </w:rPr>
        <w:t xml:space="preserve">. </w:t>
      </w:r>
      <w:r w:rsidR="00D75E93" w:rsidRPr="00EB42F9">
        <w:rPr>
          <w:rFonts w:ascii="Times New Roman" w:hAnsi="Times New Roman" w:cs="Times New Roman"/>
          <w:sz w:val="24"/>
        </w:rPr>
        <w:t>Framingham Public Schools (</w:t>
      </w:r>
      <w:r w:rsidR="00DD2C06">
        <w:rPr>
          <w:rFonts w:ascii="Times New Roman" w:hAnsi="Times New Roman" w:cs="Times New Roman"/>
          <w:sz w:val="24"/>
        </w:rPr>
        <w:t xml:space="preserve">Framingham or </w:t>
      </w:r>
      <w:r w:rsidR="00D75E93" w:rsidRPr="00EB42F9">
        <w:rPr>
          <w:rFonts w:ascii="Times New Roman" w:hAnsi="Times New Roman" w:cs="Times New Roman"/>
          <w:sz w:val="24"/>
        </w:rPr>
        <w:t>“District)</w:t>
      </w:r>
      <w:r w:rsidR="00A54717" w:rsidRPr="00EB42F9">
        <w:rPr>
          <w:rFonts w:ascii="Times New Roman" w:hAnsi="Times New Roman" w:cs="Times New Roman"/>
          <w:sz w:val="24"/>
        </w:rPr>
        <w:t xml:space="preserve"> filed </w:t>
      </w:r>
      <w:r w:rsidR="0030780D" w:rsidRPr="00EB42F9">
        <w:rPr>
          <w:rFonts w:ascii="Times New Roman" w:hAnsi="Times New Roman" w:cs="Times New Roman"/>
          <w:sz w:val="24"/>
        </w:rPr>
        <w:t>its</w:t>
      </w:r>
      <w:r w:rsidR="00A54717" w:rsidRPr="00EB42F9">
        <w:rPr>
          <w:rFonts w:ascii="Times New Roman" w:hAnsi="Times New Roman" w:cs="Times New Roman"/>
          <w:sz w:val="24"/>
        </w:rPr>
        <w:t xml:space="preserve"> Opposition to the </w:t>
      </w:r>
      <w:r w:rsidR="0030780D" w:rsidRPr="00EB42F9">
        <w:rPr>
          <w:rFonts w:ascii="Times New Roman" w:hAnsi="Times New Roman" w:cs="Times New Roman"/>
          <w:sz w:val="24"/>
        </w:rPr>
        <w:t>Parent</w:t>
      </w:r>
      <w:r w:rsidR="00A54717" w:rsidRPr="00EB42F9">
        <w:rPr>
          <w:rFonts w:ascii="Times New Roman" w:hAnsi="Times New Roman" w:cs="Times New Roman"/>
          <w:sz w:val="24"/>
        </w:rPr>
        <w:t xml:space="preserve">’s Motion to </w:t>
      </w:r>
      <w:r w:rsidR="00D75E93" w:rsidRPr="00EB42F9">
        <w:rPr>
          <w:rFonts w:ascii="Times New Roman" w:hAnsi="Times New Roman" w:cs="Times New Roman"/>
          <w:sz w:val="24"/>
        </w:rPr>
        <w:t>Reopen</w:t>
      </w:r>
      <w:r w:rsidR="00A54717" w:rsidRPr="00EB42F9">
        <w:rPr>
          <w:rFonts w:ascii="Times New Roman" w:hAnsi="Times New Roman" w:cs="Times New Roman"/>
          <w:sz w:val="24"/>
        </w:rPr>
        <w:t xml:space="preserve"> on </w:t>
      </w:r>
      <w:r w:rsidR="00453902" w:rsidRPr="00EB42F9">
        <w:rPr>
          <w:rFonts w:ascii="Times New Roman" w:hAnsi="Times New Roman" w:cs="Times New Roman"/>
          <w:sz w:val="24"/>
        </w:rPr>
        <w:t>June 16</w:t>
      </w:r>
      <w:r w:rsidR="0030780D" w:rsidRPr="00EB42F9">
        <w:rPr>
          <w:rFonts w:ascii="Times New Roman" w:hAnsi="Times New Roman" w:cs="Times New Roman"/>
          <w:sz w:val="24"/>
        </w:rPr>
        <w:t>, 2016</w:t>
      </w:r>
      <w:r w:rsidR="00516F3D" w:rsidRPr="00EB42F9">
        <w:rPr>
          <w:rFonts w:ascii="Times New Roman" w:hAnsi="Times New Roman" w:cs="Times New Roman"/>
          <w:sz w:val="24"/>
        </w:rPr>
        <w:t xml:space="preserve">. </w:t>
      </w:r>
      <w:r w:rsidR="00A54717" w:rsidRPr="00EB42F9">
        <w:rPr>
          <w:rFonts w:ascii="Times New Roman" w:hAnsi="Times New Roman" w:cs="Times New Roman"/>
          <w:color w:val="000000" w:themeColor="text1"/>
          <w:sz w:val="24"/>
        </w:rPr>
        <w:t>Neither party has req</w:t>
      </w:r>
      <w:r w:rsidR="00453902" w:rsidRPr="00EB42F9">
        <w:rPr>
          <w:rFonts w:ascii="Times New Roman" w:hAnsi="Times New Roman" w:cs="Times New Roman"/>
          <w:color w:val="000000" w:themeColor="text1"/>
          <w:sz w:val="24"/>
        </w:rPr>
        <w:t>uested a hearing on the Motion</w:t>
      </w:r>
      <w:r w:rsidR="009F0E2D">
        <w:rPr>
          <w:rFonts w:ascii="Times New Roman" w:hAnsi="Times New Roman" w:cs="Times New Roman"/>
          <w:color w:val="000000" w:themeColor="text1"/>
          <w:sz w:val="24"/>
        </w:rPr>
        <w:t xml:space="preserve">, and as testimony or oral argument would not advance my understanding of the issues involved, this Ruling is being issued without a hearing pursuant to </w:t>
      </w:r>
      <w:r w:rsidR="009F0E2D" w:rsidRPr="00DD2C06">
        <w:rPr>
          <w:rFonts w:ascii="Times New Roman" w:hAnsi="Times New Roman" w:cs="Times New Roman"/>
          <w:i/>
          <w:color w:val="000000" w:themeColor="text1"/>
          <w:sz w:val="24"/>
        </w:rPr>
        <w:t>Bureau</w:t>
      </w:r>
      <w:r w:rsidR="009F0E2D">
        <w:rPr>
          <w:rFonts w:ascii="Times New Roman" w:hAnsi="Times New Roman" w:cs="Times New Roman"/>
          <w:color w:val="000000" w:themeColor="text1"/>
          <w:sz w:val="24"/>
        </w:rPr>
        <w:t xml:space="preserve"> </w:t>
      </w:r>
      <w:r w:rsidR="009F0E2D" w:rsidRPr="00DD2C06">
        <w:rPr>
          <w:rFonts w:ascii="Times New Roman" w:hAnsi="Times New Roman" w:cs="Times New Roman"/>
          <w:i/>
          <w:color w:val="000000" w:themeColor="text1"/>
          <w:sz w:val="24"/>
        </w:rPr>
        <w:t>of</w:t>
      </w:r>
      <w:r w:rsidR="009F0E2D">
        <w:rPr>
          <w:rFonts w:ascii="Times New Roman" w:hAnsi="Times New Roman" w:cs="Times New Roman"/>
          <w:color w:val="000000" w:themeColor="text1"/>
          <w:sz w:val="24"/>
        </w:rPr>
        <w:t xml:space="preserve"> </w:t>
      </w:r>
      <w:r w:rsidR="009F0E2D" w:rsidRPr="00DD2C06">
        <w:rPr>
          <w:rFonts w:ascii="Times New Roman" w:hAnsi="Times New Roman" w:cs="Times New Roman"/>
          <w:i/>
          <w:color w:val="000000" w:themeColor="text1"/>
          <w:sz w:val="24"/>
        </w:rPr>
        <w:t>Special</w:t>
      </w:r>
      <w:r w:rsidR="009F0E2D">
        <w:rPr>
          <w:rFonts w:ascii="Times New Roman" w:hAnsi="Times New Roman" w:cs="Times New Roman"/>
          <w:color w:val="000000" w:themeColor="text1"/>
          <w:sz w:val="24"/>
        </w:rPr>
        <w:t xml:space="preserve"> </w:t>
      </w:r>
      <w:r w:rsidR="009F0E2D" w:rsidRPr="00DD2C06">
        <w:rPr>
          <w:rFonts w:ascii="Times New Roman" w:hAnsi="Times New Roman" w:cs="Times New Roman"/>
          <w:i/>
          <w:color w:val="000000" w:themeColor="text1"/>
          <w:sz w:val="24"/>
        </w:rPr>
        <w:t>Education</w:t>
      </w:r>
      <w:r w:rsidR="009F0E2D">
        <w:rPr>
          <w:rFonts w:ascii="Times New Roman" w:hAnsi="Times New Roman" w:cs="Times New Roman"/>
          <w:color w:val="000000" w:themeColor="text1"/>
          <w:sz w:val="24"/>
        </w:rPr>
        <w:t xml:space="preserve"> </w:t>
      </w:r>
      <w:r w:rsidR="009F0E2D" w:rsidRPr="00DD2C06">
        <w:rPr>
          <w:rFonts w:ascii="Times New Roman" w:hAnsi="Times New Roman" w:cs="Times New Roman"/>
          <w:i/>
          <w:color w:val="000000" w:themeColor="text1"/>
          <w:sz w:val="24"/>
        </w:rPr>
        <w:t>Appeals</w:t>
      </w:r>
      <w:r w:rsidR="009F0E2D">
        <w:rPr>
          <w:rFonts w:ascii="Times New Roman" w:hAnsi="Times New Roman" w:cs="Times New Roman"/>
          <w:color w:val="000000" w:themeColor="text1"/>
          <w:sz w:val="24"/>
        </w:rPr>
        <w:t xml:space="preserve"> </w:t>
      </w:r>
      <w:r w:rsidR="009F0E2D" w:rsidRPr="00DD2C06">
        <w:rPr>
          <w:rFonts w:ascii="Times New Roman" w:hAnsi="Times New Roman" w:cs="Times New Roman"/>
          <w:i/>
          <w:color w:val="000000" w:themeColor="text1"/>
          <w:sz w:val="24"/>
        </w:rPr>
        <w:t>Hearing</w:t>
      </w:r>
      <w:r w:rsidR="009F0E2D">
        <w:rPr>
          <w:rFonts w:ascii="Times New Roman" w:hAnsi="Times New Roman" w:cs="Times New Roman"/>
          <w:color w:val="000000" w:themeColor="text1"/>
          <w:sz w:val="24"/>
        </w:rPr>
        <w:t xml:space="preserve"> </w:t>
      </w:r>
      <w:r w:rsidR="009F0E2D" w:rsidRPr="00DD2C06">
        <w:rPr>
          <w:rFonts w:ascii="Times New Roman" w:hAnsi="Times New Roman" w:cs="Times New Roman"/>
          <w:i/>
          <w:color w:val="000000" w:themeColor="text1"/>
          <w:sz w:val="24"/>
        </w:rPr>
        <w:t>Rule</w:t>
      </w:r>
      <w:r w:rsidR="009F0E2D">
        <w:rPr>
          <w:rFonts w:ascii="Times New Roman" w:hAnsi="Times New Roman" w:cs="Times New Roman"/>
          <w:color w:val="000000" w:themeColor="text1"/>
          <w:sz w:val="24"/>
        </w:rPr>
        <w:t xml:space="preserve"> </w:t>
      </w:r>
      <w:proofErr w:type="gramStart"/>
      <w:r w:rsidR="009F0E2D">
        <w:rPr>
          <w:rFonts w:ascii="Times New Roman" w:hAnsi="Times New Roman" w:cs="Times New Roman"/>
          <w:color w:val="000000" w:themeColor="text1"/>
          <w:sz w:val="24"/>
        </w:rPr>
        <w:t>VII(</w:t>
      </w:r>
      <w:proofErr w:type="gramEnd"/>
      <w:r w:rsidR="009F0E2D">
        <w:rPr>
          <w:rFonts w:ascii="Times New Roman" w:hAnsi="Times New Roman" w:cs="Times New Roman"/>
          <w:color w:val="000000" w:themeColor="text1"/>
          <w:sz w:val="24"/>
        </w:rPr>
        <w:t>D)</w:t>
      </w:r>
      <w:r w:rsidR="00453902" w:rsidRPr="00EB42F9">
        <w:rPr>
          <w:rFonts w:ascii="Times New Roman" w:hAnsi="Times New Roman" w:cs="Times New Roman"/>
          <w:color w:val="000000" w:themeColor="text1"/>
          <w:sz w:val="24"/>
        </w:rPr>
        <w:t xml:space="preserve">. </w:t>
      </w:r>
      <w:r w:rsidR="00453902" w:rsidRPr="00EB42F9">
        <w:rPr>
          <w:rFonts w:ascii="Times New Roman" w:hAnsi="Times New Roman" w:cs="Times New Roman"/>
          <w:sz w:val="24"/>
        </w:rPr>
        <w:t xml:space="preserve">The procedural history of this matter is complex, so it is recounted here only to the extent it is relevant for purposes of deciding this motion. </w:t>
      </w:r>
    </w:p>
    <w:p w14:paraId="39B9E0B7" w14:textId="62802715" w:rsidR="003500B7" w:rsidRPr="00EB42F9" w:rsidRDefault="009F0E2D" w:rsidP="00EB42F9">
      <w:pPr>
        <w:spacing w:line="240" w:lineRule="auto"/>
        <w:ind w:firstLine="720"/>
        <w:rPr>
          <w:rFonts w:cs="Times New Roman"/>
        </w:rPr>
      </w:pPr>
      <w:r w:rsidRPr="006439CF">
        <w:rPr>
          <w:rFonts w:cs="Times New Roman"/>
        </w:rPr>
        <w:t xml:space="preserve">Following the allowance of partial </w:t>
      </w:r>
      <w:r w:rsidR="00DD2C06">
        <w:rPr>
          <w:rFonts w:cs="Times New Roman"/>
        </w:rPr>
        <w:t>Summary Judgment for Parent,</w:t>
      </w:r>
      <w:r w:rsidR="00AA45A6" w:rsidRPr="006439CF">
        <w:rPr>
          <w:rStyle w:val="FootnoteReference"/>
          <w:rFonts w:cs="Times New Roman"/>
        </w:rPr>
        <w:footnoteReference w:id="3"/>
      </w:r>
      <w:r w:rsidR="00590AA0">
        <w:rPr>
          <w:rFonts w:cs="Times New Roman"/>
        </w:rPr>
        <w:t xml:space="preserve"> </w:t>
      </w:r>
      <w:r w:rsidR="00DD2C06">
        <w:rPr>
          <w:rFonts w:cs="Times New Roman"/>
        </w:rPr>
        <w:t xml:space="preserve">the only issue for Hearing was </w:t>
      </w:r>
      <w:r w:rsidR="00AA45A6" w:rsidRPr="006439CF">
        <w:rPr>
          <w:rFonts w:cs="Times New Roman"/>
        </w:rPr>
        <w:t>whether</w:t>
      </w:r>
      <w:r w:rsidR="00CF3A8F" w:rsidRPr="006439CF">
        <w:rPr>
          <w:rFonts w:cs="Times New Roman"/>
        </w:rPr>
        <w:t>, in the context of the ongoing relationship between the parties,</w:t>
      </w:r>
      <w:r w:rsidR="00AA45A6" w:rsidRPr="006439CF">
        <w:rPr>
          <w:rFonts w:cs="Times New Roman"/>
        </w:rPr>
        <w:t xml:space="preserve"> the conversa</w:t>
      </w:r>
      <w:r w:rsidR="00CF3A8F" w:rsidRPr="006439CF">
        <w:rPr>
          <w:rFonts w:cs="Times New Roman"/>
        </w:rPr>
        <w:t>tion between Parent and Fram</w:t>
      </w:r>
      <w:r w:rsidR="00DD2C06">
        <w:rPr>
          <w:rFonts w:cs="Times New Roman"/>
        </w:rPr>
        <w:t>ingham Public School</w:t>
      </w:r>
      <w:r w:rsidR="00CF3A8F" w:rsidRPr="006439CF">
        <w:rPr>
          <w:rFonts w:cs="Times New Roman"/>
        </w:rPr>
        <w:t>s Team Evaluation</w:t>
      </w:r>
      <w:r w:rsidR="00CF3A8F">
        <w:rPr>
          <w:rFonts w:cs="Times New Roman"/>
        </w:rPr>
        <w:t xml:space="preserve"> Chair, Nancy Shor, that took place</w:t>
      </w:r>
      <w:r w:rsidR="00AA45A6" w:rsidRPr="00EB42F9">
        <w:rPr>
          <w:rFonts w:cs="Times New Roman"/>
        </w:rPr>
        <w:t xml:space="preserve"> on November 17, 2015, together with the tutoring form the District generated and Parent signed on November 23, 2015, constituted an “agreement otherwise” allowing for an interim change in placement pending the resolution of a dispute over Quin’s placement and services</w:t>
      </w:r>
      <w:r w:rsidR="00AA2D9E" w:rsidRPr="00EB42F9">
        <w:rPr>
          <w:rFonts w:cs="Times New Roman"/>
        </w:rPr>
        <w:t xml:space="preserve">. </w:t>
      </w:r>
      <w:r w:rsidR="00DD25A0" w:rsidRPr="00EB42F9">
        <w:rPr>
          <w:rFonts w:cs="Times New Roman"/>
        </w:rPr>
        <w:t xml:space="preserve">Prior to </w:t>
      </w:r>
      <w:r w:rsidR="00CF3A8F">
        <w:rPr>
          <w:rFonts w:cs="Times New Roman"/>
        </w:rPr>
        <w:t xml:space="preserve">the </w:t>
      </w:r>
      <w:r w:rsidR="00DD25A0" w:rsidRPr="00EB42F9">
        <w:rPr>
          <w:rFonts w:cs="Times New Roman"/>
        </w:rPr>
        <w:t>Hearing,</w:t>
      </w:r>
      <w:r w:rsidR="00CF3A8F">
        <w:rPr>
          <w:rFonts w:cs="Times New Roman"/>
        </w:rPr>
        <w:t xml:space="preserve"> </w:t>
      </w:r>
      <w:r w:rsidR="00590AA0" w:rsidRPr="00EB42F9">
        <w:rPr>
          <w:rFonts w:cs="Times New Roman"/>
        </w:rPr>
        <w:t xml:space="preserve">Ms. Shor testified </w:t>
      </w:r>
      <w:r w:rsidR="00590AA0">
        <w:rPr>
          <w:rFonts w:cs="Times New Roman"/>
        </w:rPr>
        <w:t xml:space="preserve">by way of </w:t>
      </w:r>
      <w:r w:rsidR="00590AA0" w:rsidRPr="00EB42F9">
        <w:rPr>
          <w:rFonts w:cs="Times New Roman"/>
        </w:rPr>
        <w:t>affidavit</w:t>
      </w:r>
      <w:r w:rsidR="00590AA0" w:rsidRPr="00EB42F9">
        <w:rPr>
          <w:rStyle w:val="FootnoteReference"/>
          <w:rFonts w:cs="Times New Roman"/>
        </w:rPr>
        <w:footnoteReference w:id="4"/>
      </w:r>
      <w:r w:rsidR="00590AA0" w:rsidRPr="00EB42F9">
        <w:rPr>
          <w:rFonts w:cs="Times New Roman"/>
        </w:rPr>
        <w:t xml:space="preserve"> that she had suggested home-tutoring for Quin </w:t>
      </w:r>
      <w:r w:rsidR="00590AA0">
        <w:rPr>
          <w:rFonts w:cs="Times New Roman"/>
        </w:rPr>
        <w:t xml:space="preserve">during </w:t>
      </w:r>
      <w:r w:rsidR="00590AA0" w:rsidRPr="00EB42F9">
        <w:rPr>
          <w:rFonts w:cs="Times New Roman"/>
        </w:rPr>
        <w:t xml:space="preserve">a phone call </w:t>
      </w:r>
      <w:r w:rsidR="00590AA0">
        <w:rPr>
          <w:rFonts w:cs="Times New Roman"/>
        </w:rPr>
        <w:t xml:space="preserve">that occurred </w:t>
      </w:r>
      <w:r w:rsidR="00590AA0" w:rsidRPr="00EB42F9">
        <w:rPr>
          <w:rFonts w:cs="Times New Roman"/>
        </w:rPr>
        <w:t>on November 17, 2015</w:t>
      </w:r>
      <w:r w:rsidR="00590AA0">
        <w:rPr>
          <w:rFonts w:cs="Times New Roman"/>
        </w:rPr>
        <w:t>. Parent</w:t>
      </w:r>
      <w:r w:rsidR="00DD25A0" w:rsidRPr="00EB42F9">
        <w:rPr>
          <w:rFonts w:cs="Times New Roman"/>
        </w:rPr>
        <w:t xml:space="preserve"> submitted her phone records from November 17, 2015 as evidence to </w:t>
      </w:r>
      <w:r w:rsidR="00590AA0">
        <w:rPr>
          <w:rFonts w:cs="Times New Roman"/>
        </w:rPr>
        <w:t xml:space="preserve">support her claim that </w:t>
      </w:r>
      <w:r w:rsidR="00897C75">
        <w:rPr>
          <w:rFonts w:cs="Times New Roman"/>
        </w:rPr>
        <w:t xml:space="preserve">the phone call </w:t>
      </w:r>
      <w:r w:rsidR="00DD25A0" w:rsidRPr="00EB42F9">
        <w:rPr>
          <w:rFonts w:cs="Times New Roman"/>
        </w:rPr>
        <w:t>did in fact occur on that date, and that</w:t>
      </w:r>
      <w:r w:rsidR="00B42D08">
        <w:rPr>
          <w:rFonts w:cs="Times New Roman"/>
        </w:rPr>
        <w:t xml:space="preserve"> the conversation lasted between one and two</w:t>
      </w:r>
      <w:r w:rsidR="00DD25A0" w:rsidRPr="00EB42F9">
        <w:rPr>
          <w:rFonts w:cs="Times New Roman"/>
        </w:rPr>
        <w:t xml:space="preserve"> minutes. </w:t>
      </w:r>
      <w:r w:rsidR="00DD2C06">
        <w:rPr>
          <w:rFonts w:cs="Times New Roman"/>
        </w:rPr>
        <w:t xml:space="preserve">Her phone records in fact show two incoming calls that originated from a phone number that purports to be Ms. Shor’s at McCarthy Elementary School, each lasting one minute. (P-16) </w:t>
      </w:r>
      <w:r w:rsidR="00AA2D9E" w:rsidRPr="00EB42F9">
        <w:rPr>
          <w:rFonts w:cs="Times New Roman"/>
        </w:rPr>
        <w:t xml:space="preserve">At Hearing on June 8, 2016, Ms. Shor testified </w:t>
      </w:r>
      <w:r w:rsidR="0075551C" w:rsidRPr="00EB42F9">
        <w:rPr>
          <w:rFonts w:cs="Times New Roman"/>
        </w:rPr>
        <w:t xml:space="preserve">that </w:t>
      </w:r>
      <w:r w:rsidR="00DD2C06">
        <w:rPr>
          <w:rFonts w:cs="Times New Roman"/>
        </w:rPr>
        <w:t xml:space="preserve">this </w:t>
      </w:r>
      <w:r w:rsidR="0075551C" w:rsidRPr="00EB42F9">
        <w:rPr>
          <w:rFonts w:cs="Times New Roman"/>
        </w:rPr>
        <w:t xml:space="preserve">conversation actually took place on November 20, </w:t>
      </w:r>
      <w:r w:rsidR="00DD25A0" w:rsidRPr="00EB42F9">
        <w:rPr>
          <w:rFonts w:cs="Times New Roman"/>
        </w:rPr>
        <w:t>2015, and not on</w:t>
      </w:r>
      <w:r w:rsidR="0075551C" w:rsidRPr="00EB42F9">
        <w:rPr>
          <w:rFonts w:cs="Times New Roman"/>
        </w:rPr>
        <w:t xml:space="preserve"> November 17, 2015. </w:t>
      </w:r>
      <w:r w:rsidR="00DD25A0" w:rsidRPr="00EB42F9">
        <w:rPr>
          <w:rFonts w:cs="Times New Roman"/>
        </w:rPr>
        <w:t xml:space="preserve">At Hearing, Parent testified that </w:t>
      </w:r>
      <w:r w:rsidR="00CB1328" w:rsidRPr="00EB42F9">
        <w:rPr>
          <w:rFonts w:cs="Times New Roman"/>
        </w:rPr>
        <w:t xml:space="preserve">while she and Ms. Shor had multiple phone conversations over the course of several days, none of them lasted longer than a few minutes. </w:t>
      </w:r>
      <w:r w:rsidR="00B42D08">
        <w:rPr>
          <w:rFonts w:cs="Times New Roman"/>
        </w:rPr>
        <w:t>The District did not contest this testimony</w:t>
      </w:r>
      <w:r w:rsidR="00CB1328" w:rsidRPr="00EB42F9">
        <w:rPr>
          <w:rFonts w:cs="Times New Roman"/>
        </w:rPr>
        <w:t xml:space="preserve">. Additionally, Parent and Ms. Shor testified that </w:t>
      </w:r>
      <w:r w:rsidR="003500B7" w:rsidRPr="00EB42F9">
        <w:rPr>
          <w:rFonts w:cs="Times New Roman"/>
        </w:rPr>
        <w:t xml:space="preserve">Ms. Shor proposed Quin’s change in placement </w:t>
      </w:r>
      <w:r w:rsidR="00CB1328" w:rsidRPr="00EB42F9">
        <w:rPr>
          <w:rFonts w:cs="Times New Roman"/>
        </w:rPr>
        <w:lastRenderedPageBreak/>
        <w:t>only during the course of the one phone call</w:t>
      </w:r>
      <w:r w:rsidR="00DD2C06">
        <w:rPr>
          <w:rFonts w:cs="Times New Roman"/>
        </w:rPr>
        <w:t>, which</w:t>
      </w:r>
      <w:r w:rsidR="00B2140D">
        <w:rPr>
          <w:rFonts w:cs="Times New Roman"/>
        </w:rPr>
        <w:t xml:space="preserve"> they now agree </w:t>
      </w:r>
      <w:proofErr w:type="gramStart"/>
      <w:r w:rsidR="00B2140D">
        <w:rPr>
          <w:rFonts w:cs="Times New Roman"/>
        </w:rPr>
        <w:t>likely</w:t>
      </w:r>
      <w:proofErr w:type="gramEnd"/>
      <w:r w:rsidR="00B2140D">
        <w:rPr>
          <w:rFonts w:cs="Times New Roman"/>
        </w:rPr>
        <w:t xml:space="preserve"> occurred</w:t>
      </w:r>
      <w:r w:rsidR="00CB1328" w:rsidRPr="00EB42F9">
        <w:rPr>
          <w:rFonts w:cs="Times New Roman"/>
        </w:rPr>
        <w:t xml:space="preserve"> on November 20, 2015. </w:t>
      </w:r>
    </w:p>
    <w:p w14:paraId="76395CF8" w14:textId="27916B31" w:rsidR="0023068C" w:rsidRPr="00EB42F9" w:rsidRDefault="00DD25A0" w:rsidP="00EB42F9">
      <w:pPr>
        <w:spacing w:line="240" w:lineRule="auto"/>
        <w:ind w:firstLine="720"/>
        <w:rPr>
          <w:rFonts w:cs="Times New Roman"/>
        </w:rPr>
      </w:pPr>
      <w:r w:rsidRPr="00EB42F9">
        <w:rPr>
          <w:rFonts w:cs="Times New Roman"/>
        </w:rPr>
        <w:t>After Hearing, Par</w:t>
      </w:r>
      <w:r w:rsidR="00CB1328" w:rsidRPr="00EB42F9">
        <w:rPr>
          <w:rFonts w:cs="Times New Roman"/>
        </w:rPr>
        <w:t>ent filed her</w:t>
      </w:r>
      <w:r w:rsidRPr="00EB42F9">
        <w:rPr>
          <w:rFonts w:cs="Times New Roman"/>
        </w:rPr>
        <w:t xml:space="preserve"> Motion to Reopen evidence so she could submit her</w:t>
      </w:r>
      <w:r w:rsidR="009D1FC3">
        <w:rPr>
          <w:rFonts w:cs="Times New Roman"/>
        </w:rPr>
        <w:t xml:space="preserve"> phone records from November 19 to </w:t>
      </w:r>
      <w:r w:rsidRPr="00EB42F9">
        <w:rPr>
          <w:rFonts w:cs="Times New Roman"/>
        </w:rPr>
        <w:t>November 21, 2015</w:t>
      </w:r>
      <w:r w:rsidR="009D1FC3">
        <w:rPr>
          <w:rFonts w:cs="Times New Roman"/>
        </w:rPr>
        <w:t xml:space="preserve"> into evidence</w:t>
      </w:r>
      <w:r w:rsidR="00DA6FDA">
        <w:rPr>
          <w:rFonts w:cs="Times New Roman"/>
        </w:rPr>
        <w:t>,</w:t>
      </w:r>
      <w:r w:rsidR="009D1FC3">
        <w:rPr>
          <w:rFonts w:cs="Times New Roman"/>
        </w:rPr>
        <w:t xml:space="preserve"> in order to support her contention that the conversation at issue was betwe</w:t>
      </w:r>
      <w:r w:rsidR="00DD2C06">
        <w:rPr>
          <w:rFonts w:cs="Times New Roman"/>
        </w:rPr>
        <w:t>en one and two minutes long</w:t>
      </w:r>
      <w:r w:rsidRPr="00EB42F9">
        <w:rPr>
          <w:rFonts w:cs="Times New Roman"/>
        </w:rPr>
        <w:t xml:space="preserve">. </w:t>
      </w:r>
      <w:r w:rsidR="00DD2C06">
        <w:rPr>
          <w:rFonts w:cs="Times New Roman"/>
        </w:rPr>
        <w:t xml:space="preserve">In its Opposition, the District argued that the proffered exhibit is of little probative value, as it fails to identify the maker of any phone calls, and due to redaction it fails to demonstrate that no additional calls were made during this time period from Ms. Shor to Parent. </w:t>
      </w:r>
      <w:r w:rsidR="00A54717" w:rsidRPr="00EB42F9">
        <w:rPr>
          <w:rFonts w:cs="Times New Roman"/>
        </w:rPr>
        <w:t xml:space="preserve">For the reasons set forth below, </w:t>
      </w:r>
      <w:r w:rsidR="0030780D" w:rsidRPr="00EB42F9">
        <w:rPr>
          <w:rFonts w:cs="Times New Roman"/>
        </w:rPr>
        <w:t>Parent</w:t>
      </w:r>
      <w:r w:rsidR="00A54717" w:rsidRPr="00EB42F9">
        <w:rPr>
          <w:rFonts w:cs="Times New Roman"/>
        </w:rPr>
        <w:t xml:space="preserve">’s Motion to </w:t>
      </w:r>
      <w:proofErr w:type="gramStart"/>
      <w:r w:rsidR="00453902" w:rsidRPr="00EB42F9">
        <w:rPr>
          <w:rFonts w:cs="Times New Roman"/>
        </w:rPr>
        <w:t>Reopen</w:t>
      </w:r>
      <w:proofErr w:type="gramEnd"/>
      <w:r w:rsidR="00453902" w:rsidRPr="00EB42F9">
        <w:rPr>
          <w:rFonts w:cs="Times New Roman"/>
        </w:rPr>
        <w:t xml:space="preserve"> evidence to allow submission of Parent’s</w:t>
      </w:r>
      <w:r w:rsidR="000C5CD2">
        <w:rPr>
          <w:rFonts w:cs="Times New Roman"/>
        </w:rPr>
        <w:t xml:space="preserve"> phone records from November 19 to </w:t>
      </w:r>
      <w:r w:rsidR="00453902" w:rsidRPr="00EB42F9">
        <w:rPr>
          <w:rFonts w:cs="Times New Roman"/>
        </w:rPr>
        <w:t>November 21, 2015</w:t>
      </w:r>
      <w:r w:rsidR="00516F3D" w:rsidRPr="00EB42F9">
        <w:rPr>
          <w:rFonts w:cs="Times New Roman"/>
        </w:rPr>
        <w:t xml:space="preserve"> </w:t>
      </w:r>
      <w:r w:rsidR="00453902" w:rsidRPr="00EB42F9">
        <w:rPr>
          <w:rFonts w:cs="Times New Roman"/>
        </w:rPr>
        <w:t>is</w:t>
      </w:r>
      <w:r w:rsidR="00A54717" w:rsidRPr="00EB42F9">
        <w:rPr>
          <w:rFonts w:cs="Times New Roman"/>
        </w:rPr>
        <w:t xml:space="preserve"> hereby DENIED.</w:t>
      </w:r>
    </w:p>
    <w:p w14:paraId="3B139E07" w14:textId="77777777" w:rsidR="00FC33AD" w:rsidRPr="00EB42F9" w:rsidRDefault="00FC33AD" w:rsidP="00EB42F9">
      <w:pPr>
        <w:pStyle w:val="NoSpacing"/>
        <w:rPr>
          <w:rFonts w:ascii="Times New Roman" w:hAnsi="Times New Roman" w:cs="Times New Roman"/>
          <w:sz w:val="24"/>
          <w:u w:val="single"/>
        </w:rPr>
      </w:pPr>
    </w:p>
    <w:p w14:paraId="7AA24EA0" w14:textId="77777777" w:rsidR="00FC33AD" w:rsidRPr="00EB42F9" w:rsidRDefault="00FC33AD" w:rsidP="00EB42F9">
      <w:pPr>
        <w:pStyle w:val="NoSpacing"/>
        <w:rPr>
          <w:rFonts w:ascii="Times New Roman" w:hAnsi="Times New Roman" w:cs="Times New Roman"/>
          <w:sz w:val="24"/>
          <w:u w:val="single"/>
        </w:rPr>
      </w:pPr>
    </w:p>
    <w:p w14:paraId="11B08CDC" w14:textId="77777777" w:rsidR="00A54717" w:rsidRPr="00EB42F9" w:rsidRDefault="00A54717" w:rsidP="00EB42F9">
      <w:pPr>
        <w:pStyle w:val="NoSpacing"/>
        <w:rPr>
          <w:rFonts w:ascii="Times New Roman" w:hAnsi="Times New Roman" w:cs="Times New Roman"/>
          <w:sz w:val="24"/>
          <w:u w:val="single"/>
        </w:rPr>
      </w:pPr>
      <w:r w:rsidRPr="00EB42F9">
        <w:rPr>
          <w:rFonts w:ascii="Times New Roman" w:hAnsi="Times New Roman" w:cs="Times New Roman"/>
          <w:sz w:val="24"/>
          <w:u w:val="single"/>
        </w:rPr>
        <w:t>DISCUSSION</w:t>
      </w:r>
    </w:p>
    <w:p w14:paraId="3D1883A7" w14:textId="77777777" w:rsidR="00A54717" w:rsidRPr="00EB42F9" w:rsidRDefault="00A54717" w:rsidP="00EB42F9">
      <w:pPr>
        <w:pStyle w:val="NoSpacing"/>
        <w:rPr>
          <w:rFonts w:ascii="Times New Roman" w:hAnsi="Times New Roman" w:cs="Times New Roman"/>
          <w:sz w:val="24"/>
          <w:u w:val="single"/>
        </w:rPr>
      </w:pPr>
    </w:p>
    <w:p w14:paraId="76F2B470" w14:textId="4247F420" w:rsidR="00842EAB" w:rsidRPr="00EB42F9" w:rsidRDefault="003500B7" w:rsidP="00EB42F9">
      <w:pPr>
        <w:pStyle w:val="ListParagraph"/>
        <w:numPr>
          <w:ilvl w:val="0"/>
          <w:numId w:val="1"/>
        </w:numPr>
        <w:spacing w:line="240" w:lineRule="auto"/>
        <w:rPr>
          <w:rFonts w:cs="Times New Roman"/>
          <w:u w:val="single"/>
        </w:rPr>
      </w:pPr>
      <w:r w:rsidRPr="00EB42F9">
        <w:rPr>
          <w:rFonts w:cs="Times New Roman"/>
          <w:u w:val="single"/>
        </w:rPr>
        <w:t>Legal Standard for Ruling on Motion to Reopen</w:t>
      </w:r>
      <w:r w:rsidR="00CC2A45" w:rsidRPr="00EB42F9">
        <w:rPr>
          <w:rFonts w:cs="Times New Roman"/>
          <w:u w:val="single"/>
        </w:rPr>
        <w:t xml:space="preserve"> </w:t>
      </w:r>
    </w:p>
    <w:p w14:paraId="2E3F88F8" w14:textId="4F6B2BC4" w:rsidR="0019452E" w:rsidRPr="00EB42F9" w:rsidRDefault="00CD21D0" w:rsidP="00EB42F9">
      <w:pPr>
        <w:widowControl w:val="0"/>
        <w:autoSpaceDE w:val="0"/>
        <w:autoSpaceDN w:val="0"/>
        <w:adjustRightInd w:val="0"/>
        <w:spacing w:after="0" w:line="240" w:lineRule="auto"/>
        <w:ind w:firstLine="360"/>
        <w:rPr>
          <w:rFonts w:cs="Times New Roman"/>
          <w:color w:val="191919"/>
        </w:rPr>
      </w:pPr>
      <w:r>
        <w:rPr>
          <w:rFonts w:cs="Times New Roman"/>
          <w:color w:val="191919"/>
        </w:rPr>
        <w:t xml:space="preserve">Pursuant to </w:t>
      </w:r>
      <w:r w:rsidR="00C13262">
        <w:rPr>
          <w:rFonts w:cs="Times New Roman"/>
          <w:color w:val="191919"/>
        </w:rPr>
        <w:t>Massachusetts regulations,</w:t>
      </w:r>
      <w:r w:rsidR="00AB40A3">
        <w:rPr>
          <w:rFonts w:cs="Times New Roman"/>
          <w:color w:val="191919"/>
        </w:rPr>
        <w:t xml:space="preserve"> </w:t>
      </w:r>
      <w:r w:rsidR="00897C75">
        <w:rPr>
          <w:rFonts w:cs="Times New Roman"/>
          <w:color w:val="191919"/>
        </w:rPr>
        <w:t>“[</w:t>
      </w:r>
      <w:r w:rsidR="00AB40A3">
        <w:rPr>
          <w:rFonts w:cs="Times New Roman"/>
          <w:color w:val="191919"/>
        </w:rPr>
        <w:t>a</w:t>
      </w:r>
      <w:r w:rsidR="00897C75">
        <w:rPr>
          <w:rFonts w:cs="Times New Roman"/>
          <w:color w:val="191919"/>
        </w:rPr>
        <w:t>]</w:t>
      </w:r>
      <w:r w:rsidR="00AB40A3">
        <w:rPr>
          <w:rFonts w:cs="Times New Roman"/>
          <w:color w:val="191919"/>
        </w:rPr>
        <w:t xml:space="preserve">t </w:t>
      </w:r>
      <w:r w:rsidR="002C55DC" w:rsidRPr="00C13262">
        <w:rPr>
          <w:rFonts w:cs="Times New Roman"/>
          <w:color w:val="000000" w:themeColor="text1"/>
        </w:rPr>
        <w:t xml:space="preserve">any time after the close of </w:t>
      </w:r>
      <w:r w:rsidR="002C55DC" w:rsidRPr="00EB42F9">
        <w:rPr>
          <w:rFonts w:cs="Times New Roman"/>
          <w:color w:val="191919"/>
        </w:rPr>
        <w:t xml:space="preserve">a hearing and prior to a decision being rendered, a </w:t>
      </w:r>
      <w:r w:rsidR="00897C75">
        <w:rPr>
          <w:rFonts w:cs="Times New Roman"/>
          <w:color w:val="000000" w:themeColor="text1"/>
        </w:rPr>
        <w:t>[p]</w:t>
      </w:r>
      <w:r w:rsidR="002C55DC" w:rsidRPr="00EB42F9">
        <w:rPr>
          <w:rFonts w:cs="Times New Roman"/>
          <w:color w:val="191919"/>
        </w:rPr>
        <w:t xml:space="preserve">arty may move to </w:t>
      </w:r>
      <w:r w:rsidR="002C55DC" w:rsidRPr="00EB42F9">
        <w:rPr>
          <w:rFonts w:cs="Times New Roman"/>
          <w:bCs/>
          <w:color w:val="1C1C1C"/>
        </w:rPr>
        <w:t>reopen</w:t>
      </w:r>
      <w:r w:rsidR="002C55DC" w:rsidRPr="00EB42F9">
        <w:rPr>
          <w:rFonts w:cs="Times New Roman"/>
          <w:color w:val="191919"/>
        </w:rPr>
        <w:t xml:space="preserve"> the </w:t>
      </w:r>
      <w:r w:rsidR="002C55DC" w:rsidRPr="00EB42F9">
        <w:rPr>
          <w:rFonts w:cs="Times New Roman"/>
          <w:bCs/>
          <w:color w:val="1C1C1C"/>
        </w:rPr>
        <w:t>record</w:t>
      </w:r>
      <w:r w:rsidR="002C55DC" w:rsidRPr="00EB42F9">
        <w:rPr>
          <w:rFonts w:cs="Times New Roman"/>
          <w:color w:val="191919"/>
        </w:rPr>
        <w:t xml:space="preserve"> if there is new </w:t>
      </w:r>
      <w:r w:rsidR="002C55DC" w:rsidRPr="00EB42F9">
        <w:rPr>
          <w:rFonts w:cs="Times New Roman"/>
          <w:bCs/>
          <w:color w:val="1C1C1C"/>
        </w:rPr>
        <w:t>evidence</w:t>
      </w:r>
      <w:r w:rsidR="00195F4A" w:rsidRPr="00EB42F9">
        <w:rPr>
          <w:rFonts w:cs="Times New Roman"/>
          <w:bCs/>
          <w:color w:val="1C1C1C"/>
        </w:rPr>
        <w:t xml:space="preserve"> </w:t>
      </w:r>
      <w:r w:rsidR="002C55DC" w:rsidRPr="00EB42F9">
        <w:rPr>
          <w:rFonts w:cs="Times New Roman"/>
          <w:color w:val="191919"/>
        </w:rPr>
        <w:t>to be introduced.</w:t>
      </w:r>
      <w:r w:rsidR="00897C75">
        <w:rPr>
          <w:rFonts w:cs="Times New Roman"/>
          <w:color w:val="191919"/>
        </w:rPr>
        <w:t>”</w:t>
      </w:r>
      <w:r w:rsidR="004C01E0">
        <w:rPr>
          <w:rStyle w:val="FootnoteReference"/>
          <w:rFonts w:cs="Times New Roman"/>
          <w:color w:val="191919"/>
        </w:rPr>
        <w:footnoteReference w:id="5"/>
      </w:r>
      <w:r w:rsidR="00897C75">
        <w:rPr>
          <w:rFonts w:cs="Times New Roman"/>
          <w:color w:val="191919"/>
        </w:rPr>
        <w:t xml:space="preserve"> </w:t>
      </w:r>
      <w:r w:rsidR="00AB40A3">
        <w:rPr>
          <w:rFonts w:cs="Times New Roman"/>
          <w:color w:val="191919"/>
        </w:rPr>
        <w:t>“</w:t>
      </w:r>
      <w:r w:rsidR="00BC36CE" w:rsidRPr="00EB42F9">
        <w:rPr>
          <w:rFonts w:cs="Times New Roman"/>
          <w:color w:val="191919"/>
        </w:rPr>
        <w:t xml:space="preserve">As </w:t>
      </w:r>
      <w:r w:rsidR="00195F4A" w:rsidRPr="00EB42F9">
        <w:rPr>
          <w:rFonts w:cs="Times New Roman"/>
          <w:color w:val="191919"/>
        </w:rPr>
        <w:t>a general proposition, the granting of a motion to permit additional evidence to be introduced after the record has been closed rests in the discretion</w:t>
      </w:r>
      <w:r w:rsidR="00AB40A3">
        <w:rPr>
          <w:rFonts w:cs="Times New Roman"/>
          <w:color w:val="191919"/>
        </w:rPr>
        <w:t>”</w:t>
      </w:r>
      <w:r w:rsidR="00195F4A" w:rsidRPr="00EB42F9">
        <w:rPr>
          <w:rFonts w:cs="Times New Roman"/>
          <w:color w:val="191919"/>
        </w:rPr>
        <w:t xml:space="preserve"> of the </w:t>
      </w:r>
      <w:r w:rsidR="00AB40A3">
        <w:rPr>
          <w:rFonts w:cs="Times New Roman"/>
          <w:color w:val="191919"/>
        </w:rPr>
        <w:t>fact-finder</w:t>
      </w:r>
      <w:r w:rsidR="00195F4A" w:rsidRPr="00EB42F9">
        <w:rPr>
          <w:rFonts w:cs="Times New Roman"/>
          <w:color w:val="191919"/>
        </w:rPr>
        <w:t>.</w:t>
      </w:r>
      <w:r w:rsidR="00195F4A" w:rsidRPr="00EB42F9">
        <w:rPr>
          <w:rStyle w:val="FootnoteReference"/>
          <w:rFonts w:cs="Times New Roman"/>
          <w:color w:val="191919"/>
        </w:rPr>
        <w:footnoteReference w:id="6"/>
      </w:r>
      <w:r w:rsidR="00195F4A" w:rsidRPr="00EB42F9">
        <w:rPr>
          <w:rFonts w:cs="Times New Roman"/>
          <w:color w:val="191919"/>
        </w:rPr>
        <w:t xml:space="preserve"> </w:t>
      </w:r>
    </w:p>
    <w:p w14:paraId="14D02743" w14:textId="77777777" w:rsidR="0019452E" w:rsidRPr="00EB42F9" w:rsidRDefault="0019452E" w:rsidP="00EB42F9">
      <w:pPr>
        <w:widowControl w:val="0"/>
        <w:autoSpaceDE w:val="0"/>
        <w:autoSpaceDN w:val="0"/>
        <w:adjustRightInd w:val="0"/>
        <w:spacing w:after="0" w:line="240" w:lineRule="auto"/>
        <w:ind w:firstLine="360"/>
        <w:rPr>
          <w:rFonts w:cs="Times New Roman"/>
          <w:color w:val="191919"/>
        </w:rPr>
      </w:pPr>
    </w:p>
    <w:p w14:paraId="7F181509" w14:textId="1A1A358C" w:rsidR="00EB42F9" w:rsidRPr="00EB42F9" w:rsidRDefault="00BC36CE" w:rsidP="00EB42F9">
      <w:pPr>
        <w:widowControl w:val="0"/>
        <w:autoSpaceDE w:val="0"/>
        <w:autoSpaceDN w:val="0"/>
        <w:adjustRightInd w:val="0"/>
        <w:spacing w:line="240" w:lineRule="auto"/>
        <w:ind w:firstLine="360"/>
        <w:rPr>
          <w:rFonts w:cs="Times New Roman"/>
          <w:color w:val="3862B5"/>
          <w:highlight w:val="yellow"/>
        </w:rPr>
      </w:pPr>
      <w:r w:rsidRPr="00EB42F9">
        <w:rPr>
          <w:rFonts w:cs="Times New Roman"/>
          <w:color w:val="191919"/>
        </w:rPr>
        <w:t xml:space="preserve">When determining whether to reopen the evidentiary record, </w:t>
      </w:r>
      <w:r w:rsidR="0019452E" w:rsidRPr="00EB42F9">
        <w:rPr>
          <w:rFonts w:cs="Times New Roman"/>
          <w:color w:val="191919"/>
        </w:rPr>
        <w:t>a Hearing Officer must</w:t>
      </w:r>
      <w:r w:rsidRPr="00EB42F9">
        <w:rPr>
          <w:rFonts w:cs="Times New Roman"/>
          <w:color w:val="191919"/>
        </w:rPr>
        <w:t xml:space="preserve"> </w:t>
      </w:r>
      <w:r w:rsidR="00686308" w:rsidRPr="00EB42F9">
        <w:rPr>
          <w:rFonts w:cs="Times New Roman"/>
          <w:color w:val="191919"/>
        </w:rPr>
        <w:t xml:space="preserve">consider </w:t>
      </w:r>
      <w:r w:rsidR="00AB40A3">
        <w:rPr>
          <w:rFonts w:cs="Times New Roman"/>
          <w:color w:val="191919"/>
        </w:rPr>
        <w:t xml:space="preserve">a strong policy preference for predictability and finality of proceedings. </w:t>
      </w:r>
      <w:r w:rsidR="00307B8F">
        <w:rPr>
          <w:rFonts w:cs="Times New Roman"/>
          <w:color w:val="191919"/>
        </w:rPr>
        <w:t>As the First Circuit has recognized, “[t]</w:t>
      </w:r>
      <w:r w:rsidRPr="00EB42F9">
        <w:rPr>
          <w:rFonts w:cs="Times New Roman"/>
          <w:color w:val="191919"/>
        </w:rPr>
        <w:t>he state has a strong interest in maintaining a stable trial format with a defi</w:t>
      </w:r>
      <w:r w:rsidR="004C3B9C">
        <w:rPr>
          <w:rFonts w:cs="Times New Roman"/>
          <w:color w:val="191919"/>
        </w:rPr>
        <w:t>nite end as well as a beginning.</w:t>
      </w:r>
      <w:r w:rsidRPr="00EB42F9">
        <w:rPr>
          <w:rFonts w:cs="Times New Roman"/>
          <w:color w:val="191919"/>
        </w:rPr>
        <w:t>”</w:t>
      </w:r>
      <w:r w:rsidR="004C01E0">
        <w:rPr>
          <w:rStyle w:val="FootnoteReference"/>
          <w:rFonts w:cs="Times New Roman"/>
          <w:color w:val="191919"/>
        </w:rPr>
        <w:footnoteReference w:id="7"/>
      </w:r>
      <w:r w:rsidRPr="00EB42F9">
        <w:rPr>
          <w:rFonts w:cs="Times New Roman"/>
          <w:color w:val="191919"/>
        </w:rPr>
        <w:t xml:space="preserve"> </w:t>
      </w:r>
      <w:r w:rsidR="004C3B9C">
        <w:rPr>
          <w:rFonts w:cs="Times New Roman"/>
          <w:color w:val="191919"/>
        </w:rPr>
        <w:t xml:space="preserve">Even in the context of criminal law, which involves potential sixth amendment violations, </w:t>
      </w:r>
      <w:r w:rsidR="00686308" w:rsidRPr="00EB42F9">
        <w:rPr>
          <w:rFonts w:cs="Times New Roman"/>
          <w:color w:val="191919"/>
        </w:rPr>
        <w:t>a moving party must show that the “proffered evidence i</w:t>
      </w:r>
      <w:r w:rsidRPr="00EB42F9">
        <w:rPr>
          <w:rFonts w:cs="Times New Roman"/>
          <w:color w:val="191919"/>
        </w:rPr>
        <w:t>s of such importance to the achievement of a just result that the need for admitting it overrides the presumption favoring enforcement of the s</w:t>
      </w:r>
      <w:r w:rsidR="00686308" w:rsidRPr="00EB42F9">
        <w:rPr>
          <w:rFonts w:cs="Times New Roman"/>
          <w:color w:val="191919"/>
        </w:rPr>
        <w:t>tate's usual trial procedures.”</w:t>
      </w:r>
      <w:r w:rsidR="00686308" w:rsidRPr="00EB42F9">
        <w:rPr>
          <w:rStyle w:val="FootnoteReference"/>
          <w:rFonts w:cs="Times New Roman"/>
          <w:color w:val="191919"/>
        </w:rPr>
        <w:footnoteReference w:id="8"/>
      </w:r>
      <w:r w:rsidR="00686308" w:rsidRPr="00EB42F9">
        <w:rPr>
          <w:rFonts w:cs="Times New Roman"/>
          <w:color w:val="191919"/>
        </w:rPr>
        <w:t xml:space="preserve"> Evidence is considered to be of such importance if its admission to the record would compel a different result.</w:t>
      </w:r>
      <w:r w:rsidR="00686308" w:rsidRPr="00EB42F9">
        <w:rPr>
          <w:rStyle w:val="FootnoteReference"/>
          <w:rFonts w:cs="Times New Roman"/>
          <w:color w:val="191919"/>
        </w:rPr>
        <w:footnoteReference w:id="9"/>
      </w:r>
      <w:r w:rsidR="00686308" w:rsidRPr="00EB42F9">
        <w:rPr>
          <w:rFonts w:cs="Times New Roman"/>
          <w:color w:val="191919"/>
        </w:rPr>
        <w:t xml:space="preserve"> </w:t>
      </w:r>
      <w:r w:rsidR="0019452E" w:rsidRPr="00EB42F9">
        <w:rPr>
          <w:rFonts w:cs="Times New Roman"/>
          <w:color w:val="191919"/>
        </w:rPr>
        <w:t xml:space="preserve">Therefore, a Hearing Officer may deny a </w:t>
      </w:r>
      <w:r w:rsidR="00224CBA" w:rsidRPr="00EB42F9">
        <w:rPr>
          <w:rFonts w:cs="Times New Roman"/>
          <w:color w:val="191919"/>
        </w:rPr>
        <w:t>motion</w:t>
      </w:r>
      <w:r w:rsidR="0019452E" w:rsidRPr="00EB42F9">
        <w:rPr>
          <w:rFonts w:cs="Times New Roman"/>
          <w:color w:val="191919"/>
        </w:rPr>
        <w:t xml:space="preserve"> to reopen the record </w:t>
      </w:r>
      <w:r w:rsidR="00224CBA" w:rsidRPr="00EB42F9">
        <w:rPr>
          <w:rFonts w:cs="Times New Roman"/>
          <w:color w:val="191919"/>
        </w:rPr>
        <w:t>for</w:t>
      </w:r>
      <w:r w:rsidR="0019452E" w:rsidRPr="00EB42F9">
        <w:rPr>
          <w:rFonts w:cs="Times New Roman"/>
          <w:color w:val="191919"/>
        </w:rPr>
        <w:t xml:space="preserve"> evidence if it appears that such evidence would not </w:t>
      </w:r>
      <w:r w:rsidR="004C3B9C">
        <w:rPr>
          <w:rFonts w:cs="Times New Roman"/>
          <w:color w:val="191919"/>
        </w:rPr>
        <w:t>alter</w:t>
      </w:r>
      <w:r w:rsidR="0019452E" w:rsidRPr="00EB42F9">
        <w:rPr>
          <w:rFonts w:cs="Times New Roman"/>
          <w:color w:val="191919"/>
        </w:rPr>
        <w:t xml:space="preserve"> the </w:t>
      </w:r>
      <w:r w:rsidR="004C3B9C">
        <w:rPr>
          <w:rFonts w:cs="Times New Roman"/>
          <w:color w:val="191919"/>
        </w:rPr>
        <w:t>outcome</w:t>
      </w:r>
      <w:r w:rsidR="0019452E" w:rsidRPr="00EB42F9">
        <w:rPr>
          <w:rFonts w:cs="Times New Roman"/>
          <w:color w:val="191919"/>
        </w:rPr>
        <w:t xml:space="preserve"> of the case.</w:t>
      </w:r>
      <w:r w:rsidR="0019452E" w:rsidRPr="00EB42F9">
        <w:rPr>
          <w:rStyle w:val="FootnoteReference"/>
          <w:rFonts w:cs="Times New Roman"/>
          <w:color w:val="191919"/>
        </w:rPr>
        <w:footnoteReference w:id="10"/>
      </w:r>
      <w:r w:rsidR="0019452E" w:rsidRPr="00EB42F9">
        <w:rPr>
          <w:rFonts w:cs="Times New Roman"/>
          <w:color w:val="3862B5"/>
          <w:highlight w:val="yellow"/>
        </w:rPr>
        <w:t xml:space="preserve"> </w:t>
      </w:r>
    </w:p>
    <w:p w14:paraId="59EBEE8F" w14:textId="77777777" w:rsidR="00EB42F9" w:rsidRPr="00EB42F9" w:rsidRDefault="00EB42F9" w:rsidP="00EB42F9">
      <w:pPr>
        <w:widowControl w:val="0"/>
        <w:autoSpaceDE w:val="0"/>
        <w:autoSpaceDN w:val="0"/>
        <w:adjustRightInd w:val="0"/>
        <w:spacing w:line="240" w:lineRule="auto"/>
        <w:ind w:firstLine="360"/>
        <w:rPr>
          <w:rFonts w:cs="Times New Roman"/>
          <w:color w:val="3862B5"/>
          <w:highlight w:val="yellow"/>
        </w:rPr>
      </w:pPr>
    </w:p>
    <w:p w14:paraId="1585511D" w14:textId="36858E5E" w:rsidR="006F48CE" w:rsidRPr="00EB42F9" w:rsidRDefault="006F48CE" w:rsidP="00EB42F9">
      <w:pPr>
        <w:pStyle w:val="ListParagraph"/>
        <w:numPr>
          <w:ilvl w:val="0"/>
          <w:numId w:val="1"/>
        </w:numPr>
        <w:spacing w:line="240" w:lineRule="auto"/>
        <w:rPr>
          <w:rFonts w:cs="Times New Roman"/>
          <w:u w:val="single"/>
        </w:rPr>
      </w:pPr>
      <w:r w:rsidRPr="00EB42F9">
        <w:rPr>
          <w:rFonts w:cs="Times New Roman"/>
          <w:u w:val="single"/>
        </w:rPr>
        <w:lastRenderedPageBreak/>
        <w:t xml:space="preserve">Application of Legal Standard </w:t>
      </w:r>
    </w:p>
    <w:p w14:paraId="5B27DE01" w14:textId="7728BBFF" w:rsidR="00EB42F9" w:rsidRPr="00EB42F9" w:rsidRDefault="00224CBA" w:rsidP="00EB42F9">
      <w:pPr>
        <w:spacing w:line="240" w:lineRule="auto"/>
        <w:ind w:firstLine="360"/>
        <w:rPr>
          <w:rFonts w:cs="Times New Roman"/>
        </w:rPr>
      </w:pPr>
      <w:r w:rsidRPr="00EB42F9">
        <w:rPr>
          <w:rFonts w:cs="Times New Roman"/>
        </w:rPr>
        <w:t xml:space="preserve">Here, Parent moves to reopen the record to </w:t>
      </w:r>
      <w:r w:rsidR="002A5F96">
        <w:rPr>
          <w:rFonts w:cs="Times New Roman"/>
        </w:rPr>
        <w:t>submit her</w:t>
      </w:r>
      <w:r w:rsidRPr="00EB42F9">
        <w:rPr>
          <w:rFonts w:cs="Times New Roman"/>
        </w:rPr>
        <w:t xml:space="preserve"> phone records</w:t>
      </w:r>
      <w:r w:rsidR="002A5F96">
        <w:rPr>
          <w:rFonts w:cs="Times New Roman"/>
        </w:rPr>
        <w:t xml:space="preserve"> into evidence to substantiate her claim that</w:t>
      </w:r>
      <w:r w:rsidRPr="00EB42F9">
        <w:rPr>
          <w:rFonts w:cs="Times New Roman"/>
        </w:rPr>
        <w:t xml:space="preserve"> the conversation in which Ms. Shor proposed Quin’s change of placement from full inclusion to home tutoring, occurred over the course of a phone call lasting </w:t>
      </w:r>
      <w:r w:rsidR="002A5F96">
        <w:rPr>
          <w:rFonts w:cs="Times New Roman"/>
        </w:rPr>
        <w:t xml:space="preserve">between one </w:t>
      </w:r>
      <w:r w:rsidR="00307B8F">
        <w:rPr>
          <w:rFonts w:cs="Times New Roman"/>
        </w:rPr>
        <w:t>and</w:t>
      </w:r>
      <w:r w:rsidR="002A5F96">
        <w:rPr>
          <w:rFonts w:cs="Times New Roman"/>
        </w:rPr>
        <w:t xml:space="preserve"> two</w:t>
      </w:r>
      <w:r w:rsidRPr="00EB42F9">
        <w:rPr>
          <w:rFonts w:cs="Times New Roman"/>
        </w:rPr>
        <w:t xml:space="preserve"> minutes. Because Ms. Shor had originally testified </w:t>
      </w:r>
      <w:r w:rsidR="002A5F96">
        <w:rPr>
          <w:rFonts w:cs="Times New Roman"/>
        </w:rPr>
        <w:t xml:space="preserve">by way of </w:t>
      </w:r>
      <w:r w:rsidRPr="00EB42F9">
        <w:rPr>
          <w:rFonts w:cs="Times New Roman"/>
        </w:rPr>
        <w:t>affidavit</w:t>
      </w:r>
      <w:r w:rsidRPr="00EB42F9">
        <w:rPr>
          <w:rStyle w:val="FootnoteReference"/>
          <w:rFonts w:cs="Times New Roman"/>
        </w:rPr>
        <w:footnoteReference w:id="11"/>
      </w:r>
      <w:r w:rsidRPr="00EB42F9">
        <w:rPr>
          <w:rFonts w:cs="Times New Roman"/>
        </w:rPr>
        <w:t xml:space="preserve"> that she had suggested home-tutoring for Quin </w:t>
      </w:r>
      <w:r w:rsidR="002A5F96">
        <w:rPr>
          <w:rFonts w:cs="Times New Roman"/>
        </w:rPr>
        <w:t xml:space="preserve">during </w:t>
      </w:r>
      <w:r w:rsidRPr="00EB42F9">
        <w:rPr>
          <w:rFonts w:cs="Times New Roman"/>
        </w:rPr>
        <w:t xml:space="preserve">a phone call </w:t>
      </w:r>
      <w:r w:rsidR="002A5F96">
        <w:rPr>
          <w:rFonts w:cs="Times New Roman"/>
        </w:rPr>
        <w:t xml:space="preserve">that occurred </w:t>
      </w:r>
      <w:r w:rsidRPr="00EB42F9">
        <w:rPr>
          <w:rFonts w:cs="Times New Roman"/>
        </w:rPr>
        <w:t xml:space="preserve">on November 17, 2015, Parent had submitted her phone records for this date as evidence supporting </w:t>
      </w:r>
      <w:r w:rsidR="00307B8F">
        <w:rPr>
          <w:rFonts w:cs="Times New Roman"/>
        </w:rPr>
        <w:t xml:space="preserve">her contention </w:t>
      </w:r>
      <w:r w:rsidR="002A5F96">
        <w:rPr>
          <w:rFonts w:cs="Times New Roman"/>
        </w:rPr>
        <w:t>that the phone call was only one to two</w:t>
      </w:r>
      <w:r w:rsidRPr="00EB42F9">
        <w:rPr>
          <w:rFonts w:cs="Times New Roman"/>
        </w:rPr>
        <w:t xml:space="preserve"> </w:t>
      </w:r>
      <w:r w:rsidR="003A6A82" w:rsidRPr="00EB42F9">
        <w:rPr>
          <w:rFonts w:cs="Times New Roman"/>
        </w:rPr>
        <w:t xml:space="preserve">minutes in length. </w:t>
      </w:r>
    </w:p>
    <w:p w14:paraId="782EB10B" w14:textId="28A4DB1B" w:rsidR="00E922E4" w:rsidRDefault="00307B8F" w:rsidP="00EB42F9">
      <w:pPr>
        <w:spacing w:line="240" w:lineRule="auto"/>
        <w:ind w:firstLine="360"/>
        <w:rPr>
          <w:rFonts w:cs="Times New Roman"/>
        </w:rPr>
      </w:pPr>
      <w:r>
        <w:rPr>
          <w:rFonts w:cs="Times New Roman"/>
        </w:rPr>
        <w:t xml:space="preserve">Parent’s failure to </w:t>
      </w:r>
      <w:r w:rsidR="003A6A82" w:rsidRPr="00EB42F9">
        <w:rPr>
          <w:rFonts w:cs="Times New Roman"/>
        </w:rPr>
        <w:t>submit her</w:t>
      </w:r>
      <w:r w:rsidR="00E922E4">
        <w:rPr>
          <w:rFonts w:cs="Times New Roman"/>
        </w:rPr>
        <w:t xml:space="preserve"> phone records from November 19 to </w:t>
      </w:r>
      <w:r w:rsidR="003A6A82" w:rsidRPr="00EB42F9">
        <w:rPr>
          <w:rFonts w:cs="Times New Roman"/>
        </w:rPr>
        <w:t xml:space="preserve">November 21, 2015 </w:t>
      </w:r>
      <w:r>
        <w:rPr>
          <w:rFonts w:cs="Times New Roman"/>
        </w:rPr>
        <w:t>in advance of</w:t>
      </w:r>
      <w:r w:rsidR="003A6A82" w:rsidRPr="00EB42F9">
        <w:rPr>
          <w:rFonts w:cs="Times New Roman"/>
        </w:rPr>
        <w:t xml:space="preserve"> </w:t>
      </w:r>
      <w:r w:rsidR="00E922E4">
        <w:rPr>
          <w:rFonts w:cs="Times New Roman"/>
        </w:rPr>
        <w:t xml:space="preserve">the </w:t>
      </w:r>
      <w:r w:rsidR="003A6A82" w:rsidRPr="00EB42F9">
        <w:rPr>
          <w:rFonts w:cs="Times New Roman"/>
        </w:rPr>
        <w:t>Hearing</w:t>
      </w:r>
      <w:r>
        <w:rPr>
          <w:rFonts w:cs="Times New Roman"/>
        </w:rPr>
        <w:t xml:space="preserve"> was reasonable, as at that point the parties appeared to agree that the phone call during which Ms. Shor proposed home tutoring occurred on November 17, 2016. </w:t>
      </w:r>
      <w:r w:rsidR="003A6A82" w:rsidRPr="00EB42F9">
        <w:rPr>
          <w:rFonts w:cs="Times New Roman"/>
        </w:rPr>
        <w:t xml:space="preserve">Ms. Shor did not correct her statement </w:t>
      </w:r>
      <w:r>
        <w:rPr>
          <w:rFonts w:cs="Times New Roman"/>
        </w:rPr>
        <w:t>about the timing of the phone call until her testimony</w:t>
      </w:r>
      <w:r w:rsidR="003A6A82" w:rsidRPr="00EB42F9">
        <w:rPr>
          <w:rFonts w:cs="Times New Roman"/>
        </w:rPr>
        <w:t xml:space="preserve"> at Hearing on June 8, 2016. However, Parent testified at Hearing that the conversation in question, regardless of the date it occur</w:t>
      </w:r>
      <w:r w:rsidR="00E922E4">
        <w:rPr>
          <w:rFonts w:cs="Times New Roman"/>
        </w:rPr>
        <w:t>red</w:t>
      </w:r>
      <w:r w:rsidR="003A6A82" w:rsidRPr="00EB42F9">
        <w:rPr>
          <w:rFonts w:cs="Times New Roman"/>
        </w:rPr>
        <w:t>, consisted of Ms. Shor proposing a change in placement over the co</w:t>
      </w:r>
      <w:r w:rsidR="00E922E4">
        <w:rPr>
          <w:rFonts w:cs="Times New Roman"/>
        </w:rPr>
        <w:t>urse of a phone call lasting one to two</w:t>
      </w:r>
      <w:r w:rsidR="003A6A82" w:rsidRPr="00EB42F9">
        <w:rPr>
          <w:rFonts w:cs="Times New Roman"/>
        </w:rPr>
        <w:t xml:space="preserve"> minutes. No one who testified for the District, including Ms. Shor, contested the length of the ph</w:t>
      </w:r>
      <w:r>
        <w:rPr>
          <w:rFonts w:cs="Times New Roman"/>
        </w:rPr>
        <w:t>one call, nor did anyone assert</w:t>
      </w:r>
      <w:r w:rsidR="003A6A82" w:rsidRPr="00EB42F9">
        <w:rPr>
          <w:rFonts w:cs="Times New Roman"/>
        </w:rPr>
        <w:t xml:space="preserve"> that Ms. Shor proposed the change in placement at any other point in time. </w:t>
      </w:r>
    </w:p>
    <w:p w14:paraId="7DD26204" w14:textId="37A6F4F4" w:rsidR="00A54717" w:rsidRPr="00EB42F9" w:rsidRDefault="00E922E4" w:rsidP="00E922E4">
      <w:pPr>
        <w:spacing w:line="240" w:lineRule="auto"/>
        <w:ind w:firstLine="360"/>
        <w:rPr>
          <w:rFonts w:cs="Times New Roman"/>
        </w:rPr>
      </w:pPr>
      <w:r>
        <w:rPr>
          <w:rFonts w:cs="Times New Roman"/>
        </w:rPr>
        <w:t>The issue before me at Hearing was</w:t>
      </w:r>
      <w:r w:rsidR="00EB42F9" w:rsidRPr="00EB42F9">
        <w:rPr>
          <w:rFonts w:cs="Times New Roman"/>
        </w:rPr>
        <w:t xml:space="preserve"> whether the District </w:t>
      </w:r>
      <w:r>
        <w:rPr>
          <w:rFonts w:cs="Times New Roman"/>
        </w:rPr>
        <w:t>changed Quin’s</w:t>
      </w:r>
      <w:r w:rsidR="00EB42F9" w:rsidRPr="00EB42F9">
        <w:rPr>
          <w:rFonts w:cs="Times New Roman"/>
        </w:rPr>
        <w:t xml:space="preserve"> placement without obtaining Parent’s actual, informed consent. </w:t>
      </w:r>
      <w:r>
        <w:rPr>
          <w:rFonts w:cs="Times New Roman"/>
        </w:rPr>
        <w:t>Although</w:t>
      </w:r>
      <w:r w:rsidR="00EB42F9" w:rsidRPr="00EB42F9">
        <w:rPr>
          <w:rFonts w:cs="Times New Roman"/>
        </w:rPr>
        <w:t xml:space="preserve"> the length of the conversation in which District proposed the change in placement </w:t>
      </w:r>
      <w:r w:rsidR="00307B8F">
        <w:rPr>
          <w:rFonts w:cs="Times New Roman"/>
        </w:rPr>
        <w:t xml:space="preserve">is relevant, the Parties do not dispute </w:t>
      </w:r>
      <w:r>
        <w:rPr>
          <w:rFonts w:cs="Times New Roman"/>
        </w:rPr>
        <w:t>that the conversation lasted one to two</w:t>
      </w:r>
      <w:r w:rsidR="00EB42F9" w:rsidRPr="00EB42F9">
        <w:rPr>
          <w:rFonts w:cs="Times New Roman"/>
        </w:rPr>
        <w:t xml:space="preserve"> minutes</w:t>
      </w:r>
      <w:r w:rsidR="00307B8F">
        <w:rPr>
          <w:rFonts w:cs="Times New Roman"/>
        </w:rPr>
        <w:t>, nor do they dispute that several additional phone calls occurred between Ms. Shor and Parent around the same time</w:t>
      </w:r>
      <w:r w:rsidR="00EB42F9" w:rsidRPr="00EB42F9">
        <w:rPr>
          <w:rFonts w:cs="Times New Roman"/>
        </w:rPr>
        <w:t xml:space="preserve">. </w:t>
      </w:r>
      <w:r w:rsidR="003A6A82" w:rsidRPr="00EB42F9">
        <w:rPr>
          <w:rFonts w:cs="Times New Roman"/>
        </w:rPr>
        <w:t>Therefore, the submission o</w:t>
      </w:r>
      <w:r w:rsidR="00307B8F">
        <w:rPr>
          <w:rFonts w:cs="Times New Roman"/>
        </w:rPr>
        <w:t>f Parent’s phone records would not influence the outcome, because these</w:t>
      </w:r>
      <w:r w:rsidR="003A6A82" w:rsidRPr="00EB42F9">
        <w:rPr>
          <w:rFonts w:cs="Times New Roman"/>
        </w:rPr>
        <w:t xml:space="preserve"> </w:t>
      </w:r>
      <w:r w:rsidR="00307B8F">
        <w:rPr>
          <w:rFonts w:cs="Times New Roman"/>
        </w:rPr>
        <w:t xml:space="preserve">particular </w:t>
      </w:r>
      <w:r w:rsidR="003A6A82" w:rsidRPr="00EB42F9">
        <w:rPr>
          <w:rFonts w:cs="Times New Roman"/>
        </w:rPr>
        <w:t>fact</w:t>
      </w:r>
      <w:r w:rsidR="00EB42F9" w:rsidRPr="00EB42F9">
        <w:rPr>
          <w:rFonts w:cs="Times New Roman"/>
        </w:rPr>
        <w:t>ual allegation</w:t>
      </w:r>
      <w:r w:rsidR="00307B8F">
        <w:rPr>
          <w:rFonts w:cs="Times New Roman"/>
        </w:rPr>
        <w:t>s have</w:t>
      </w:r>
      <w:r w:rsidR="003A6A82" w:rsidRPr="00EB42F9">
        <w:rPr>
          <w:rFonts w:cs="Times New Roman"/>
        </w:rPr>
        <w:t xml:space="preserve"> already been confirmed by the Parties at Hearing. </w:t>
      </w:r>
    </w:p>
    <w:p w14:paraId="42F4C86C" w14:textId="77777777" w:rsidR="00EB42F9" w:rsidRPr="00EB42F9" w:rsidRDefault="00EB42F9" w:rsidP="00EB42F9">
      <w:pPr>
        <w:spacing w:line="240" w:lineRule="auto"/>
        <w:ind w:firstLine="360"/>
        <w:rPr>
          <w:rFonts w:cs="Times New Roman"/>
        </w:rPr>
      </w:pPr>
    </w:p>
    <w:p w14:paraId="0B07305D" w14:textId="77777777" w:rsidR="00A54717" w:rsidRPr="00EB42F9" w:rsidRDefault="00A54717" w:rsidP="00EB42F9">
      <w:pPr>
        <w:spacing w:before="200" w:line="240" w:lineRule="auto"/>
        <w:rPr>
          <w:rFonts w:cs="Times New Roman"/>
          <w:color w:val="000000" w:themeColor="text1"/>
          <w:u w:val="single"/>
          <w:shd w:val="clear" w:color="auto" w:fill="FFFFFF"/>
        </w:rPr>
      </w:pPr>
      <w:r w:rsidRPr="00EB42F9">
        <w:rPr>
          <w:rFonts w:cs="Times New Roman"/>
          <w:color w:val="000000" w:themeColor="text1"/>
          <w:u w:val="single"/>
          <w:shd w:val="clear" w:color="auto" w:fill="FFFFFF"/>
        </w:rPr>
        <w:t>CONCLUSION</w:t>
      </w:r>
    </w:p>
    <w:p w14:paraId="36B65F4B" w14:textId="1D5A2E0D" w:rsidR="006C26CF" w:rsidRPr="00EB42F9" w:rsidRDefault="00E922E4" w:rsidP="00EB42F9">
      <w:pPr>
        <w:spacing w:line="240" w:lineRule="auto"/>
        <w:ind w:firstLine="216"/>
        <w:rPr>
          <w:rFonts w:cs="Times New Roman"/>
          <w:color w:val="000000"/>
          <w:shd w:val="clear" w:color="auto" w:fill="FFFFFF"/>
        </w:rPr>
      </w:pPr>
      <w:r>
        <w:rPr>
          <w:rFonts w:cs="Times New Roman"/>
        </w:rPr>
        <w:t xml:space="preserve">Upon considering Parent’s Motion to Reopen </w:t>
      </w:r>
      <w:r w:rsidR="00307B8F">
        <w:rPr>
          <w:rFonts w:cs="Times New Roman"/>
        </w:rPr>
        <w:t xml:space="preserve">Evidence </w:t>
      </w:r>
      <w:r>
        <w:rPr>
          <w:rFonts w:cs="Times New Roman"/>
        </w:rPr>
        <w:t xml:space="preserve">and the District’s Opposition thereto, I conclude that no evidence in the record contradicts the assertion Parent intends to substantiate through the submission of new evidence. As such, I find that to the extent the length of the conversation that occurred on November 20, 2015 is relevant to my ultimate decision, reopening the evidence would </w:t>
      </w:r>
      <w:r w:rsidR="00EB42F9" w:rsidRPr="00EB42F9">
        <w:rPr>
          <w:rFonts w:cs="Times New Roman"/>
        </w:rPr>
        <w:t>not</w:t>
      </w:r>
      <w:r>
        <w:rPr>
          <w:rFonts w:cs="Times New Roman"/>
        </w:rPr>
        <w:t xml:space="preserve"> alter</w:t>
      </w:r>
      <w:r w:rsidR="003A6A82" w:rsidRPr="00EB42F9">
        <w:rPr>
          <w:rFonts w:cs="Times New Roman"/>
        </w:rPr>
        <w:t xml:space="preserve"> the </w:t>
      </w:r>
      <w:r>
        <w:rPr>
          <w:rFonts w:cs="Times New Roman"/>
        </w:rPr>
        <w:t xml:space="preserve">outcome </w:t>
      </w:r>
      <w:r w:rsidR="00EB42F9" w:rsidRPr="00EB42F9">
        <w:rPr>
          <w:rFonts w:cs="Times New Roman"/>
        </w:rPr>
        <w:t>of this case</w:t>
      </w:r>
      <w:r>
        <w:rPr>
          <w:rFonts w:cs="Times New Roman"/>
        </w:rPr>
        <w:t>.</w:t>
      </w:r>
    </w:p>
    <w:p w14:paraId="67962BEE" w14:textId="77777777" w:rsidR="006B67A6" w:rsidRPr="00EB42F9" w:rsidRDefault="006B67A6" w:rsidP="00EB42F9">
      <w:pPr>
        <w:spacing w:line="240" w:lineRule="auto"/>
        <w:rPr>
          <w:rFonts w:cs="Times New Roman"/>
          <w:color w:val="000000"/>
          <w:shd w:val="clear" w:color="auto" w:fill="FFFFFF"/>
        </w:rPr>
      </w:pPr>
    </w:p>
    <w:p w14:paraId="7E4D1ED9" w14:textId="2F91B872" w:rsidR="00A54717" w:rsidRPr="00EB42F9" w:rsidRDefault="00A54717" w:rsidP="00EB42F9">
      <w:pPr>
        <w:spacing w:line="240" w:lineRule="auto"/>
        <w:ind w:firstLine="216"/>
        <w:rPr>
          <w:rFonts w:cs="Times New Roman"/>
          <w:color w:val="000000"/>
          <w:shd w:val="clear" w:color="auto" w:fill="FFFFFF"/>
        </w:rPr>
      </w:pPr>
      <w:r w:rsidRPr="00EB42F9">
        <w:rPr>
          <w:rFonts w:cs="Times New Roman"/>
          <w:b/>
          <w:color w:val="000000" w:themeColor="text1"/>
        </w:rPr>
        <w:t>ORDER</w:t>
      </w:r>
    </w:p>
    <w:p w14:paraId="47EE98F1" w14:textId="063FF61B" w:rsidR="00A54717" w:rsidRPr="0057003F" w:rsidRDefault="006C26CF" w:rsidP="0057003F">
      <w:pPr>
        <w:spacing w:line="240" w:lineRule="auto"/>
        <w:ind w:firstLine="216"/>
        <w:rPr>
          <w:rFonts w:cs="Times New Roman"/>
          <w:color w:val="000000" w:themeColor="text1"/>
        </w:rPr>
      </w:pPr>
      <w:r w:rsidRPr="00EB42F9">
        <w:rPr>
          <w:rFonts w:cs="Times New Roman"/>
          <w:color w:val="000000" w:themeColor="text1"/>
        </w:rPr>
        <w:t>Parent’s</w:t>
      </w:r>
      <w:r w:rsidR="00A54717" w:rsidRPr="00EB42F9">
        <w:rPr>
          <w:rFonts w:cs="Times New Roman"/>
          <w:color w:val="000000" w:themeColor="text1"/>
        </w:rPr>
        <w:t xml:space="preserve"> Motion</w:t>
      </w:r>
      <w:r w:rsidRPr="00EB42F9">
        <w:rPr>
          <w:rFonts w:cs="Times New Roman"/>
          <w:color w:val="000000" w:themeColor="text1"/>
        </w:rPr>
        <w:t>s</w:t>
      </w:r>
      <w:r w:rsidR="00A54717" w:rsidRPr="00EB42F9">
        <w:rPr>
          <w:rFonts w:cs="Times New Roman"/>
          <w:color w:val="000000" w:themeColor="text1"/>
        </w:rPr>
        <w:t xml:space="preserve"> to </w:t>
      </w:r>
      <w:r w:rsidR="00EB42F9" w:rsidRPr="00EB42F9">
        <w:rPr>
          <w:rFonts w:cs="Times New Roman"/>
          <w:color w:val="000000" w:themeColor="text1"/>
        </w:rPr>
        <w:t>Reopen</w:t>
      </w:r>
      <w:r w:rsidR="00E922E4">
        <w:rPr>
          <w:rFonts w:cs="Times New Roman"/>
          <w:color w:val="000000" w:themeColor="text1"/>
        </w:rPr>
        <w:t xml:space="preserve"> the Evidence</w:t>
      </w:r>
      <w:r w:rsidR="00EB42F9" w:rsidRPr="00EB42F9">
        <w:rPr>
          <w:rFonts w:cs="Times New Roman"/>
          <w:color w:val="000000" w:themeColor="text1"/>
        </w:rPr>
        <w:t xml:space="preserve"> is</w:t>
      </w:r>
      <w:r w:rsidR="00A54717" w:rsidRPr="00EB42F9">
        <w:rPr>
          <w:rFonts w:cs="Times New Roman"/>
          <w:color w:val="000000" w:themeColor="text1"/>
        </w:rPr>
        <w:t xml:space="preserve"> hereby DENIED.</w:t>
      </w:r>
      <w:r w:rsidR="00307B8F">
        <w:rPr>
          <w:rFonts w:cs="Times New Roman"/>
          <w:color w:val="000000" w:themeColor="text1"/>
        </w:rPr>
        <w:t xml:space="preserve"> The</w:t>
      </w:r>
      <w:r w:rsidR="00EB42F9">
        <w:rPr>
          <w:rFonts w:cs="Times New Roman"/>
          <w:color w:val="000000" w:themeColor="text1"/>
        </w:rPr>
        <w:t xml:space="preserve"> d</w:t>
      </w:r>
      <w:r w:rsidR="00307B8F">
        <w:rPr>
          <w:rFonts w:cs="Times New Roman"/>
          <w:color w:val="000000" w:themeColor="text1"/>
        </w:rPr>
        <w:t xml:space="preserve">ecision in this matter will be </w:t>
      </w:r>
      <w:r w:rsidR="00EB42F9">
        <w:rPr>
          <w:rFonts w:cs="Times New Roman"/>
          <w:color w:val="000000" w:themeColor="text1"/>
        </w:rPr>
        <w:t>based upon the evidence</w:t>
      </w:r>
      <w:r w:rsidR="00307B8F">
        <w:rPr>
          <w:rFonts w:cs="Times New Roman"/>
          <w:color w:val="000000" w:themeColor="text1"/>
        </w:rPr>
        <w:t xml:space="preserve"> </w:t>
      </w:r>
      <w:r w:rsidR="0057003F">
        <w:rPr>
          <w:rFonts w:cs="Times New Roman"/>
          <w:color w:val="000000" w:themeColor="text1"/>
        </w:rPr>
        <w:t>submitted</w:t>
      </w:r>
      <w:r w:rsidR="00307B8F">
        <w:rPr>
          <w:rFonts w:cs="Times New Roman"/>
          <w:color w:val="000000" w:themeColor="text1"/>
        </w:rPr>
        <w:t xml:space="preserve"> in advance of the Hearing</w:t>
      </w:r>
      <w:r w:rsidR="0057003F">
        <w:rPr>
          <w:rFonts w:cs="Times New Roman"/>
          <w:color w:val="000000" w:themeColor="text1"/>
        </w:rPr>
        <w:t>, as well as the arguments and</w:t>
      </w:r>
      <w:r w:rsidR="00EB42F9">
        <w:rPr>
          <w:rFonts w:cs="Times New Roman"/>
          <w:color w:val="000000" w:themeColor="text1"/>
        </w:rPr>
        <w:t xml:space="preserve"> testimony that occurred </w:t>
      </w:r>
      <w:r w:rsidR="00307B8F">
        <w:rPr>
          <w:rFonts w:cs="Times New Roman"/>
          <w:color w:val="000000" w:themeColor="text1"/>
        </w:rPr>
        <w:t xml:space="preserve">on </w:t>
      </w:r>
      <w:r w:rsidR="00EB42F9">
        <w:rPr>
          <w:rFonts w:cs="Times New Roman"/>
          <w:color w:val="000000" w:themeColor="text1"/>
        </w:rPr>
        <w:t>June 8, 2016.</w:t>
      </w:r>
    </w:p>
    <w:p w14:paraId="276E1E88" w14:textId="77777777" w:rsidR="00A54717" w:rsidRPr="00EB42F9" w:rsidRDefault="00A54717" w:rsidP="00EB42F9">
      <w:pPr>
        <w:pStyle w:val="ListParagraph"/>
        <w:spacing w:line="240" w:lineRule="auto"/>
        <w:ind w:left="1080"/>
        <w:rPr>
          <w:rFonts w:cs="Times New Roman"/>
          <w:b/>
          <w:color w:val="000000" w:themeColor="text1"/>
        </w:rPr>
      </w:pPr>
    </w:p>
    <w:p w14:paraId="46961E19" w14:textId="77777777" w:rsidR="00A54717" w:rsidRPr="00EB42F9" w:rsidRDefault="00A54717" w:rsidP="00EB42F9">
      <w:pPr>
        <w:spacing w:line="240" w:lineRule="auto"/>
        <w:rPr>
          <w:rFonts w:cs="Times New Roman"/>
          <w:color w:val="000000" w:themeColor="text1"/>
        </w:rPr>
      </w:pPr>
      <w:r w:rsidRPr="00EB42F9">
        <w:rPr>
          <w:rFonts w:cs="Times New Roman"/>
          <w:color w:val="000000" w:themeColor="text1"/>
        </w:rPr>
        <w:lastRenderedPageBreak/>
        <w:t>By the Hearing Officer:</w:t>
      </w:r>
    </w:p>
    <w:p w14:paraId="080D84FE" w14:textId="77777777" w:rsidR="00A54717" w:rsidRPr="00EB42F9" w:rsidRDefault="00A54717" w:rsidP="00EB42F9">
      <w:pPr>
        <w:spacing w:line="240" w:lineRule="auto"/>
        <w:rPr>
          <w:rFonts w:cs="Times New Roman"/>
          <w:color w:val="000000" w:themeColor="text1"/>
        </w:rPr>
      </w:pPr>
    </w:p>
    <w:p w14:paraId="09B3CAEF" w14:textId="77777777" w:rsidR="00A54717" w:rsidRPr="00EB42F9" w:rsidRDefault="00A54717" w:rsidP="00EB42F9">
      <w:pPr>
        <w:spacing w:after="0" w:line="240" w:lineRule="auto"/>
        <w:rPr>
          <w:rFonts w:cs="Times New Roman"/>
          <w:color w:val="000000" w:themeColor="text1"/>
        </w:rPr>
      </w:pPr>
      <w:r w:rsidRPr="00EB42F9">
        <w:rPr>
          <w:rFonts w:cs="Times New Roman"/>
          <w:color w:val="000000" w:themeColor="text1"/>
        </w:rPr>
        <w:t>__________________________</w:t>
      </w:r>
      <w:r w:rsidRPr="00EB42F9">
        <w:rPr>
          <w:rFonts w:cs="Times New Roman"/>
          <w:color w:val="000000" w:themeColor="text1"/>
        </w:rPr>
        <w:tab/>
      </w:r>
      <w:r w:rsidRPr="00EB42F9">
        <w:rPr>
          <w:rFonts w:cs="Times New Roman"/>
          <w:color w:val="000000" w:themeColor="text1"/>
        </w:rPr>
        <w:tab/>
      </w:r>
      <w:r w:rsidRPr="00EB42F9">
        <w:rPr>
          <w:rFonts w:cs="Times New Roman"/>
          <w:color w:val="000000" w:themeColor="text1"/>
        </w:rPr>
        <w:tab/>
      </w:r>
      <w:r w:rsidRPr="00EB42F9">
        <w:rPr>
          <w:rFonts w:cs="Times New Roman"/>
          <w:color w:val="000000" w:themeColor="text1"/>
        </w:rPr>
        <w:tab/>
      </w:r>
      <w:r w:rsidRPr="00EB42F9">
        <w:rPr>
          <w:rFonts w:cs="Times New Roman"/>
          <w:color w:val="000000" w:themeColor="text1"/>
        </w:rPr>
        <w:tab/>
      </w:r>
      <w:r w:rsidRPr="00EB42F9">
        <w:rPr>
          <w:rFonts w:cs="Times New Roman"/>
          <w:color w:val="000000" w:themeColor="text1"/>
        </w:rPr>
        <w:tab/>
      </w:r>
      <w:r w:rsidRPr="00EB42F9">
        <w:rPr>
          <w:rFonts w:cs="Times New Roman"/>
          <w:color w:val="000000" w:themeColor="text1"/>
        </w:rPr>
        <w:tab/>
      </w:r>
    </w:p>
    <w:p w14:paraId="517CF150" w14:textId="77777777" w:rsidR="00A54717" w:rsidRPr="00EB42F9" w:rsidRDefault="00A54717" w:rsidP="00EB42F9">
      <w:pPr>
        <w:spacing w:after="0" w:line="240" w:lineRule="auto"/>
        <w:rPr>
          <w:rFonts w:cs="Times New Roman"/>
          <w:color w:val="000000" w:themeColor="text1"/>
        </w:rPr>
      </w:pPr>
      <w:r w:rsidRPr="00EB42F9">
        <w:rPr>
          <w:rFonts w:cs="Times New Roman"/>
          <w:color w:val="000000" w:themeColor="text1"/>
        </w:rPr>
        <w:t>Amy M. Reichbach</w:t>
      </w:r>
    </w:p>
    <w:p w14:paraId="2DCE0643" w14:textId="51D2636B" w:rsidR="00A4704A" w:rsidRPr="0057003F" w:rsidRDefault="00A54717" w:rsidP="0057003F">
      <w:pPr>
        <w:spacing w:after="0" w:line="240" w:lineRule="auto"/>
        <w:rPr>
          <w:rFonts w:cs="Times New Roman"/>
          <w:b/>
          <w:color w:val="000000" w:themeColor="text1"/>
        </w:rPr>
      </w:pPr>
      <w:r w:rsidRPr="00EB42F9">
        <w:rPr>
          <w:rFonts w:cs="Times New Roman"/>
          <w:color w:val="000000" w:themeColor="text1"/>
        </w:rPr>
        <w:t xml:space="preserve">Dated: </w:t>
      </w:r>
      <w:r w:rsidR="00307B8F">
        <w:rPr>
          <w:rFonts w:cs="Times New Roman"/>
          <w:color w:val="000000" w:themeColor="text1"/>
        </w:rPr>
        <w:t>July 8</w:t>
      </w:r>
      <w:r w:rsidR="00EB42F9" w:rsidRPr="00EB42F9">
        <w:rPr>
          <w:rFonts w:cs="Times New Roman"/>
          <w:color w:val="000000" w:themeColor="text1"/>
        </w:rPr>
        <w:t>,</w:t>
      </w:r>
      <w:r w:rsidRPr="00EB42F9">
        <w:rPr>
          <w:rFonts w:cs="Times New Roman"/>
          <w:color w:val="000000" w:themeColor="text1"/>
        </w:rPr>
        <w:t xml:space="preserve"> 201</w:t>
      </w:r>
      <w:r w:rsidR="00EB42F9" w:rsidRPr="00EB42F9">
        <w:rPr>
          <w:rFonts w:cs="Times New Roman"/>
          <w:color w:val="000000" w:themeColor="text1"/>
        </w:rPr>
        <w:t>6</w:t>
      </w:r>
    </w:p>
    <w:sectPr w:rsidR="00A4704A" w:rsidRPr="0057003F" w:rsidSect="00F64C8A">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5F72E" w14:textId="77777777" w:rsidR="00D95931" w:rsidRDefault="00D95931" w:rsidP="00A54717">
      <w:pPr>
        <w:spacing w:after="0" w:line="240" w:lineRule="auto"/>
      </w:pPr>
      <w:r>
        <w:separator/>
      </w:r>
    </w:p>
  </w:endnote>
  <w:endnote w:type="continuationSeparator" w:id="0">
    <w:p w14:paraId="0DF6836E" w14:textId="77777777" w:rsidR="00D95931" w:rsidRDefault="00D95931" w:rsidP="00A5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0025510" w14:textId="77777777" w:rsidR="00F64C8A" w:rsidRDefault="0023068C">
        <w:pPr>
          <w:pStyle w:val="Footer"/>
          <w:jc w:val="center"/>
        </w:pPr>
        <w:r>
          <w:fldChar w:fldCharType="begin"/>
        </w:r>
        <w:r>
          <w:instrText xml:space="preserve"> PAGE   \* MERGEFORMAT </w:instrText>
        </w:r>
        <w:r>
          <w:fldChar w:fldCharType="separate"/>
        </w:r>
        <w:r w:rsidR="004D667C">
          <w:rPr>
            <w:noProof/>
          </w:rPr>
          <w:t>2</w:t>
        </w:r>
        <w:r>
          <w:rPr>
            <w:noProof/>
          </w:rPr>
          <w:fldChar w:fldCharType="end"/>
        </w:r>
      </w:p>
    </w:sdtContent>
  </w:sdt>
  <w:p w14:paraId="54862BD1" w14:textId="77777777" w:rsidR="00F64C8A" w:rsidRDefault="00F64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2F70" w14:textId="77777777" w:rsidR="00D95931" w:rsidRDefault="00D95931" w:rsidP="00A54717">
      <w:pPr>
        <w:spacing w:after="0" w:line="240" w:lineRule="auto"/>
      </w:pPr>
      <w:r>
        <w:separator/>
      </w:r>
    </w:p>
  </w:footnote>
  <w:footnote w:type="continuationSeparator" w:id="0">
    <w:p w14:paraId="5914143D" w14:textId="77777777" w:rsidR="00D95931" w:rsidRDefault="00D95931" w:rsidP="00A54717">
      <w:pPr>
        <w:spacing w:after="0" w:line="240" w:lineRule="auto"/>
      </w:pPr>
      <w:r>
        <w:continuationSeparator/>
      </w:r>
    </w:p>
  </w:footnote>
  <w:footnote w:id="1">
    <w:p w14:paraId="2AACA2EA" w14:textId="47E4F485" w:rsidR="00156906" w:rsidRPr="00AA317F" w:rsidRDefault="00156906">
      <w:pPr>
        <w:pStyle w:val="FootnoteText"/>
        <w:rPr>
          <w:sz w:val="20"/>
          <w:szCs w:val="20"/>
        </w:rPr>
      </w:pPr>
      <w:r w:rsidRPr="00AA317F">
        <w:rPr>
          <w:rStyle w:val="FootnoteReference"/>
          <w:sz w:val="20"/>
          <w:szCs w:val="20"/>
        </w:rPr>
        <w:footnoteRef/>
      </w:r>
      <w:r w:rsidRPr="00AA317F">
        <w:rPr>
          <w:sz w:val="20"/>
          <w:szCs w:val="20"/>
        </w:rPr>
        <w:t xml:space="preserve"> </w:t>
      </w:r>
      <w:r w:rsidR="00D75E93">
        <w:rPr>
          <w:sz w:val="20"/>
          <w:szCs w:val="20"/>
        </w:rPr>
        <w:t>“Quin</w:t>
      </w:r>
      <w:r w:rsidR="00C2665E" w:rsidRPr="00AA317F">
        <w:rPr>
          <w:sz w:val="20"/>
          <w:szCs w:val="20"/>
        </w:rPr>
        <w:t xml:space="preserve">” is a pseudonym chosen by the Hearing Officer to protect the privacy of the Student in the documents available to the public. </w:t>
      </w:r>
    </w:p>
  </w:footnote>
  <w:footnote w:id="2">
    <w:p w14:paraId="636462FF" w14:textId="14340C3B" w:rsidR="00AC2FB1" w:rsidRDefault="00AC2FB1">
      <w:pPr>
        <w:pStyle w:val="FootnoteText"/>
      </w:pPr>
      <w:r w:rsidRPr="00D75E93">
        <w:rPr>
          <w:rStyle w:val="FootnoteReference"/>
          <w:sz w:val="20"/>
          <w:szCs w:val="20"/>
        </w:rPr>
        <w:footnoteRef/>
      </w:r>
      <w:r w:rsidRPr="00D75E93">
        <w:rPr>
          <w:sz w:val="20"/>
          <w:szCs w:val="20"/>
        </w:rPr>
        <w:t xml:space="preserve"> A Hearing was held on </w:t>
      </w:r>
      <w:r w:rsidR="00D75E93" w:rsidRPr="00D75E93">
        <w:rPr>
          <w:sz w:val="20"/>
          <w:szCs w:val="20"/>
        </w:rPr>
        <w:t xml:space="preserve">June 8, 2016 on the issue of </w:t>
      </w:r>
      <w:r w:rsidR="00D75E93" w:rsidRPr="00D75E93">
        <w:rPr>
          <w:rFonts w:cs="Times New Roman"/>
          <w:sz w:val="20"/>
          <w:szCs w:val="20"/>
        </w:rPr>
        <w:t>whether</w:t>
      </w:r>
      <w:r w:rsidR="009D1FC3">
        <w:rPr>
          <w:rFonts w:cs="Times New Roman"/>
          <w:sz w:val="20"/>
          <w:szCs w:val="20"/>
        </w:rPr>
        <w:t>, in the context of the Parties’ ongoing relationship,</w:t>
      </w:r>
      <w:r w:rsidR="00D75E93" w:rsidRPr="00D75E93">
        <w:rPr>
          <w:rFonts w:cs="Times New Roman"/>
          <w:sz w:val="20"/>
          <w:szCs w:val="20"/>
        </w:rPr>
        <w:t xml:space="preserve"> a phone co</w:t>
      </w:r>
      <w:r w:rsidR="00DD2C06">
        <w:rPr>
          <w:rFonts w:cs="Times New Roman"/>
          <w:sz w:val="20"/>
          <w:szCs w:val="20"/>
        </w:rPr>
        <w:t>nversation between Parent and Framingham Team Evaluation Chair Nancy</w:t>
      </w:r>
      <w:r w:rsidR="00D75E93" w:rsidRPr="00D75E93">
        <w:rPr>
          <w:rFonts w:cs="Times New Roman"/>
          <w:sz w:val="20"/>
          <w:szCs w:val="20"/>
        </w:rPr>
        <w:t xml:space="preserve"> Shor, together with the tutoring form the District generated and Parent signed on November 23, 2015, constituted an “agreement otherwise” allowing for an interim change in placement pending the resolution of a dispute over Quin’s placement and services.</w:t>
      </w:r>
      <w:r w:rsidR="00D75E93">
        <w:rPr>
          <w:rFonts w:cs="Times New Roman"/>
        </w:rPr>
        <w:t xml:space="preserve"> </w:t>
      </w:r>
      <w:r w:rsidR="0057003F">
        <w:rPr>
          <w:rFonts w:cs="Times New Roman"/>
          <w:b/>
          <w:vanish/>
          <w:color w:val="000000" w:themeColor="text1"/>
        </w:rPr>
        <w:cr/>
        <w:t>iven at as the arguments andin closesd, and the e evidence and testimony presented at Hearing, without allowing additoinal tant</w:t>
      </w:r>
    </w:p>
  </w:footnote>
  <w:footnote w:id="3">
    <w:p w14:paraId="2F7CD84D" w14:textId="1A6F1EF6" w:rsidR="00AA45A6" w:rsidRPr="0075551C" w:rsidRDefault="00AA45A6">
      <w:pPr>
        <w:pStyle w:val="FootnoteText"/>
        <w:rPr>
          <w:sz w:val="20"/>
          <w:szCs w:val="20"/>
        </w:rPr>
      </w:pPr>
      <w:r w:rsidRPr="00AA45A6">
        <w:rPr>
          <w:rStyle w:val="FootnoteReference"/>
          <w:sz w:val="20"/>
          <w:szCs w:val="20"/>
        </w:rPr>
        <w:footnoteRef/>
      </w:r>
      <w:r w:rsidRPr="00AA45A6">
        <w:rPr>
          <w:sz w:val="20"/>
          <w:szCs w:val="20"/>
        </w:rPr>
        <w:t xml:space="preserve"> Parent filed </w:t>
      </w:r>
      <w:r w:rsidR="009F0E2D">
        <w:rPr>
          <w:sz w:val="20"/>
          <w:szCs w:val="20"/>
        </w:rPr>
        <w:t>her Motion for Summary Judgment on M</w:t>
      </w:r>
      <w:r w:rsidRPr="00AA45A6">
        <w:rPr>
          <w:sz w:val="20"/>
          <w:szCs w:val="20"/>
        </w:rPr>
        <w:t xml:space="preserve">arch 22, 2016. </w:t>
      </w:r>
      <w:r w:rsidR="009F0E2D">
        <w:rPr>
          <w:sz w:val="20"/>
          <w:szCs w:val="20"/>
        </w:rPr>
        <w:t xml:space="preserve">The </w:t>
      </w:r>
      <w:r w:rsidRPr="00AA45A6">
        <w:rPr>
          <w:sz w:val="20"/>
          <w:szCs w:val="20"/>
        </w:rPr>
        <w:t>District filed</w:t>
      </w:r>
      <w:r w:rsidR="00DD2C06">
        <w:rPr>
          <w:sz w:val="20"/>
          <w:szCs w:val="20"/>
        </w:rPr>
        <w:t xml:space="preserve"> a Cross-</w:t>
      </w:r>
      <w:r w:rsidRPr="00AA45A6">
        <w:rPr>
          <w:sz w:val="20"/>
          <w:szCs w:val="20"/>
        </w:rPr>
        <w:t xml:space="preserve">Motion for Summary Judgment on </w:t>
      </w:r>
      <w:r w:rsidRPr="0075551C">
        <w:rPr>
          <w:sz w:val="20"/>
          <w:szCs w:val="20"/>
        </w:rPr>
        <w:t xml:space="preserve">April 29, 2016. </w:t>
      </w:r>
    </w:p>
  </w:footnote>
  <w:footnote w:id="4">
    <w:p w14:paraId="76E845D1" w14:textId="77777777" w:rsidR="00590AA0" w:rsidRPr="00224CBA" w:rsidRDefault="00590AA0" w:rsidP="00590AA0">
      <w:pPr>
        <w:pStyle w:val="FootnoteText"/>
        <w:rPr>
          <w:sz w:val="20"/>
          <w:szCs w:val="20"/>
        </w:rPr>
      </w:pPr>
      <w:r w:rsidRPr="00224CBA">
        <w:rPr>
          <w:rStyle w:val="FootnoteReference"/>
          <w:sz w:val="20"/>
          <w:szCs w:val="20"/>
        </w:rPr>
        <w:footnoteRef/>
      </w:r>
      <w:r w:rsidRPr="00224CBA">
        <w:rPr>
          <w:sz w:val="20"/>
          <w:szCs w:val="20"/>
        </w:rPr>
        <w:t xml:space="preserve"> Ms. Shor’s affidavit containing this statement was submitted by </w:t>
      </w:r>
      <w:r>
        <w:rPr>
          <w:sz w:val="20"/>
          <w:szCs w:val="20"/>
        </w:rPr>
        <w:t xml:space="preserve">the </w:t>
      </w:r>
      <w:r w:rsidRPr="00224CBA">
        <w:rPr>
          <w:sz w:val="20"/>
          <w:szCs w:val="20"/>
        </w:rPr>
        <w:t xml:space="preserve">District on April 28, 2016. </w:t>
      </w:r>
    </w:p>
  </w:footnote>
  <w:footnote w:id="5">
    <w:p w14:paraId="6A55CC29" w14:textId="428C575B" w:rsidR="004C01E0" w:rsidRPr="004C3B9C" w:rsidRDefault="004C01E0">
      <w:pPr>
        <w:pStyle w:val="FootnoteText"/>
        <w:rPr>
          <w:rFonts w:cs="Times New Roman"/>
          <w:sz w:val="20"/>
          <w:szCs w:val="20"/>
        </w:rPr>
      </w:pPr>
      <w:r w:rsidRPr="004C3B9C">
        <w:rPr>
          <w:rStyle w:val="FootnoteReference"/>
          <w:sz w:val="20"/>
          <w:szCs w:val="20"/>
        </w:rPr>
        <w:footnoteRef/>
      </w:r>
      <w:r w:rsidRPr="004C3B9C">
        <w:rPr>
          <w:sz w:val="20"/>
          <w:szCs w:val="20"/>
        </w:rPr>
        <w:t xml:space="preserve"> </w:t>
      </w:r>
      <w:r w:rsidRPr="004C3B9C">
        <w:rPr>
          <w:rFonts w:cs="Times New Roman"/>
          <w:sz w:val="20"/>
          <w:szCs w:val="20"/>
        </w:rPr>
        <w:t>801 CMR 1.01(7</w:t>
      </w:r>
      <w:proofErr w:type="gramStart"/>
      <w:r w:rsidRPr="004C3B9C">
        <w:rPr>
          <w:rFonts w:cs="Times New Roman"/>
          <w:sz w:val="20"/>
          <w:szCs w:val="20"/>
        </w:rPr>
        <w:t>)(</w:t>
      </w:r>
      <w:proofErr w:type="gramEnd"/>
      <w:r w:rsidRPr="004C3B9C">
        <w:rPr>
          <w:rFonts w:cs="Times New Roman"/>
          <w:sz w:val="20"/>
          <w:szCs w:val="20"/>
        </w:rPr>
        <w:t>k). The regulation defines new evidence as “</w:t>
      </w:r>
      <w:r w:rsidRPr="004C3B9C">
        <w:rPr>
          <w:rFonts w:cs="Times New Roman"/>
          <w:color w:val="191919"/>
          <w:sz w:val="20"/>
          <w:szCs w:val="20"/>
        </w:rPr>
        <w:t xml:space="preserve">newly discovered </w:t>
      </w:r>
      <w:r w:rsidRPr="004C3B9C">
        <w:rPr>
          <w:rFonts w:cs="Times New Roman"/>
          <w:bCs/>
          <w:color w:val="1C1C1C"/>
          <w:sz w:val="20"/>
          <w:szCs w:val="20"/>
        </w:rPr>
        <w:t>evidence</w:t>
      </w:r>
      <w:r w:rsidRPr="004C3B9C">
        <w:rPr>
          <w:rFonts w:cs="Times New Roman"/>
          <w:color w:val="191919"/>
          <w:sz w:val="20"/>
          <w:szCs w:val="20"/>
        </w:rPr>
        <w:t xml:space="preserve"> which by due diligence could not have been discovered at the time of the hearing by the Party seeking to offer it.” See </w:t>
      </w:r>
      <w:r w:rsidRPr="004C3B9C">
        <w:rPr>
          <w:rFonts w:cs="Times New Roman"/>
          <w:color w:val="191919"/>
          <w:sz w:val="20"/>
          <w:szCs w:val="20"/>
          <w:u w:val="single"/>
        </w:rPr>
        <w:t>Id</w:t>
      </w:r>
      <w:r w:rsidRPr="004C3B9C">
        <w:rPr>
          <w:rFonts w:cs="Times New Roman"/>
          <w:color w:val="191919"/>
          <w:sz w:val="20"/>
          <w:szCs w:val="20"/>
        </w:rPr>
        <w:t xml:space="preserve">. </w:t>
      </w:r>
      <w:r w:rsidRPr="004C3B9C">
        <w:rPr>
          <w:rFonts w:cs="Times New Roman"/>
          <w:vanish/>
          <w:sz w:val="20"/>
          <w:szCs w:val="20"/>
        </w:rPr>
        <w:t xml:space="preserve"> phone records from November 19 to ltiple calls between the parties, which the Parties do not dispute, of the calls. , I find th</w:t>
      </w:r>
    </w:p>
  </w:footnote>
  <w:footnote w:id="6">
    <w:p w14:paraId="4FAB01B9" w14:textId="25E6A84F" w:rsidR="00195F4A" w:rsidRPr="004C3B9C" w:rsidRDefault="00195F4A" w:rsidP="00686308">
      <w:pPr>
        <w:widowControl w:val="0"/>
        <w:autoSpaceDE w:val="0"/>
        <w:autoSpaceDN w:val="0"/>
        <w:adjustRightInd w:val="0"/>
        <w:spacing w:after="0" w:line="240" w:lineRule="auto"/>
        <w:rPr>
          <w:rFonts w:cs="Times New Roman"/>
          <w:color w:val="191919"/>
          <w:sz w:val="20"/>
          <w:szCs w:val="20"/>
        </w:rPr>
      </w:pPr>
      <w:r w:rsidRPr="004C3B9C">
        <w:rPr>
          <w:rStyle w:val="FootnoteReference"/>
          <w:rFonts w:cs="Times New Roman"/>
          <w:sz w:val="20"/>
          <w:szCs w:val="20"/>
        </w:rPr>
        <w:footnoteRef/>
      </w:r>
      <w:r w:rsidRPr="004C3B9C">
        <w:rPr>
          <w:rFonts w:cs="Times New Roman"/>
          <w:sz w:val="20"/>
          <w:szCs w:val="20"/>
        </w:rPr>
        <w:t xml:space="preserve"> </w:t>
      </w:r>
      <w:r w:rsidRPr="004C3B9C">
        <w:rPr>
          <w:rFonts w:cs="Times New Roman"/>
          <w:i/>
          <w:color w:val="191919"/>
          <w:sz w:val="20"/>
          <w:szCs w:val="20"/>
        </w:rPr>
        <w:t>Kerr v. Palmieri</w:t>
      </w:r>
      <w:r w:rsidR="004C01E0" w:rsidRPr="004C3B9C">
        <w:rPr>
          <w:rFonts w:cs="Times New Roman"/>
          <w:color w:val="191919"/>
          <w:sz w:val="20"/>
          <w:szCs w:val="20"/>
        </w:rPr>
        <w:t>, 325 Mass. 554, 557 (1950); s</w:t>
      </w:r>
      <w:r w:rsidR="00307B8F">
        <w:rPr>
          <w:rFonts w:cs="Times New Roman"/>
          <w:color w:val="191919"/>
          <w:sz w:val="20"/>
          <w:szCs w:val="20"/>
        </w:rPr>
        <w:t>ee</w:t>
      </w:r>
      <w:r w:rsidRPr="004C3B9C">
        <w:rPr>
          <w:rFonts w:cs="Times New Roman"/>
          <w:color w:val="191919"/>
          <w:sz w:val="20"/>
          <w:szCs w:val="20"/>
        </w:rPr>
        <w:t xml:space="preserve"> </w:t>
      </w:r>
      <w:proofErr w:type="spellStart"/>
      <w:r w:rsidRPr="004C3B9C">
        <w:rPr>
          <w:rFonts w:cs="Times New Roman"/>
          <w:i/>
          <w:color w:val="191919"/>
          <w:sz w:val="20"/>
          <w:szCs w:val="20"/>
        </w:rPr>
        <w:t>Blaikie</w:t>
      </w:r>
      <w:proofErr w:type="spellEnd"/>
      <w:r w:rsidRPr="004C3B9C">
        <w:rPr>
          <w:rFonts w:cs="Times New Roman"/>
          <w:i/>
          <w:color w:val="191919"/>
          <w:sz w:val="20"/>
          <w:szCs w:val="20"/>
        </w:rPr>
        <w:t xml:space="preserve"> v. Callahan</w:t>
      </w:r>
      <w:r w:rsidRPr="004C3B9C">
        <w:rPr>
          <w:rFonts w:cs="Times New Roman"/>
          <w:color w:val="191919"/>
          <w:sz w:val="20"/>
          <w:szCs w:val="20"/>
        </w:rPr>
        <w:t>,</w:t>
      </w:r>
      <w:r w:rsidR="004C01E0" w:rsidRPr="004C3B9C">
        <w:rPr>
          <w:rFonts w:cs="Times New Roman"/>
          <w:color w:val="191919"/>
          <w:sz w:val="20"/>
          <w:szCs w:val="20"/>
        </w:rPr>
        <w:t xml:space="preserve"> 691 F.2d 64, 65, 68 (1st Cir. 1982)</w:t>
      </w:r>
      <w:r w:rsidR="00307B8F">
        <w:rPr>
          <w:rFonts w:cs="Times New Roman"/>
          <w:color w:val="191919"/>
          <w:sz w:val="20"/>
          <w:szCs w:val="20"/>
        </w:rPr>
        <w:t xml:space="preserve"> </w:t>
      </w:r>
      <w:r w:rsidR="004C01E0" w:rsidRPr="004C3B9C">
        <w:rPr>
          <w:rFonts w:cs="Times New Roman"/>
          <w:color w:val="191919"/>
          <w:sz w:val="20"/>
          <w:szCs w:val="20"/>
        </w:rPr>
        <w:t>(</w:t>
      </w:r>
      <w:r w:rsidRPr="004C3B9C">
        <w:rPr>
          <w:rFonts w:cs="Times New Roman"/>
          <w:color w:val="191919"/>
          <w:sz w:val="20"/>
          <w:szCs w:val="20"/>
        </w:rPr>
        <w:t>it is “within the sound discretion of the judge to admit material evidence offered</w:t>
      </w:r>
      <w:r w:rsidR="00307B8F">
        <w:rPr>
          <w:rFonts w:cs="Times New Roman"/>
          <w:color w:val="191919"/>
          <w:sz w:val="20"/>
          <w:szCs w:val="20"/>
        </w:rPr>
        <w:t xml:space="preserve"> by a party after he has rested</w:t>
      </w:r>
      <w:r w:rsidRPr="004C3B9C">
        <w:rPr>
          <w:rFonts w:cs="Times New Roman"/>
          <w:color w:val="191919"/>
          <w:sz w:val="20"/>
          <w:szCs w:val="20"/>
        </w:rPr>
        <w:t>”)</w:t>
      </w:r>
      <w:r w:rsidR="00307B8F">
        <w:rPr>
          <w:rFonts w:cs="Times New Roman"/>
          <w:color w:val="191919"/>
          <w:sz w:val="20"/>
          <w:szCs w:val="20"/>
        </w:rPr>
        <w:t>.</w:t>
      </w:r>
    </w:p>
  </w:footnote>
  <w:footnote w:id="7">
    <w:p w14:paraId="4220373A" w14:textId="36FCB7A7" w:rsidR="004C01E0" w:rsidRPr="004C3B9C" w:rsidRDefault="004C01E0">
      <w:pPr>
        <w:pStyle w:val="FootnoteText"/>
        <w:rPr>
          <w:i/>
          <w:sz w:val="20"/>
          <w:szCs w:val="20"/>
        </w:rPr>
      </w:pPr>
      <w:r w:rsidRPr="004C3B9C">
        <w:rPr>
          <w:rStyle w:val="FootnoteReference"/>
          <w:sz w:val="20"/>
          <w:szCs w:val="20"/>
        </w:rPr>
        <w:footnoteRef/>
      </w:r>
      <w:r w:rsidRPr="004C3B9C">
        <w:rPr>
          <w:sz w:val="20"/>
          <w:szCs w:val="20"/>
        </w:rPr>
        <w:t xml:space="preserve"> </w:t>
      </w:r>
      <w:proofErr w:type="spellStart"/>
      <w:r w:rsidRPr="004C3B9C">
        <w:rPr>
          <w:rFonts w:cs="Times New Roman"/>
          <w:i/>
          <w:color w:val="191919"/>
          <w:sz w:val="20"/>
          <w:szCs w:val="20"/>
        </w:rPr>
        <w:t>Blaikie</w:t>
      </w:r>
      <w:proofErr w:type="spellEnd"/>
      <w:r w:rsidRPr="004C3B9C">
        <w:rPr>
          <w:rFonts w:cs="Times New Roman"/>
          <w:color w:val="191919"/>
          <w:sz w:val="20"/>
          <w:szCs w:val="20"/>
        </w:rPr>
        <w:t xml:space="preserve">, </w:t>
      </w:r>
      <w:proofErr w:type="gramStart"/>
      <w:r w:rsidRPr="004C3B9C">
        <w:rPr>
          <w:rFonts w:cs="Times New Roman"/>
          <w:color w:val="191919"/>
          <w:sz w:val="20"/>
          <w:szCs w:val="20"/>
        </w:rPr>
        <w:t>691 F.2d at 65</w:t>
      </w:r>
      <w:proofErr w:type="gramEnd"/>
      <w:r w:rsidRPr="004C3B9C">
        <w:rPr>
          <w:rFonts w:cs="Times New Roman"/>
          <w:color w:val="191919"/>
          <w:sz w:val="20"/>
          <w:szCs w:val="20"/>
        </w:rPr>
        <w:t>.</w:t>
      </w:r>
    </w:p>
  </w:footnote>
  <w:footnote w:id="8">
    <w:p w14:paraId="76F8F2CC" w14:textId="76F73A7F" w:rsidR="00686308" w:rsidRPr="004C3B9C" w:rsidRDefault="00686308">
      <w:pPr>
        <w:pStyle w:val="FootnoteText"/>
        <w:rPr>
          <w:sz w:val="20"/>
          <w:szCs w:val="20"/>
        </w:rPr>
      </w:pPr>
      <w:r w:rsidRPr="004C3B9C">
        <w:rPr>
          <w:rStyle w:val="FootnoteReference"/>
          <w:rFonts w:cs="Times New Roman"/>
          <w:sz w:val="20"/>
          <w:szCs w:val="20"/>
        </w:rPr>
        <w:footnoteRef/>
      </w:r>
      <w:r w:rsidRPr="004C3B9C">
        <w:rPr>
          <w:rFonts w:cs="Times New Roman"/>
          <w:sz w:val="20"/>
          <w:szCs w:val="20"/>
        </w:rPr>
        <w:t xml:space="preserve"> </w:t>
      </w:r>
      <w:proofErr w:type="gramStart"/>
      <w:r w:rsidR="00307B8F">
        <w:rPr>
          <w:rFonts w:cs="Times New Roman"/>
          <w:i/>
          <w:color w:val="191919"/>
          <w:sz w:val="20"/>
          <w:szCs w:val="20"/>
        </w:rPr>
        <w:t>Id.</w:t>
      </w:r>
      <w:r w:rsidRPr="004C3B9C">
        <w:rPr>
          <w:rFonts w:cs="Times New Roman"/>
          <w:color w:val="191919"/>
          <w:sz w:val="20"/>
          <w:szCs w:val="20"/>
        </w:rPr>
        <w:t xml:space="preserve"> </w:t>
      </w:r>
      <w:r w:rsidR="004C01E0" w:rsidRPr="004C3B9C">
        <w:rPr>
          <w:rFonts w:cs="Times New Roman"/>
          <w:color w:val="191919"/>
          <w:sz w:val="20"/>
          <w:szCs w:val="20"/>
        </w:rPr>
        <w:t>at 68</w:t>
      </w:r>
      <w:r w:rsidRPr="004C3B9C">
        <w:rPr>
          <w:rFonts w:cs="Times New Roman"/>
          <w:color w:val="191919"/>
          <w:sz w:val="20"/>
          <w:szCs w:val="20"/>
        </w:rPr>
        <w:t>.</w:t>
      </w:r>
      <w:proofErr w:type="gramEnd"/>
      <w:r w:rsidRPr="004C3B9C">
        <w:rPr>
          <w:rFonts w:ascii="Calibri" w:hAnsi="Calibri" w:cs="Arial"/>
          <w:color w:val="191919"/>
          <w:sz w:val="20"/>
          <w:szCs w:val="20"/>
        </w:rPr>
        <w:t xml:space="preserve"> </w:t>
      </w:r>
    </w:p>
  </w:footnote>
  <w:footnote w:id="9">
    <w:p w14:paraId="3AB83CF0" w14:textId="6346B634" w:rsidR="00686308" w:rsidRPr="004C3B9C" w:rsidRDefault="00686308" w:rsidP="0019452E">
      <w:pPr>
        <w:widowControl w:val="0"/>
        <w:autoSpaceDE w:val="0"/>
        <w:autoSpaceDN w:val="0"/>
        <w:adjustRightInd w:val="0"/>
        <w:spacing w:after="0" w:line="240" w:lineRule="auto"/>
        <w:rPr>
          <w:rFonts w:cs="Times New Roman"/>
          <w:color w:val="191919"/>
          <w:sz w:val="20"/>
          <w:szCs w:val="20"/>
        </w:rPr>
      </w:pPr>
      <w:r w:rsidRPr="004C3B9C">
        <w:rPr>
          <w:rStyle w:val="FootnoteReference"/>
          <w:rFonts w:cs="Times New Roman"/>
          <w:sz w:val="20"/>
          <w:szCs w:val="20"/>
        </w:rPr>
        <w:footnoteRef/>
      </w:r>
      <w:r w:rsidRPr="004C3B9C">
        <w:rPr>
          <w:rFonts w:cs="Times New Roman"/>
          <w:sz w:val="20"/>
          <w:szCs w:val="20"/>
        </w:rPr>
        <w:t xml:space="preserve"> </w:t>
      </w:r>
      <w:r w:rsidR="00307B8F">
        <w:rPr>
          <w:rFonts w:cs="Times New Roman"/>
          <w:color w:val="191919"/>
          <w:sz w:val="20"/>
          <w:szCs w:val="20"/>
        </w:rPr>
        <w:t>29 CFR § 102.48(d)(1) (</w:t>
      </w:r>
      <w:r w:rsidRPr="004C3B9C">
        <w:rPr>
          <w:rFonts w:cs="Times New Roman"/>
          <w:color w:val="191919"/>
          <w:sz w:val="20"/>
          <w:szCs w:val="20"/>
        </w:rPr>
        <w:t xml:space="preserve"> “In a </w:t>
      </w:r>
      <w:r w:rsidRPr="004C3B9C">
        <w:rPr>
          <w:rFonts w:cs="Times New Roman"/>
          <w:bCs/>
          <w:color w:val="1C1C1C"/>
          <w:sz w:val="20"/>
          <w:szCs w:val="20"/>
        </w:rPr>
        <w:t>motion</w:t>
      </w:r>
      <w:r w:rsidRPr="004C3B9C">
        <w:rPr>
          <w:rFonts w:cs="Times New Roman"/>
          <w:color w:val="191919"/>
          <w:sz w:val="20"/>
          <w:szCs w:val="20"/>
        </w:rPr>
        <w:t xml:space="preserve"> to </w:t>
      </w:r>
      <w:r w:rsidRPr="004C3B9C">
        <w:rPr>
          <w:rFonts w:cs="Times New Roman"/>
          <w:bCs/>
          <w:color w:val="1C1C1C"/>
          <w:sz w:val="20"/>
          <w:szCs w:val="20"/>
        </w:rPr>
        <w:t>reopen</w:t>
      </w:r>
      <w:r w:rsidRPr="004C3B9C">
        <w:rPr>
          <w:rFonts w:cs="Times New Roman"/>
          <w:color w:val="191919"/>
          <w:sz w:val="20"/>
          <w:szCs w:val="20"/>
        </w:rPr>
        <w:t xml:space="preserve"> the </w:t>
      </w:r>
      <w:r w:rsidRPr="004C3B9C">
        <w:rPr>
          <w:rFonts w:cs="Times New Roman"/>
          <w:bCs/>
          <w:color w:val="1C1C1C"/>
          <w:sz w:val="20"/>
          <w:szCs w:val="20"/>
        </w:rPr>
        <w:t>record</w:t>
      </w:r>
      <w:r w:rsidRPr="004C3B9C">
        <w:rPr>
          <w:rFonts w:cs="Times New Roman"/>
          <w:color w:val="191919"/>
          <w:sz w:val="20"/>
          <w:szCs w:val="20"/>
        </w:rPr>
        <w:t xml:space="preserve">, a party must state briefly the additional </w:t>
      </w:r>
      <w:r w:rsidRPr="004C3B9C">
        <w:rPr>
          <w:rFonts w:cs="Times New Roman"/>
          <w:bCs/>
          <w:color w:val="1C1C1C"/>
          <w:sz w:val="20"/>
          <w:szCs w:val="20"/>
        </w:rPr>
        <w:t>evidence</w:t>
      </w:r>
      <w:r w:rsidRPr="004C3B9C">
        <w:rPr>
          <w:rFonts w:cs="Times New Roman"/>
          <w:color w:val="191919"/>
          <w:sz w:val="20"/>
          <w:szCs w:val="20"/>
        </w:rPr>
        <w:t xml:space="preserve"> sought to be adduced; explain why it was not presented previously; and state that, if adduced and credited, it would require a different result.”</w:t>
      </w:r>
      <w:r w:rsidR="00307B8F">
        <w:rPr>
          <w:rFonts w:cs="Times New Roman"/>
          <w:color w:val="191919"/>
          <w:sz w:val="20"/>
          <w:szCs w:val="20"/>
        </w:rPr>
        <w:t>)</w:t>
      </w:r>
      <w:r w:rsidRPr="004C3B9C">
        <w:rPr>
          <w:rFonts w:cs="Times New Roman"/>
          <w:color w:val="191919"/>
          <w:sz w:val="20"/>
          <w:szCs w:val="20"/>
        </w:rPr>
        <w:t xml:space="preserve"> </w:t>
      </w:r>
    </w:p>
  </w:footnote>
  <w:footnote w:id="10">
    <w:p w14:paraId="7DF43FE2" w14:textId="2AC8C6B4" w:rsidR="0019452E" w:rsidRPr="004C3B9C" w:rsidRDefault="0019452E" w:rsidP="0019452E">
      <w:pPr>
        <w:widowControl w:val="0"/>
        <w:autoSpaceDE w:val="0"/>
        <w:autoSpaceDN w:val="0"/>
        <w:adjustRightInd w:val="0"/>
        <w:spacing w:after="0" w:line="240" w:lineRule="auto"/>
        <w:rPr>
          <w:rFonts w:cs="Times New Roman"/>
          <w:color w:val="000000" w:themeColor="text1"/>
          <w:sz w:val="20"/>
          <w:szCs w:val="20"/>
        </w:rPr>
      </w:pPr>
      <w:r w:rsidRPr="004C3B9C">
        <w:rPr>
          <w:rStyle w:val="FootnoteReference"/>
          <w:rFonts w:cs="Times New Roman"/>
          <w:sz w:val="20"/>
          <w:szCs w:val="20"/>
        </w:rPr>
        <w:footnoteRef/>
      </w:r>
      <w:r w:rsidRPr="004C3B9C">
        <w:rPr>
          <w:rFonts w:cs="Times New Roman"/>
          <w:sz w:val="20"/>
          <w:szCs w:val="20"/>
        </w:rPr>
        <w:t xml:space="preserve"> </w:t>
      </w:r>
      <w:r w:rsidR="002A5F96">
        <w:rPr>
          <w:rFonts w:cs="Times New Roman"/>
          <w:sz w:val="20"/>
          <w:szCs w:val="20"/>
        </w:rPr>
        <w:t xml:space="preserve">See </w:t>
      </w:r>
      <w:r w:rsidRPr="004C3B9C">
        <w:rPr>
          <w:rFonts w:cs="Times New Roman"/>
          <w:i/>
          <w:color w:val="000000" w:themeColor="text1"/>
          <w:sz w:val="20"/>
          <w:szCs w:val="20"/>
        </w:rPr>
        <w:t>N.L.R.B. v. Challenge-Cook Bros. of Ohio, Inc.,</w:t>
      </w:r>
      <w:r w:rsidRPr="004C3B9C">
        <w:rPr>
          <w:rFonts w:cs="Times New Roman"/>
          <w:color w:val="000000" w:themeColor="text1"/>
          <w:sz w:val="20"/>
          <w:szCs w:val="20"/>
        </w:rPr>
        <w:t xml:space="preserve"> 843 F.2d 230</w:t>
      </w:r>
      <w:r w:rsidR="00224CBA" w:rsidRPr="004C3B9C">
        <w:rPr>
          <w:rFonts w:cs="Times New Roman"/>
          <w:color w:val="000000" w:themeColor="text1"/>
          <w:sz w:val="20"/>
          <w:szCs w:val="20"/>
        </w:rPr>
        <w:t>, 232</w:t>
      </w:r>
      <w:r w:rsidRPr="004C3B9C">
        <w:rPr>
          <w:rFonts w:cs="Times New Roman"/>
          <w:color w:val="000000" w:themeColor="text1"/>
          <w:sz w:val="20"/>
          <w:szCs w:val="20"/>
        </w:rPr>
        <w:t xml:space="preserve"> (6th Cir. 1988)</w:t>
      </w:r>
      <w:r w:rsidR="00307B8F">
        <w:rPr>
          <w:rFonts w:cs="Times New Roman"/>
          <w:color w:val="000000" w:themeColor="text1"/>
          <w:sz w:val="20"/>
          <w:szCs w:val="20"/>
        </w:rPr>
        <w:t xml:space="preserve"> </w:t>
      </w:r>
      <w:r w:rsidRPr="004C3B9C">
        <w:rPr>
          <w:rFonts w:cs="Times New Roman"/>
          <w:color w:val="000000" w:themeColor="text1"/>
          <w:sz w:val="20"/>
          <w:szCs w:val="20"/>
        </w:rPr>
        <w:t>(</w:t>
      </w:r>
      <w:r w:rsidR="002A5F96">
        <w:rPr>
          <w:rFonts w:cs="Times New Roman"/>
          <w:color w:val="000000" w:themeColor="text1"/>
          <w:sz w:val="20"/>
          <w:szCs w:val="20"/>
        </w:rPr>
        <w:t xml:space="preserve">affirming </w:t>
      </w:r>
      <w:r w:rsidR="00224CBA" w:rsidRPr="004C3B9C">
        <w:rPr>
          <w:rFonts w:cs="Times New Roman"/>
          <w:color w:val="000000" w:themeColor="text1"/>
          <w:sz w:val="20"/>
          <w:szCs w:val="20"/>
        </w:rPr>
        <w:t>board</w:t>
      </w:r>
      <w:r w:rsidR="002A5F96">
        <w:rPr>
          <w:rFonts w:cs="Times New Roman"/>
          <w:color w:val="000000" w:themeColor="text1"/>
          <w:sz w:val="20"/>
          <w:szCs w:val="20"/>
        </w:rPr>
        <w:t>’s</w:t>
      </w:r>
      <w:r w:rsidR="00224CBA" w:rsidRPr="004C3B9C">
        <w:rPr>
          <w:rFonts w:cs="Times New Roman"/>
          <w:color w:val="000000" w:themeColor="text1"/>
          <w:sz w:val="20"/>
          <w:szCs w:val="20"/>
        </w:rPr>
        <w:t xml:space="preserve"> </w:t>
      </w:r>
      <w:r w:rsidR="002A5F96">
        <w:rPr>
          <w:rFonts w:cs="Times New Roman"/>
          <w:color w:val="000000" w:themeColor="text1"/>
          <w:sz w:val="20"/>
          <w:szCs w:val="20"/>
        </w:rPr>
        <w:t xml:space="preserve">refusal </w:t>
      </w:r>
      <w:r w:rsidRPr="004C3B9C">
        <w:rPr>
          <w:rFonts w:cs="Times New Roman"/>
          <w:color w:val="000000" w:themeColor="text1"/>
          <w:sz w:val="20"/>
          <w:szCs w:val="20"/>
        </w:rPr>
        <w:t>to reopen the record and receive further evidence, as it appeared that such evidence would not have</w:t>
      </w:r>
      <w:r w:rsidR="002A5F96">
        <w:rPr>
          <w:rFonts w:cs="Times New Roman"/>
          <w:color w:val="000000" w:themeColor="text1"/>
          <w:sz w:val="20"/>
          <w:szCs w:val="20"/>
        </w:rPr>
        <w:t xml:space="preserve"> changed the result of the case</w:t>
      </w:r>
      <w:r w:rsidRPr="004C3B9C">
        <w:rPr>
          <w:rFonts w:cs="Times New Roman"/>
          <w:color w:val="000000" w:themeColor="text1"/>
          <w:sz w:val="20"/>
          <w:szCs w:val="20"/>
        </w:rPr>
        <w:t>)</w:t>
      </w:r>
      <w:r w:rsidR="002A5F96">
        <w:rPr>
          <w:rFonts w:cs="Times New Roman"/>
          <w:color w:val="000000" w:themeColor="text1"/>
          <w:sz w:val="20"/>
          <w:szCs w:val="20"/>
        </w:rPr>
        <w:t>.</w:t>
      </w:r>
    </w:p>
    <w:p w14:paraId="2F4969E2" w14:textId="14568869" w:rsidR="0019452E" w:rsidRDefault="0019452E">
      <w:pPr>
        <w:pStyle w:val="FootnoteText"/>
      </w:pPr>
    </w:p>
  </w:footnote>
  <w:footnote w:id="11">
    <w:p w14:paraId="28706F94" w14:textId="004817C4" w:rsidR="00224CBA" w:rsidRPr="00224CBA" w:rsidRDefault="00224CBA">
      <w:pPr>
        <w:pStyle w:val="FootnoteText"/>
        <w:rPr>
          <w:sz w:val="20"/>
          <w:szCs w:val="20"/>
        </w:rPr>
      </w:pPr>
      <w:r w:rsidRPr="00224CBA">
        <w:rPr>
          <w:rStyle w:val="FootnoteReference"/>
          <w:sz w:val="20"/>
          <w:szCs w:val="20"/>
        </w:rPr>
        <w:footnoteRef/>
      </w:r>
      <w:r w:rsidRPr="00224CBA">
        <w:rPr>
          <w:sz w:val="20"/>
          <w:szCs w:val="20"/>
        </w:rPr>
        <w:t xml:space="preserve"> Ms. Shor’s affidavit containing this statement was submitted by </w:t>
      </w:r>
      <w:r w:rsidR="00E922E4">
        <w:rPr>
          <w:sz w:val="20"/>
          <w:szCs w:val="20"/>
        </w:rPr>
        <w:t xml:space="preserve">the </w:t>
      </w:r>
      <w:r w:rsidRPr="00224CBA">
        <w:rPr>
          <w:sz w:val="20"/>
          <w:szCs w:val="20"/>
        </w:rPr>
        <w:t xml:space="preserve">District on April 28,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C70"/>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C1A"/>
    <w:multiLevelType w:val="hybridMultilevel"/>
    <w:tmpl w:val="8A3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4C76DC"/>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3F9423E"/>
    <w:multiLevelType w:val="hybridMultilevel"/>
    <w:tmpl w:val="186E8C7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80611C"/>
    <w:multiLevelType w:val="multilevel"/>
    <w:tmpl w:val="8AC04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17"/>
    <w:rsid w:val="00026085"/>
    <w:rsid w:val="00034979"/>
    <w:rsid w:val="00034F5F"/>
    <w:rsid w:val="00077F93"/>
    <w:rsid w:val="00090A7B"/>
    <w:rsid w:val="000A51B1"/>
    <w:rsid w:val="000B5F1F"/>
    <w:rsid w:val="000C5CD2"/>
    <w:rsid w:val="00133634"/>
    <w:rsid w:val="00156906"/>
    <w:rsid w:val="00156AAE"/>
    <w:rsid w:val="00186D97"/>
    <w:rsid w:val="0019452E"/>
    <w:rsid w:val="00195F4A"/>
    <w:rsid w:val="001E6CCB"/>
    <w:rsid w:val="001F21FA"/>
    <w:rsid w:val="00220206"/>
    <w:rsid w:val="00224CBA"/>
    <w:rsid w:val="0023048A"/>
    <w:rsid w:val="0023068C"/>
    <w:rsid w:val="00236579"/>
    <w:rsid w:val="00236A7D"/>
    <w:rsid w:val="002438C8"/>
    <w:rsid w:val="00263D09"/>
    <w:rsid w:val="00263ED8"/>
    <w:rsid w:val="0026688E"/>
    <w:rsid w:val="00272FE3"/>
    <w:rsid w:val="002A15D3"/>
    <w:rsid w:val="002A5F96"/>
    <w:rsid w:val="002C1EE8"/>
    <w:rsid w:val="002C55DC"/>
    <w:rsid w:val="002E301F"/>
    <w:rsid w:val="0030645A"/>
    <w:rsid w:val="0030780D"/>
    <w:rsid w:val="00307B8F"/>
    <w:rsid w:val="0031276C"/>
    <w:rsid w:val="00325E2F"/>
    <w:rsid w:val="003500B7"/>
    <w:rsid w:val="003801BC"/>
    <w:rsid w:val="003A6A82"/>
    <w:rsid w:val="003B58BA"/>
    <w:rsid w:val="003C6910"/>
    <w:rsid w:val="003D1258"/>
    <w:rsid w:val="003D2BEF"/>
    <w:rsid w:val="003D66C0"/>
    <w:rsid w:val="0042409F"/>
    <w:rsid w:val="00453902"/>
    <w:rsid w:val="004576A9"/>
    <w:rsid w:val="00466950"/>
    <w:rsid w:val="00492E54"/>
    <w:rsid w:val="004976A1"/>
    <w:rsid w:val="004A1A65"/>
    <w:rsid w:val="004A41DA"/>
    <w:rsid w:val="004C01E0"/>
    <w:rsid w:val="004C3B9C"/>
    <w:rsid w:val="004D262F"/>
    <w:rsid w:val="004D667C"/>
    <w:rsid w:val="00512FD4"/>
    <w:rsid w:val="00516F3D"/>
    <w:rsid w:val="00523CAA"/>
    <w:rsid w:val="00524AE5"/>
    <w:rsid w:val="0057003F"/>
    <w:rsid w:val="00573AB3"/>
    <w:rsid w:val="00576911"/>
    <w:rsid w:val="00583F81"/>
    <w:rsid w:val="00590AA0"/>
    <w:rsid w:val="005920B6"/>
    <w:rsid w:val="00597739"/>
    <w:rsid w:val="005A01E7"/>
    <w:rsid w:val="005C2F88"/>
    <w:rsid w:val="0061632F"/>
    <w:rsid w:val="00624088"/>
    <w:rsid w:val="006439CF"/>
    <w:rsid w:val="0064579D"/>
    <w:rsid w:val="00667526"/>
    <w:rsid w:val="00686308"/>
    <w:rsid w:val="006B4136"/>
    <w:rsid w:val="006B43A1"/>
    <w:rsid w:val="006B67A6"/>
    <w:rsid w:val="006C26CF"/>
    <w:rsid w:val="006F48CE"/>
    <w:rsid w:val="006F6536"/>
    <w:rsid w:val="00712D1C"/>
    <w:rsid w:val="00724588"/>
    <w:rsid w:val="00744417"/>
    <w:rsid w:val="0075551C"/>
    <w:rsid w:val="00772843"/>
    <w:rsid w:val="0079147C"/>
    <w:rsid w:val="007930C9"/>
    <w:rsid w:val="0082255E"/>
    <w:rsid w:val="00823CAF"/>
    <w:rsid w:val="00842EAB"/>
    <w:rsid w:val="00847323"/>
    <w:rsid w:val="00867C70"/>
    <w:rsid w:val="00875352"/>
    <w:rsid w:val="00883C15"/>
    <w:rsid w:val="0089545B"/>
    <w:rsid w:val="00897C75"/>
    <w:rsid w:val="008A5A8B"/>
    <w:rsid w:val="008C39E4"/>
    <w:rsid w:val="008F19EA"/>
    <w:rsid w:val="009102CB"/>
    <w:rsid w:val="00910ADB"/>
    <w:rsid w:val="009257FB"/>
    <w:rsid w:val="009354F6"/>
    <w:rsid w:val="00963707"/>
    <w:rsid w:val="00976956"/>
    <w:rsid w:val="009846B5"/>
    <w:rsid w:val="00997DB5"/>
    <w:rsid w:val="009B3807"/>
    <w:rsid w:val="009D1FC3"/>
    <w:rsid w:val="009F0E2D"/>
    <w:rsid w:val="00A00566"/>
    <w:rsid w:val="00A4704A"/>
    <w:rsid w:val="00A5188A"/>
    <w:rsid w:val="00A52470"/>
    <w:rsid w:val="00A54717"/>
    <w:rsid w:val="00A5543E"/>
    <w:rsid w:val="00A8368A"/>
    <w:rsid w:val="00A9080C"/>
    <w:rsid w:val="00AA2D9E"/>
    <w:rsid w:val="00AA317F"/>
    <w:rsid w:val="00AA45A6"/>
    <w:rsid w:val="00AB40A3"/>
    <w:rsid w:val="00AC2FB1"/>
    <w:rsid w:val="00B11EA1"/>
    <w:rsid w:val="00B2140D"/>
    <w:rsid w:val="00B248D8"/>
    <w:rsid w:val="00B26390"/>
    <w:rsid w:val="00B33A04"/>
    <w:rsid w:val="00B42D08"/>
    <w:rsid w:val="00B42D12"/>
    <w:rsid w:val="00B50A9B"/>
    <w:rsid w:val="00B53AFA"/>
    <w:rsid w:val="00B8649B"/>
    <w:rsid w:val="00B875C6"/>
    <w:rsid w:val="00B912C0"/>
    <w:rsid w:val="00BC36CE"/>
    <w:rsid w:val="00BC475B"/>
    <w:rsid w:val="00BC72FE"/>
    <w:rsid w:val="00BD522E"/>
    <w:rsid w:val="00BD5E7C"/>
    <w:rsid w:val="00BF5E9D"/>
    <w:rsid w:val="00C13262"/>
    <w:rsid w:val="00C2665E"/>
    <w:rsid w:val="00C334DB"/>
    <w:rsid w:val="00C4277E"/>
    <w:rsid w:val="00C639F7"/>
    <w:rsid w:val="00C7639B"/>
    <w:rsid w:val="00C833C4"/>
    <w:rsid w:val="00C87F13"/>
    <w:rsid w:val="00CA0FE3"/>
    <w:rsid w:val="00CB1328"/>
    <w:rsid w:val="00CC2A45"/>
    <w:rsid w:val="00CD21D0"/>
    <w:rsid w:val="00CD31CF"/>
    <w:rsid w:val="00CF3A8F"/>
    <w:rsid w:val="00D03B03"/>
    <w:rsid w:val="00D26B38"/>
    <w:rsid w:val="00D75E93"/>
    <w:rsid w:val="00D9017E"/>
    <w:rsid w:val="00D95931"/>
    <w:rsid w:val="00DA19A3"/>
    <w:rsid w:val="00DA6FDA"/>
    <w:rsid w:val="00DD25A0"/>
    <w:rsid w:val="00DD2C06"/>
    <w:rsid w:val="00DE38F9"/>
    <w:rsid w:val="00E13E01"/>
    <w:rsid w:val="00E45CCF"/>
    <w:rsid w:val="00E77E8A"/>
    <w:rsid w:val="00E838B4"/>
    <w:rsid w:val="00E922E4"/>
    <w:rsid w:val="00E96AED"/>
    <w:rsid w:val="00EB42F9"/>
    <w:rsid w:val="00EC105D"/>
    <w:rsid w:val="00EE4F99"/>
    <w:rsid w:val="00EF249C"/>
    <w:rsid w:val="00F267DA"/>
    <w:rsid w:val="00F33151"/>
    <w:rsid w:val="00F4308D"/>
    <w:rsid w:val="00F64C8A"/>
    <w:rsid w:val="00F6557C"/>
    <w:rsid w:val="00FC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paragraph" w:styleId="Heading1">
    <w:name w:val="heading 1"/>
    <w:basedOn w:val="Normal"/>
    <w:next w:val="Normal"/>
    <w:link w:val="Heading1Char"/>
    <w:qFormat/>
    <w:rsid w:val="00AA45A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character" w:customStyle="1" w:styleId="Heading1Char">
    <w:name w:val="Heading 1 Char"/>
    <w:basedOn w:val="DefaultParagraphFont"/>
    <w:link w:val="Heading1"/>
    <w:rsid w:val="00AA45A6"/>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paragraph" w:styleId="Heading1">
    <w:name w:val="heading 1"/>
    <w:basedOn w:val="Normal"/>
    <w:next w:val="Normal"/>
    <w:link w:val="Heading1Char"/>
    <w:qFormat/>
    <w:rsid w:val="00AA45A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character" w:customStyle="1" w:styleId="Heading1Char">
    <w:name w:val="Heading 1 Char"/>
    <w:basedOn w:val="DefaultParagraphFont"/>
    <w:link w:val="Heading1"/>
    <w:rsid w:val="00AA45A6"/>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8371-957E-4275-AC9F-E06A460C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2016-07-11T13:04:00Z</dcterms:created>
  <dc:creator>Erlichman, Reece (ALA)</dc:creator>
  <lastModifiedBy>ANF</lastModifiedBy>
  <dcterms:modified xsi:type="dcterms:W3CDTF">2016-07-11T13:04:00Z</dcterms:modified>
  <revision>2</revision>
</coreProperties>
</file>