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37C7F23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ADMININSTRATIVE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7891CDB8" w14:textId="499D36FE" w:rsidR="00A94F63" w:rsidRPr="00331E3A" w:rsidRDefault="007E6E45" w:rsidP="00A94F63">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331E3A" w:rsidRPr="00331E3A">
        <w:rPr>
          <w:rFonts w:ascii="Times New Roman" w:hAnsi="Times New Roman" w:cs="Times New Roman"/>
          <w:sz w:val="24"/>
          <w:szCs w:val="24"/>
        </w:rPr>
        <w:t>Alistair</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 xml:space="preserve"> v. Andover </w:t>
      </w:r>
      <w:r w:rsidR="00331E3A" w:rsidRPr="00331E3A">
        <w:rPr>
          <w:rFonts w:ascii="Times New Roman" w:hAnsi="Times New Roman" w:cs="Times New Roman"/>
          <w:sz w:val="24"/>
          <w:szCs w:val="24"/>
        </w:rPr>
        <w:t xml:space="preserve">Public Schools </w:t>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331E3A">
        <w:rPr>
          <w:rFonts w:ascii="Times New Roman" w:hAnsi="Times New Roman" w:cs="Times New Roman"/>
          <w:sz w:val="24"/>
          <w:szCs w:val="24"/>
        </w:rPr>
        <w:t>1502640</w:t>
      </w:r>
      <w:r w:rsidRPr="00331E3A">
        <w:rPr>
          <w:rFonts w:ascii="Times New Roman" w:hAnsi="Times New Roman" w:cs="Times New Roman"/>
          <w:sz w:val="24"/>
          <w:szCs w:val="24"/>
        </w:rPr>
        <w:t xml:space="preserve"> </w:t>
      </w:r>
    </w:p>
    <w:p w14:paraId="703EFBEF" w14:textId="3452F71D" w:rsidR="007E6E45" w:rsidRPr="00331E3A" w:rsidRDefault="00331E3A" w:rsidP="00A94F63">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Massachusetts Department of Mental Health</w:t>
      </w:r>
      <w:r w:rsidR="00A94F63" w:rsidRPr="00331E3A">
        <w:rPr>
          <w:rFonts w:ascii="Times New Roman" w:hAnsi="Times New Roman" w:cs="Times New Roman"/>
          <w:sz w:val="24"/>
          <w:szCs w:val="24"/>
        </w:rPr>
        <w:tab/>
      </w:r>
      <w:r w:rsidR="007E6E45" w:rsidRPr="00331E3A">
        <w:rPr>
          <w:rFonts w:ascii="Times New Roman" w:hAnsi="Times New Roman" w:cs="Times New Roman"/>
          <w:sz w:val="24"/>
          <w:szCs w:val="24"/>
        </w:rPr>
        <w:t xml:space="preserve"> </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78D858C7"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RULING ON DEPARMENT OF MENTAL HEALTH’S MOTION TO DISMISS</w:t>
      </w:r>
      <w:r w:rsidR="00E27947">
        <w:rPr>
          <w:rFonts w:ascii="Times New Roman" w:hAnsi="Times New Roman" w:cs="Times New Roman"/>
          <w:b/>
          <w:sz w:val="24"/>
          <w:szCs w:val="24"/>
          <w:u w:val="single"/>
        </w:rPr>
        <w:t xml:space="preserve"> DEPARTMENT OF MENTAL HEALTH </w:t>
      </w:r>
      <w:r w:rsidR="00BB3430">
        <w:rPr>
          <w:rFonts w:ascii="Times New Roman" w:hAnsi="Times New Roman" w:cs="Times New Roman"/>
          <w:b/>
          <w:sz w:val="24"/>
          <w:szCs w:val="24"/>
          <w:u w:val="single"/>
        </w:rPr>
        <w:t>AS A PARTY</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714CDC08" w14:textId="6EED69CD" w:rsidR="00331E3A" w:rsidRP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Hearing Officer on the Motion of the Department of Mental Health (hereinafter “DMH”) to Dismiss</w:t>
      </w:r>
      <w:r w:rsidR="00BB3430">
        <w:rPr>
          <w:rFonts w:ascii="Times New Roman" w:hAnsi="Times New Roman" w:cs="Times New Roman"/>
          <w:sz w:val="24"/>
          <w:szCs w:val="24"/>
        </w:rPr>
        <w:t xml:space="preserve"> DMH as a Party to</w:t>
      </w:r>
      <w:r w:rsidRPr="00331E3A">
        <w:rPr>
          <w:rFonts w:ascii="Times New Roman" w:hAnsi="Times New Roman" w:cs="Times New Roman"/>
          <w:sz w:val="24"/>
          <w:szCs w:val="24"/>
        </w:rPr>
        <w:t xml:space="preserve"> the Expedited Request for Hearing filed by the Parents on October 1, 2014.  </w:t>
      </w:r>
      <w:r>
        <w:rPr>
          <w:rFonts w:ascii="Times New Roman" w:hAnsi="Times New Roman" w:cs="Times New Roman"/>
          <w:sz w:val="24"/>
          <w:szCs w:val="24"/>
        </w:rPr>
        <w:t xml:space="preserve">The Motion to Dismiss was filed on October 7, 2014.  </w:t>
      </w:r>
      <w:r w:rsidR="00976D70">
        <w:rPr>
          <w:rFonts w:ascii="Times New Roman" w:hAnsi="Times New Roman" w:cs="Times New Roman"/>
          <w:sz w:val="24"/>
          <w:szCs w:val="24"/>
        </w:rPr>
        <w:t xml:space="preserve">The Parents and </w:t>
      </w:r>
      <w:r w:rsidR="00976D70" w:rsidRPr="00331E3A">
        <w:rPr>
          <w:rFonts w:ascii="Times New Roman" w:hAnsi="Times New Roman" w:cs="Times New Roman"/>
          <w:sz w:val="24"/>
          <w:szCs w:val="24"/>
        </w:rPr>
        <w:t>the Andover Public S</w:t>
      </w:r>
      <w:r w:rsidR="00976D70">
        <w:rPr>
          <w:rFonts w:ascii="Times New Roman" w:hAnsi="Times New Roman" w:cs="Times New Roman"/>
          <w:sz w:val="24"/>
          <w:szCs w:val="24"/>
        </w:rPr>
        <w:t xml:space="preserve">chools (hereinafter “Andover”) </w:t>
      </w:r>
      <w:r w:rsidRPr="00331E3A">
        <w:rPr>
          <w:rFonts w:ascii="Times New Roman" w:hAnsi="Times New Roman" w:cs="Times New Roman"/>
          <w:sz w:val="24"/>
          <w:szCs w:val="24"/>
        </w:rPr>
        <w:t>oppose the Motion</w:t>
      </w:r>
      <w:r>
        <w:rPr>
          <w:rFonts w:ascii="Times New Roman" w:hAnsi="Times New Roman" w:cs="Times New Roman"/>
          <w:sz w:val="24"/>
          <w:szCs w:val="24"/>
        </w:rPr>
        <w:t xml:space="preserve">, and filed a written </w:t>
      </w:r>
      <w:r w:rsidR="00976D70">
        <w:rPr>
          <w:rFonts w:ascii="Times New Roman" w:hAnsi="Times New Roman" w:cs="Times New Roman"/>
          <w:sz w:val="24"/>
          <w:szCs w:val="24"/>
        </w:rPr>
        <w:t xml:space="preserve">Joint </w:t>
      </w:r>
      <w:r>
        <w:rPr>
          <w:rFonts w:ascii="Times New Roman" w:hAnsi="Times New Roman" w:cs="Times New Roman"/>
          <w:sz w:val="24"/>
          <w:szCs w:val="24"/>
        </w:rPr>
        <w:t>Opposition on October 8, 2014</w:t>
      </w:r>
      <w:r w:rsidRPr="00331E3A">
        <w:rPr>
          <w:rFonts w:ascii="Times New Roman" w:hAnsi="Times New Roman" w:cs="Times New Roman"/>
          <w:sz w:val="24"/>
          <w:szCs w:val="24"/>
        </w:rPr>
        <w:t>.  The Hearing Officer</w:t>
      </w:r>
      <w:r>
        <w:rPr>
          <w:rFonts w:ascii="Times New Roman" w:hAnsi="Times New Roman" w:cs="Times New Roman"/>
          <w:sz w:val="24"/>
          <w:szCs w:val="24"/>
        </w:rPr>
        <w:t xml:space="preserve"> </w:t>
      </w:r>
      <w:r w:rsidRPr="00331E3A">
        <w:rPr>
          <w:rFonts w:ascii="Times New Roman" w:hAnsi="Times New Roman" w:cs="Times New Roman"/>
          <w:sz w:val="24"/>
          <w:szCs w:val="24"/>
        </w:rPr>
        <w:t>took additional arguments during a telephonic motion session held on October 9</w:t>
      </w:r>
      <w:r>
        <w:rPr>
          <w:rFonts w:ascii="Times New Roman" w:hAnsi="Times New Roman" w:cs="Times New Roman"/>
          <w:sz w:val="24"/>
          <w:szCs w:val="24"/>
        </w:rPr>
        <w:t>, 2</w:t>
      </w:r>
      <w:r w:rsidRPr="00331E3A">
        <w:rPr>
          <w:rFonts w:ascii="Times New Roman" w:hAnsi="Times New Roman" w:cs="Times New Roman"/>
          <w:sz w:val="24"/>
          <w:szCs w:val="24"/>
        </w:rPr>
        <w:t>014.</w:t>
      </w:r>
      <w:r>
        <w:rPr>
          <w:rFonts w:ascii="Times New Roman" w:hAnsi="Times New Roman" w:cs="Times New Roman"/>
          <w:sz w:val="24"/>
          <w:szCs w:val="24"/>
        </w:rPr>
        <w:t xml:space="preserve">  For the reasons set forth below, DMH’s Motion is hereby ALLOWED.</w:t>
      </w:r>
    </w:p>
    <w:p w14:paraId="2CA20B1B" w14:textId="77777777" w:rsidR="00331E3A" w:rsidRPr="00331E3A" w:rsidRDefault="00331E3A" w:rsidP="00331E3A">
      <w:pPr>
        <w:pStyle w:val="NoSpacing"/>
        <w:rPr>
          <w:rFonts w:ascii="Times New Roman" w:hAnsi="Times New Roman" w:cs="Times New Roman"/>
          <w:sz w:val="24"/>
          <w:szCs w:val="24"/>
          <w:u w:val="single"/>
        </w:rPr>
      </w:pPr>
    </w:p>
    <w:p w14:paraId="72F35908" w14:textId="7D23ADCD" w:rsidR="00331E3A" w:rsidRPr="00331E3A" w:rsidRDefault="00331E3A" w:rsidP="00331E3A">
      <w:pPr>
        <w:pStyle w:val="NoSpacing"/>
        <w:rPr>
          <w:rFonts w:ascii="Times New Roman" w:hAnsi="Times New Roman" w:cs="Times New Roman"/>
          <w:sz w:val="24"/>
          <w:szCs w:val="24"/>
        </w:rPr>
      </w:pPr>
    </w:p>
    <w:p w14:paraId="7CAB89E7" w14:textId="77777777" w:rsidR="00331E3A" w:rsidRPr="00331E3A" w:rsidRDefault="00331E3A" w:rsidP="00331E3A">
      <w:pPr>
        <w:pStyle w:val="NoSpacing"/>
        <w:rPr>
          <w:rFonts w:ascii="Times New Roman" w:hAnsi="Times New Roman" w:cs="Times New Roman"/>
          <w:sz w:val="24"/>
          <w:szCs w:val="24"/>
          <w:u w:val="single"/>
        </w:rPr>
      </w:pPr>
      <w:r w:rsidRPr="00331E3A">
        <w:rPr>
          <w:rFonts w:ascii="Times New Roman" w:hAnsi="Times New Roman" w:cs="Times New Roman"/>
          <w:sz w:val="24"/>
          <w:szCs w:val="24"/>
          <w:u w:val="single"/>
        </w:rPr>
        <w:t>FACTUAL BACKGROUND</w:t>
      </w:r>
    </w:p>
    <w:p w14:paraId="5BD668D0" w14:textId="77777777" w:rsidR="00331E3A" w:rsidRPr="00331E3A" w:rsidRDefault="00331E3A" w:rsidP="00331E3A">
      <w:pPr>
        <w:pStyle w:val="NoSpacing"/>
        <w:rPr>
          <w:rFonts w:ascii="Times New Roman" w:hAnsi="Times New Roman" w:cs="Times New Roman"/>
          <w:sz w:val="24"/>
          <w:szCs w:val="24"/>
        </w:rPr>
      </w:pPr>
    </w:p>
    <w:p w14:paraId="4B7FE42E" w14:textId="77777777" w:rsidR="00331E3A"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t>The following facts are not in dispute and are taken as true for the purposes of this Motion.  These facts may be subject to revision in subsequent proceedings.</w:t>
      </w:r>
    </w:p>
    <w:p w14:paraId="618E8F34" w14:textId="77777777" w:rsidR="00331E3A" w:rsidRPr="0006098F" w:rsidRDefault="00331E3A" w:rsidP="00331E3A">
      <w:pPr>
        <w:pStyle w:val="NoSpacing"/>
        <w:rPr>
          <w:rFonts w:ascii="Times New Roman" w:hAnsi="Times New Roman" w:cs="Times New Roman"/>
          <w:sz w:val="24"/>
          <w:szCs w:val="24"/>
        </w:rPr>
      </w:pPr>
    </w:p>
    <w:p w14:paraId="1021FD54" w14:textId="1E58D5F0" w:rsidR="00331E3A" w:rsidRPr="0006098F" w:rsidRDefault="00331E3A" w:rsidP="00331E3A">
      <w:pPr>
        <w:pStyle w:val="NoSpacing"/>
        <w:rPr>
          <w:rFonts w:ascii="Times New Roman" w:hAnsi="Times New Roman"/>
          <w:sz w:val="24"/>
          <w:szCs w:val="24"/>
        </w:rPr>
      </w:pPr>
      <w:r w:rsidRPr="0006098F">
        <w:rPr>
          <w:rFonts w:ascii="Times New Roman" w:hAnsi="Times New Roman"/>
          <w:sz w:val="24"/>
          <w:szCs w:val="24"/>
        </w:rPr>
        <w:t>1.</w:t>
      </w:r>
      <w:r w:rsidRPr="0006098F">
        <w:rPr>
          <w:rFonts w:ascii="Times New Roman" w:hAnsi="Times New Roman"/>
          <w:sz w:val="24"/>
          <w:szCs w:val="24"/>
        </w:rPr>
        <w:tab/>
      </w:r>
      <w:r w:rsidR="0006098F" w:rsidRPr="0006098F">
        <w:rPr>
          <w:rFonts w:ascii="Times New Roman" w:hAnsi="Times New Roman"/>
          <w:sz w:val="24"/>
          <w:szCs w:val="24"/>
        </w:rPr>
        <w:t>Alistair</w:t>
      </w:r>
      <w:r w:rsidRPr="0006098F">
        <w:rPr>
          <w:rFonts w:ascii="Times New Roman" w:hAnsi="Times New Roman"/>
          <w:sz w:val="24"/>
          <w:szCs w:val="24"/>
        </w:rPr>
        <w:t xml:space="preserve"> is </w:t>
      </w:r>
      <w:r w:rsidR="0006098F" w:rsidRPr="0006098F">
        <w:rPr>
          <w:rFonts w:ascii="Times New Roman" w:hAnsi="Times New Roman"/>
          <w:sz w:val="24"/>
          <w:szCs w:val="24"/>
        </w:rPr>
        <w:t>a 14 year old resident of Andover</w:t>
      </w:r>
      <w:r w:rsidR="00BF0DE0">
        <w:rPr>
          <w:rFonts w:ascii="Times New Roman" w:hAnsi="Times New Roman"/>
          <w:sz w:val="24"/>
          <w:szCs w:val="24"/>
        </w:rPr>
        <w:t>.  Alistair</w:t>
      </w:r>
      <w:r w:rsidR="00E27947">
        <w:rPr>
          <w:rFonts w:ascii="Times New Roman" w:hAnsi="Times New Roman"/>
          <w:sz w:val="24"/>
          <w:szCs w:val="24"/>
        </w:rPr>
        <w:t xml:space="preserve"> is eligible for</w:t>
      </w:r>
      <w:r w:rsidRPr="0006098F">
        <w:rPr>
          <w:rFonts w:ascii="Times New Roman" w:hAnsi="Times New Roman"/>
          <w:sz w:val="24"/>
          <w:szCs w:val="24"/>
        </w:rPr>
        <w:t xml:space="preserve"> special education pursuant to 20 U.S.C. §1401 </w:t>
      </w:r>
      <w:r w:rsidRPr="0006098F">
        <w:rPr>
          <w:rFonts w:ascii="Times New Roman" w:hAnsi="Times New Roman"/>
          <w:i/>
          <w:sz w:val="24"/>
          <w:szCs w:val="24"/>
        </w:rPr>
        <w:t>et seq.</w:t>
      </w:r>
      <w:r w:rsidR="00BF0DE0">
        <w:rPr>
          <w:rFonts w:ascii="Times New Roman" w:hAnsi="Times New Roman"/>
          <w:sz w:val="24"/>
          <w:szCs w:val="24"/>
        </w:rPr>
        <w:t xml:space="preserve"> and </w:t>
      </w:r>
      <w:r w:rsidR="00976D70">
        <w:rPr>
          <w:rFonts w:ascii="Times New Roman" w:hAnsi="Times New Roman"/>
          <w:sz w:val="24"/>
          <w:szCs w:val="24"/>
        </w:rPr>
        <w:t xml:space="preserve">M.G.L. </w:t>
      </w:r>
      <w:r w:rsidRPr="0006098F">
        <w:rPr>
          <w:rFonts w:ascii="Times New Roman" w:hAnsi="Times New Roman"/>
          <w:sz w:val="24"/>
          <w:szCs w:val="24"/>
        </w:rPr>
        <w:t xml:space="preserve"> c. 71 B.</w:t>
      </w:r>
    </w:p>
    <w:p w14:paraId="030028A8" w14:textId="77777777" w:rsidR="00331E3A" w:rsidRPr="0006098F" w:rsidRDefault="00331E3A" w:rsidP="00331E3A">
      <w:pPr>
        <w:pStyle w:val="NoSpacing"/>
        <w:rPr>
          <w:rFonts w:ascii="Times New Roman" w:hAnsi="Times New Roman"/>
          <w:sz w:val="24"/>
          <w:szCs w:val="24"/>
        </w:rPr>
      </w:pPr>
    </w:p>
    <w:p w14:paraId="4106271A" w14:textId="77777777" w:rsidR="0006098F" w:rsidRPr="0006098F" w:rsidRDefault="00331E3A" w:rsidP="00331E3A">
      <w:pPr>
        <w:pStyle w:val="NoSpacing"/>
        <w:rPr>
          <w:rFonts w:ascii="Times New Roman" w:hAnsi="Times New Roman"/>
          <w:sz w:val="24"/>
          <w:szCs w:val="24"/>
        </w:rPr>
      </w:pPr>
      <w:r w:rsidRPr="0006098F">
        <w:rPr>
          <w:rFonts w:ascii="Times New Roman" w:hAnsi="Times New Roman"/>
          <w:sz w:val="24"/>
          <w:szCs w:val="24"/>
        </w:rPr>
        <w:t>2.</w:t>
      </w:r>
      <w:r w:rsidRPr="0006098F">
        <w:rPr>
          <w:rFonts w:ascii="Times New Roman" w:hAnsi="Times New Roman"/>
          <w:sz w:val="24"/>
          <w:szCs w:val="24"/>
        </w:rPr>
        <w:tab/>
      </w:r>
      <w:r w:rsidR="0006098F" w:rsidRPr="0006098F">
        <w:rPr>
          <w:rFonts w:ascii="Times New Roman" w:hAnsi="Times New Roman"/>
          <w:sz w:val="24"/>
          <w:szCs w:val="24"/>
        </w:rPr>
        <w:t>From 2008 to the spring of 2013, Alistair</w:t>
      </w:r>
      <w:r w:rsidRPr="0006098F">
        <w:rPr>
          <w:rFonts w:ascii="Times New Roman" w:hAnsi="Times New Roman"/>
          <w:sz w:val="24"/>
          <w:szCs w:val="24"/>
        </w:rPr>
        <w:t xml:space="preserve"> </w:t>
      </w:r>
      <w:r w:rsidR="0006098F" w:rsidRPr="0006098F">
        <w:rPr>
          <w:rFonts w:ascii="Times New Roman" w:hAnsi="Times New Roman"/>
          <w:sz w:val="24"/>
          <w:szCs w:val="24"/>
        </w:rPr>
        <w:t>was placed in self-contained, residential educational placements funded by Andover.  In 2010, he was placed in the residential program at St. Ann’s, where he remained until the spring of 2013.  Between 2008 and 2013, Alistair was hospitalized numerous times.</w:t>
      </w:r>
    </w:p>
    <w:p w14:paraId="20432BE1" w14:textId="77777777" w:rsidR="0006098F" w:rsidRPr="0006098F" w:rsidRDefault="0006098F" w:rsidP="00331E3A">
      <w:pPr>
        <w:pStyle w:val="NoSpacing"/>
        <w:rPr>
          <w:rFonts w:ascii="Times New Roman" w:hAnsi="Times New Roman"/>
          <w:sz w:val="24"/>
          <w:szCs w:val="24"/>
        </w:rPr>
      </w:pPr>
    </w:p>
    <w:p w14:paraId="38245DCB" w14:textId="6072EE9A" w:rsidR="00331E3A" w:rsidRDefault="00976D70" w:rsidP="00331E3A">
      <w:pPr>
        <w:pStyle w:val="NoSpacing"/>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proofErr w:type="gramStart"/>
      <w:r>
        <w:rPr>
          <w:rFonts w:ascii="Times New Roman" w:hAnsi="Times New Roman"/>
          <w:sz w:val="24"/>
          <w:szCs w:val="24"/>
        </w:rPr>
        <w:t>During</w:t>
      </w:r>
      <w:proofErr w:type="gramEnd"/>
      <w:r w:rsidR="0006098F" w:rsidRPr="0006098F">
        <w:rPr>
          <w:rFonts w:ascii="Times New Roman" w:hAnsi="Times New Roman"/>
          <w:sz w:val="24"/>
          <w:szCs w:val="24"/>
        </w:rPr>
        <w:t xml:space="preserve"> the spring of</w:t>
      </w:r>
      <w:r w:rsidR="0006098F">
        <w:rPr>
          <w:rFonts w:ascii="Times New Roman" w:hAnsi="Times New Roman"/>
          <w:sz w:val="24"/>
          <w:szCs w:val="24"/>
        </w:rPr>
        <w:t xml:space="preserve"> 2013, pursuant to</w:t>
      </w:r>
      <w:r w:rsidR="0006098F" w:rsidRPr="0006098F">
        <w:rPr>
          <w:rFonts w:ascii="Times New Roman" w:hAnsi="Times New Roman"/>
          <w:sz w:val="24"/>
          <w:szCs w:val="24"/>
        </w:rPr>
        <w:t xml:space="preserve"> an Individual</w:t>
      </w:r>
      <w:r w:rsidR="00BF0DE0">
        <w:rPr>
          <w:rFonts w:ascii="Times New Roman" w:hAnsi="Times New Roman"/>
          <w:sz w:val="24"/>
          <w:szCs w:val="24"/>
        </w:rPr>
        <w:t>ized</w:t>
      </w:r>
      <w:r w:rsidR="0006098F" w:rsidRPr="0006098F">
        <w:rPr>
          <w:rFonts w:ascii="Times New Roman" w:hAnsi="Times New Roman"/>
          <w:sz w:val="24"/>
          <w:szCs w:val="24"/>
        </w:rPr>
        <w:t xml:space="preserve"> Education Program (IEP) dated 2/13/2013-2/12/2014 and accepted by Alistair</w:t>
      </w:r>
      <w:r w:rsidR="0006098F">
        <w:rPr>
          <w:rFonts w:ascii="Times New Roman" w:hAnsi="Times New Roman"/>
          <w:sz w:val="24"/>
          <w:szCs w:val="24"/>
        </w:rPr>
        <w:t>’</w:t>
      </w:r>
      <w:r w:rsidR="0006098F" w:rsidRPr="0006098F">
        <w:rPr>
          <w:rFonts w:ascii="Times New Roman" w:hAnsi="Times New Roman"/>
          <w:sz w:val="24"/>
          <w:szCs w:val="24"/>
        </w:rPr>
        <w:t>s parents (hereinafter “Parents”)</w:t>
      </w:r>
      <w:r w:rsidR="0006098F">
        <w:rPr>
          <w:rFonts w:ascii="Times New Roman" w:hAnsi="Times New Roman"/>
          <w:sz w:val="24"/>
          <w:szCs w:val="24"/>
        </w:rPr>
        <w:t xml:space="preserve"> on March 18, 2013, Alistair was placed in the day program at St. Ann’s.</w:t>
      </w:r>
    </w:p>
    <w:p w14:paraId="40801211" w14:textId="77777777" w:rsidR="0006098F" w:rsidRDefault="0006098F" w:rsidP="00331E3A">
      <w:pPr>
        <w:pStyle w:val="NoSpacing"/>
        <w:rPr>
          <w:rFonts w:ascii="Times New Roman" w:hAnsi="Times New Roman"/>
          <w:sz w:val="24"/>
          <w:szCs w:val="24"/>
        </w:rPr>
      </w:pPr>
    </w:p>
    <w:p w14:paraId="0C41E71A" w14:textId="21D8FED8" w:rsidR="0006098F" w:rsidRDefault="0006098F" w:rsidP="00331E3A">
      <w:pPr>
        <w:pStyle w:val="NoSpacing"/>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In April of 2013, Alistair moved home and continued attending the day program at St. Ann’s with extended day programming funded by Andover.</w:t>
      </w:r>
    </w:p>
    <w:p w14:paraId="7776C10D" w14:textId="77777777" w:rsidR="0006098F" w:rsidRDefault="0006098F" w:rsidP="00331E3A">
      <w:pPr>
        <w:pStyle w:val="NoSpacing"/>
        <w:rPr>
          <w:rFonts w:ascii="Times New Roman" w:hAnsi="Times New Roman"/>
          <w:sz w:val="24"/>
          <w:szCs w:val="24"/>
        </w:rPr>
      </w:pPr>
    </w:p>
    <w:p w14:paraId="26A7DFFD" w14:textId="511409B7" w:rsidR="0006098F" w:rsidRDefault="0006098F" w:rsidP="00331E3A">
      <w:pPr>
        <w:pStyle w:val="NoSpacing"/>
        <w:rPr>
          <w:rFonts w:ascii="Times New Roman" w:hAnsi="Times New Roman"/>
          <w:sz w:val="24"/>
          <w:szCs w:val="24"/>
        </w:rPr>
      </w:pPr>
      <w:r>
        <w:rPr>
          <w:rFonts w:ascii="Times New Roman" w:hAnsi="Times New Roman"/>
          <w:sz w:val="24"/>
          <w:szCs w:val="24"/>
        </w:rPr>
        <w:t>5.</w:t>
      </w:r>
      <w:r w:rsidR="00BF0DE0">
        <w:rPr>
          <w:rFonts w:ascii="Times New Roman" w:hAnsi="Times New Roman"/>
          <w:sz w:val="24"/>
          <w:szCs w:val="24"/>
        </w:rPr>
        <w:tab/>
        <w:t>During</w:t>
      </w:r>
      <w:r w:rsidR="00145F73">
        <w:rPr>
          <w:rFonts w:ascii="Times New Roman" w:hAnsi="Times New Roman"/>
          <w:sz w:val="24"/>
          <w:szCs w:val="24"/>
        </w:rPr>
        <w:t xml:space="preserve"> the first six (6) months</w:t>
      </w:r>
      <w:r w:rsidR="00BF0DE0">
        <w:rPr>
          <w:rFonts w:ascii="Times New Roman" w:hAnsi="Times New Roman"/>
          <w:sz w:val="24"/>
          <w:szCs w:val="24"/>
        </w:rPr>
        <w:t xml:space="preserve"> after he was transitioned to the day program from </w:t>
      </w:r>
      <w:proofErr w:type="gramStart"/>
      <w:r w:rsidR="00BF0DE0">
        <w:rPr>
          <w:rFonts w:ascii="Times New Roman" w:hAnsi="Times New Roman"/>
          <w:sz w:val="24"/>
          <w:szCs w:val="24"/>
        </w:rPr>
        <w:t xml:space="preserve">the </w:t>
      </w:r>
      <w:r>
        <w:rPr>
          <w:rFonts w:ascii="Times New Roman" w:hAnsi="Times New Roman"/>
          <w:sz w:val="24"/>
          <w:szCs w:val="24"/>
        </w:rPr>
        <w:t xml:space="preserve"> residential</w:t>
      </w:r>
      <w:proofErr w:type="gramEnd"/>
      <w:r>
        <w:rPr>
          <w:rFonts w:ascii="Times New Roman" w:hAnsi="Times New Roman"/>
          <w:sz w:val="24"/>
          <w:szCs w:val="24"/>
        </w:rPr>
        <w:t xml:space="preserve"> </w:t>
      </w:r>
      <w:r w:rsidR="00145F73">
        <w:rPr>
          <w:rFonts w:ascii="Times New Roman" w:hAnsi="Times New Roman"/>
          <w:sz w:val="24"/>
          <w:szCs w:val="24"/>
        </w:rPr>
        <w:t>placement, Alistair</w:t>
      </w:r>
      <w:r>
        <w:rPr>
          <w:rFonts w:ascii="Times New Roman" w:hAnsi="Times New Roman"/>
          <w:sz w:val="24"/>
          <w:szCs w:val="24"/>
        </w:rPr>
        <w:t xml:space="preserve"> was taken to the emergency room five (5) times for suicidal ideation and self-harming behavior.</w:t>
      </w:r>
    </w:p>
    <w:p w14:paraId="2C93ACBD" w14:textId="2C650509" w:rsidR="0006098F" w:rsidRDefault="00BB3430" w:rsidP="00331E3A">
      <w:pPr>
        <w:pStyle w:val="NoSpacing"/>
        <w:rPr>
          <w:rFonts w:ascii="Times New Roman" w:hAnsi="Times New Roman"/>
          <w:sz w:val="24"/>
          <w:szCs w:val="24"/>
        </w:rPr>
      </w:pPr>
      <w:r>
        <w:rPr>
          <w:rFonts w:ascii="Times New Roman" w:hAnsi="Times New Roman"/>
          <w:sz w:val="24"/>
          <w:szCs w:val="24"/>
        </w:rPr>
        <w:lastRenderedPageBreak/>
        <w:t>6.</w:t>
      </w:r>
      <w:r>
        <w:rPr>
          <w:rFonts w:ascii="Times New Roman" w:hAnsi="Times New Roman"/>
          <w:sz w:val="24"/>
          <w:szCs w:val="24"/>
        </w:rPr>
        <w:tab/>
        <w:t xml:space="preserve">On or about August 20, 2013, Alistair applied for Service Authorization with DMH </w:t>
      </w:r>
      <w:proofErr w:type="gramStart"/>
      <w:r>
        <w:rPr>
          <w:rFonts w:ascii="Times New Roman" w:hAnsi="Times New Roman"/>
          <w:sz w:val="24"/>
          <w:szCs w:val="24"/>
        </w:rPr>
        <w:t xml:space="preserve">pursuant to 104 CMR 29.00 </w:t>
      </w:r>
      <w:r>
        <w:rPr>
          <w:rFonts w:ascii="Times New Roman" w:hAnsi="Times New Roman"/>
          <w:i/>
          <w:sz w:val="24"/>
          <w:szCs w:val="24"/>
        </w:rPr>
        <w:t>et seq.</w:t>
      </w:r>
      <w:proofErr w:type="gramEnd"/>
      <w:r>
        <w:rPr>
          <w:rFonts w:ascii="Times New Roman" w:hAnsi="Times New Roman"/>
          <w:sz w:val="24"/>
          <w:szCs w:val="24"/>
        </w:rPr>
        <w:t xml:space="preserve"> </w:t>
      </w:r>
    </w:p>
    <w:p w14:paraId="38569ADD" w14:textId="77777777" w:rsidR="0006098F" w:rsidRDefault="0006098F" w:rsidP="00331E3A">
      <w:pPr>
        <w:pStyle w:val="NoSpacing"/>
        <w:rPr>
          <w:rFonts w:ascii="Times New Roman" w:hAnsi="Times New Roman"/>
          <w:sz w:val="24"/>
          <w:szCs w:val="24"/>
        </w:rPr>
      </w:pPr>
    </w:p>
    <w:p w14:paraId="2A28A79F" w14:textId="3A1B68C0" w:rsidR="00BB3430" w:rsidRDefault="0006098F" w:rsidP="00331E3A">
      <w:pPr>
        <w:pStyle w:val="NoSpacing"/>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r>
      <w:r w:rsidR="003C34D3">
        <w:rPr>
          <w:rFonts w:ascii="Times New Roman" w:hAnsi="Times New Roman"/>
          <w:sz w:val="24"/>
          <w:szCs w:val="24"/>
        </w:rPr>
        <w:t>In November</w:t>
      </w:r>
      <w:r w:rsidR="00BB3430">
        <w:rPr>
          <w:rFonts w:ascii="Times New Roman" w:hAnsi="Times New Roman"/>
          <w:sz w:val="24"/>
          <w:szCs w:val="24"/>
        </w:rPr>
        <w:t xml:space="preserve"> 2013, Dr. Janice Goldstein, Ph.D. performed a neuropsychological examination of Alistair.  She concluded that he “presents with issues consistent with Asperger’</w:t>
      </w:r>
      <w:r w:rsidR="00E46BD9">
        <w:rPr>
          <w:rFonts w:ascii="Times New Roman" w:hAnsi="Times New Roman"/>
          <w:sz w:val="24"/>
          <w:szCs w:val="24"/>
        </w:rPr>
        <w:t>s Syndrome, Mood Dis</w:t>
      </w:r>
      <w:r w:rsidR="00BB3430">
        <w:rPr>
          <w:rFonts w:ascii="Times New Roman" w:hAnsi="Times New Roman"/>
          <w:sz w:val="24"/>
          <w:szCs w:val="24"/>
        </w:rPr>
        <w:t>order, Anxiety Disorder, and an emerging Thought Disorder/</w:t>
      </w:r>
      <w:r w:rsidR="00BF0DE0">
        <w:rPr>
          <w:rFonts w:ascii="Times New Roman" w:hAnsi="Times New Roman"/>
          <w:sz w:val="24"/>
          <w:szCs w:val="24"/>
        </w:rPr>
        <w:t xml:space="preserve"> </w:t>
      </w:r>
      <w:r w:rsidR="00BB3430">
        <w:rPr>
          <w:rFonts w:ascii="Times New Roman" w:hAnsi="Times New Roman"/>
          <w:sz w:val="24"/>
          <w:szCs w:val="24"/>
        </w:rPr>
        <w:t>Schizoaffective Disorder, as well as a Disorder of Written Expression and Dyscalculia.</w:t>
      </w:r>
      <w:r w:rsidR="00976D70">
        <w:rPr>
          <w:rFonts w:ascii="Times New Roman" w:hAnsi="Times New Roman"/>
          <w:sz w:val="24"/>
          <w:szCs w:val="24"/>
        </w:rPr>
        <w:t>”</w:t>
      </w:r>
    </w:p>
    <w:p w14:paraId="3A7EE277" w14:textId="77777777" w:rsidR="00145F73" w:rsidRDefault="00145F73" w:rsidP="00331E3A">
      <w:pPr>
        <w:pStyle w:val="NoSpacing"/>
        <w:rPr>
          <w:rFonts w:ascii="Times New Roman" w:hAnsi="Times New Roman"/>
          <w:sz w:val="24"/>
          <w:szCs w:val="24"/>
        </w:rPr>
      </w:pPr>
    </w:p>
    <w:p w14:paraId="30C2D1EA" w14:textId="27BC39F0" w:rsidR="00145F73" w:rsidRDefault="00E46BD9" w:rsidP="00331E3A">
      <w:pPr>
        <w:pStyle w:val="NoSpacing"/>
        <w:rPr>
          <w:rFonts w:ascii="Times New Roman" w:hAnsi="Times New Roman"/>
          <w:sz w:val="24"/>
          <w:szCs w:val="24"/>
        </w:rPr>
      </w:pPr>
      <w:r>
        <w:rPr>
          <w:rFonts w:ascii="Times New Roman" w:hAnsi="Times New Roman"/>
          <w:sz w:val="24"/>
          <w:szCs w:val="24"/>
        </w:rPr>
        <w:t xml:space="preserve">8.  </w:t>
      </w:r>
      <w:r w:rsidR="00E27947">
        <w:rPr>
          <w:rFonts w:ascii="Times New Roman" w:hAnsi="Times New Roman"/>
          <w:sz w:val="24"/>
          <w:szCs w:val="24"/>
        </w:rPr>
        <w:tab/>
      </w:r>
      <w:r>
        <w:rPr>
          <w:rFonts w:ascii="Times New Roman" w:hAnsi="Times New Roman"/>
          <w:sz w:val="24"/>
          <w:szCs w:val="24"/>
        </w:rPr>
        <w:t>On January 15</w:t>
      </w:r>
      <w:r w:rsidR="00145F73">
        <w:rPr>
          <w:rFonts w:ascii="Times New Roman" w:hAnsi="Times New Roman"/>
          <w:sz w:val="24"/>
          <w:szCs w:val="24"/>
        </w:rPr>
        <w:t xml:space="preserve">, 2014, </w:t>
      </w:r>
      <w:r>
        <w:rPr>
          <w:rFonts w:ascii="Times New Roman" w:hAnsi="Times New Roman"/>
          <w:sz w:val="24"/>
          <w:szCs w:val="24"/>
        </w:rPr>
        <w:t xml:space="preserve">Parents were informed by letter that DMH had </w:t>
      </w:r>
      <w:r w:rsidR="00145F73">
        <w:rPr>
          <w:rFonts w:ascii="Times New Roman" w:hAnsi="Times New Roman"/>
          <w:sz w:val="24"/>
          <w:szCs w:val="24"/>
        </w:rPr>
        <w:t>rejected Alistair’s application</w:t>
      </w:r>
      <w:r>
        <w:rPr>
          <w:rFonts w:ascii="Times New Roman" w:hAnsi="Times New Roman"/>
          <w:sz w:val="24"/>
          <w:szCs w:val="24"/>
        </w:rPr>
        <w:t xml:space="preserve"> because it had determined that</w:t>
      </w:r>
      <w:r w:rsidR="00145F73">
        <w:rPr>
          <w:rFonts w:ascii="Times New Roman" w:hAnsi="Times New Roman"/>
          <w:sz w:val="24"/>
          <w:szCs w:val="24"/>
        </w:rPr>
        <w:t xml:space="preserve"> he did </w:t>
      </w:r>
      <w:r>
        <w:rPr>
          <w:rFonts w:ascii="Times New Roman" w:hAnsi="Times New Roman"/>
          <w:sz w:val="24"/>
          <w:szCs w:val="24"/>
        </w:rPr>
        <w:t xml:space="preserve">not have a qualifying psychiatric disorder and therefore did </w:t>
      </w:r>
      <w:r w:rsidR="00145F73">
        <w:rPr>
          <w:rFonts w:ascii="Times New Roman" w:hAnsi="Times New Roman"/>
          <w:sz w:val="24"/>
          <w:szCs w:val="24"/>
        </w:rPr>
        <w:t xml:space="preserve">not meet the clinical criteria </w:t>
      </w:r>
      <w:r w:rsidR="00BF0DE0">
        <w:rPr>
          <w:rFonts w:ascii="Times New Roman" w:hAnsi="Times New Roman"/>
          <w:sz w:val="24"/>
          <w:szCs w:val="24"/>
        </w:rPr>
        <w:t>for D</w:t>
      </w:r>
      <w:r>
        <w:rPr>
          <w:rFonts w:ascii="Times New Roman" w:hAnsi="Times New Roman"/>
          <w:sz w:val="24"/>
          <w:szCs w:val="24"/>
        </w:rPr>
        <w:t xml:space="preserve">MH service authorization.  </w:t>
      </w:r>
      <w:r w:rsidR="00145F73">
        <w:rPr>
          <w:rFonts w:ascii="Times New Roman" w:hAnsi="Times New Roman"/>
          <w:sz w:val="24"/>
          <w:szCs w:val="24"/>
        </w:rPr>
        <w:t>Parents did not request an informal conference or reconsideration in order to appeal this determination pursuant to 104 CMR 29.16(3)</w:t>
      </w:r>
      <w:r>
        <w:rPr>
          <w:rStyle w:val="FootnoteReference"/>
          <w:rFonts w:ascii="Times New Roman" w:hAnsi="Times New Roman"/>
          <w:sz w:val="24"/>
          <w:szCs w:val="24"/>
        </w:rPr>
        <w:footnoteReference w:id="2"/>
      </w:r>
      <w:r w:rsidR="00145F73">
        <w:rPr>
          <w:rFonts w:ascii="Times New Roman" w:hAnsi="Times New Roman"/>
          <w:sz w:val="24"/>
          <w:szCs w:val="24"/>
        </w:rPr>
        <w:t>.</w:t>
      </w:r>
    </w:p>
    <w:p w14:paraId="1BB1C7C8" w14:textId="77777777" w:rsidR="00BB3430" w:rsidRDefault="00BB3430" w:rsidP="00331E3A">
      <w:pPr>
        <w:pStyle w:val="NoSpacing"/>
        <w:rPr>
          <w:rFonts w:ascii="Times New Roman" w:hAnsi="Times New Roman"/>
          <w:sz w:val="24"/>
          <w:szCs w:val="24"/>
        </w:rPr>
      </w:pPr>
    </w:p>
    <w:p w14:paraId="0E49F76F" w14:textId="418E562A" w:rsidR="00BB3430" w:rsidRDefault="00145F73" w:rsidP="00331E3A">
      <w:pPr>
        <w:pStyle w:val="NoSpacing"/>
        <w:rPr>
          <w:rFonts w:ascii="Times New Roman" w:hAnsi="Times New Roman"/>
          <w:sz w:val="24"/>
          <w:szCs w:val="24"/>
        </w:rPr>
      </w:pPr>
      <w:r>
        <w:rPr>
          <w:rFonts w:ascii="Times New Roman" w:hAnsi="Times New Roman"/>
          <w:sz w:val="24"/>
          <w:szCs w:val="24"/>
        </w:rPr>
        <w:t>9</w:t>
      </w:r>
      <w:r w:rsidR="00BB3430">
        <w:rPr>
          <w:rFonts w:ascii="Times New Roman" w:hAnsi="Times New Roman"/>
          <w:sz w:val="24"/>
          <w:szCs w:val="24"/>
        </w:rPr>
        <w:t xml:space="preserve">.  </w:t>
      </w:r>
      <w:r w:rsidR="00BB3430">
        <w:rPr>
          <w:rFonts w:ascii="Times New Roman" w:hAnsi="Times New Roman"/>
          <w:sz w:val="24"/>
          <w:szCs w:val="24"/>
        </w:rPr>
        <w:tab/>
        <w:t xml:space="preserve">A proposed IEP </w:t>
      </w:r>
      <w:r w:rsidR="00BF0DE0">
        <w:rPr>
          <w:rFonts w:ascii="Times New Roman" w:hAnsi="Times New Roman"/>
          <w:sz w:val="24"/>
          <w:szCs w:val="24"/>
        </w:rPr>
        <w:t>dated 2/3/2014-2/2/2015 continued Alistair’s placement in the day program</w:t>
      </w:r>
      <w:r w:rsidR="00BB3430">
        <w:rPr>
          <w:rFonts w:ascii="Times New Roman" w:hAnsi="Times New Roman"/>
          <w:sz w:val="24"/>
          <w:szCs w:val="24"/>
        </w:rPr>
        <w:t xml:space="preserve"> at St. Ann’s.  Parents partially rejected this IEP on September 23, 2014 and rejected placement in the day program at St. Ann’s.</w:t>
      </w:r>
    </w:p>
    <w:p w14:paraId="6ED35821" w14:textId="77777777" w:rsidR="00BB3430" w:rsidRDefault="00BB3430" w:rsidP="00331E3A">
      <w:pPr>
        <w:pStyle w:val="NoSpacing"/>
        <w:rPr>
          <w:rFonts w:ascii="Times New Roman" w:hAnsi="Times New Roman"/>
          <w:sz w:val="24"/>
          <w:szCs w:val="24"/>
        </w:rPr>
      </w:pPr>
    </w:p>
    <w:p w14:paraId="5DB61146" w14:textId="699F585F" w:rsidR="0006098F" w:rsidRDefault="00145F73" w:rsidP="00331E3A">
      <w:pPr>
        <w:pStyle w:val="NoSpacing"/>
        <w:rPr>
          <w:rFonts w:ascii="Times New Roman" w:hAnsi="Times New Roman"/>
          <w:sz w:val="24"/>
          <w:szCs w:val="24"/>
        </w:rPr>
      </w:pPr>
      <w:r>
        <w:rPr>
          <w:rFonts w:ascii="Times New Roman" w:hAnsi="Times New Roman"/>
          <w:sz w:val="24"/>
          <w:szCs w:val="24"/>
        </w:rPr>
        <w:t>10</w:t>
      </w:r>
      <w:r w:rsidR="00BB3430">
        <w:rPr>
          <w:rFonts w:ascii="Times New Roman" w:hAnsi="Times New Roman"/>
          <w:sz w:val="24"/>
          <w:szCs w:val="24"/>
        </w:rPr>
        <w:t>.</w:t>
      </w:r>
      <w:r w:rsidR="00BB3430">
        <w:rPr>
          <w:rFonts w:ascii="Times New Roman" w:hAnsi="Times New Roman"/>
          <w:sz w:val="24"/>
          <w:szCs w:val="24"/>
        </w:rPr>
        <w:tab/>
      </w:r>
      <w:r w:rsidR="003C34D3">
        <w:rPr>
          <w:rFonts w:ascii="Times New Roman" w:hAnsi="Times New Roman"/>
          <w:sz w:val="24"/>
          <w:szCs w:val="24"/>
        </w:rPr>
        <w:t>During May</w:t>
      </w:r>
      <w:r w:rsidR="00BB3430">
        <w:rPr>
          <w:rFonts w:ascii="Times New Roman" w:hAnsi="Times New Roman"/>
          <w:sz w:val="24"/>
          <w:szCs w:val="24"/>
        </w:rPr>
        <w:t xml:space="preserve"> 2014, Alistair was placed in a Community Based Acute Treatment Program (CBAT) for a week af</w:t>
      </w:r>
      <w:r w:rsidR="00E27947">
        <w:rPr>
          <w:rFonts w:ascii="Times New Roman" w:hAnsi="Times New Roman"/>
          <w:sz w:val="24"/>
          <w:szCs w:val="24"/>
        </w:rPr>
        <w:t>ter a suicide attempt.  In June</w:t>
      </w:r>
      <w:r w:rsidR="00BB3430">
        <w:rPr>
          <w:rFonts w:ascii="Times New Roman" w:hAnsi="Times New Roman"/>
          <w:sz w:val="24"/>
          <w:szCs w:val="24"/>
        </w:rPr>
        <w:t xml:space="preserve"> 2014, he was admitted to Cambridge Hospital for seven (7) days after a suicide attempt, then stepped down to the CBAT again. </w:t>
      </w:r>
    </w:p>
    <w:p w14:paraId="0E1B2040" w14:textId="77777777" w:rsidR="00BB3430" w:rsidRDefault="00BB3430" w:rsidP="00331E3A">
      <w:pPr>
        <w:pStyle w:val="NoSpacing"/>
        <w:rPr>
          <w:rFonts w:ascii="Times New Roman" w:hAnsi="Times New Roman"/>
          <w:sz w:val="24"/>
          <w:szCs w:val="24"/>
        </w:rPr>
      </w:pPr>
    </w:p>
    <w:p w14:paraId="41B0F883" w14:textId="0856C004" w:rsidR="00BB3430" w:rsidRDefault="00145F73" w:rsidP="00331E3A">
      <w:pPr>
        <w:pStyle w:val="NoSpacing"/>
        <w:rPr>
          <w:rFonts w:ascii="Times New Roman" w:hAnsi="Times New Roman"/>
          <w:sz w:val="24"/>
          <w:szCs w:val="24"/>
        </w:rPr>
      </w:pPr>
      <w:r>
        <w:rPr>
          <w:rFonts w:ascii="Times New Roman" w:hAnsi="Times New Roman"/>
          <w:sz w:val="24"/>
          <w:szCs w:val="24"/>
        </w:rPr>
        <w:t>11</w:t>
      </w:r>
      <w:r w:rsidR="00BB3430">
        <w:rPr>
          <w:rFonts w:ascii="Times New Roman" w:hAnsi="Times New Roman"/>
          <w:sz w:val="24"/>
          <w:szCs w:val="24"/>
        </w:rPr>
        <w:t>.</w:t>
      </w:r>
      <w:r w:rsidR="00BB3430">
        <w:rPr>
          <w:rFonts w:ascii="Times New Roman" w:hAnsi="Times New Roman"/>
          <w:sz w:val="24"/>
          <w:szCs w:val="24"/>
        </w:rPr>
        <w:tab/>
        <w:t xml:space="preserve">Alistair is currently hospitalized at </w:t>
      </w:r>
      <w:proofErr w:type="spellStart"/>
      <w:r w:rsidR="00BB3430">
        <w:rPr>
          <w:rFonts w:ascii="Times New Roman" w:hAnsi="Times New Roman"/>
          <w:sz w:val="24"/>
          <w:szCs w:val="24"/>
        </w:rPr>
        <w:t>Arbour</w:t>
      </w:r>
      <w:proofErr w:type="spellEnd"/>
      <w:r w:rsidR="00BB3430">
        <w:rPr>
          <w:rFonts w:ascii="Times New Roman" w:hAnsi="Times New Roman"/>
          <w:sz w:val="24"/>
          <w:szCs w:val="24"/>
        </w:rPr>
        <w:t xml:space="preserve"> Fuller Hospital following a suicide attempt on September 25, 2014.</w:t>
      </w:r>
    </w:p>
    <w:p w14:paraId="33346176" w14:textId="77777777" w:rsidR="00E46BD9" w:rsidRDefault="00E46BD9" w:rsidP="00331E3A">
      <w:pPr>
        <w:pStyle w:val="NoSpacing"/>
        <w:rPr>
          <w:rFonts w:ascii="Times New Roman" w:hAnsi="Times New Roman"/>
          <w:sz w:val="24"/>
          <w:szCs w:val="24"/>
        </w:rPr>
      </w:pPr>
    </w:p>
    <w:p w14:paraId="7B8BAC74" w14:textId="3FA5EB8A" w:rsidR="00E46BD9" w:rsidRDefault="00E46BD9" w:rsidP="00331E3A">
      <w:pPr>
        <w:pStyle w:val="NoSpacing"/>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On or about September 29, 2014, Parents, through Counsel, sent a letter to the Area Director of Child/Adolescent Serv</w:t>
      </w:r>
      <w:r w:rsidR="00E27947">
        <w:rPr>
          <w:rFonts w:ascii="Times New Roman" w:hAnsi="Times New Roman"/>
          <w:sz w:val="24"/>
          <w:szCs w:val="24"/>
        </w:rPr>
        <w:t>ices for DMH requesting that Alistair’s</w:t>
      </w:r>
      <w:r>
        <w:rPr>
          <w:rFonts w:ascii="Times New Roman" w:hAnsi="Times New Roman"/>
          <w:sz w:val="24"/>
          <w:szCs w:val="24"/>
        </w:rPr>
        <w:t xml:space="preserve"> application be reconsidered.</w:t>
      </w:r>
      <w:r w:rsidR="00236E5A">
        <w:rPr>
          <w:rStyle w:val="FootnoteReference"/>
          <w:rFonts w:ascii="Times New Roman" w:hAnsi="Times New Roman"/>
          <w:sz w:val="24"/>
          <w:szCs w:val="24"/>
        </w:rPr>
        <w:footnoteReference w:id="3"/>
      </w:r>
    </w:p>
    <w:p w14:paraId="424654E3" w14:textId="77777777" w:rsidR="00145F73" w:rsidRDefault="00145F73" w:rsidP="00331E3A">
      <w:pPr>
        <w:pStyle w:val="NoSpacing"/>
        <w:rPr>
          <w:rFonts w:ascii="Times New Roman" w:hAnsi="Times New Roman"/>
          <w:sz w:val="24"/>
          <w:szCs w:val="24"/>
        </w:rPr>
      </w:pPr>
    </w:p>
    <w:p w14:paraId="1F3372A4" w14:textId="27F3D0C8" w:rsidR="00145F73" w:rsidRDefault="00145F73" w:rsidP="00331E3A">
      <w:pPr>
        <w:pStyle w:val="NoSpacing"/>
        <w:rPr>
          <w:rFonts w:ascii="Times New Roman" w:hAnsi="Times New Roman"/>
          <w:sz w:val="24"/>
          <w:szCs w:val="24"/>
        </w:rPr>
      </w:pPr>
      <w:r>
        <w:rPr>
          <w:rFonts w:ascii="Times New Roman" w:hAnsi="Times New Roman"/>
          <w:sz w:val="24"/>
          <w:szCs w:val="24"/>
        </w:rPr>
        <w:t>1</w:t>
      </w:r>
      <w:r w:rsidR="00236E5A">
        <w:rPr>
          <w:rFonts w:ascii="Times New Roman" w:hAnsi="Times New Roman"/>
          <w:sz w:val="24"/>
          <w:szCs w:val="24"/>
        </w:rPr>
        <w:t>3</w:t>
      </w:r>
      <w:r>
        <w:rPr>
          <w:rFonts w:ascii="Times New Roman" w:hAnsi="Times New Roman"/>
          <w:sz w:val="24"/>
          <w:szCs w:val="24"/>
        </w:rPr>
        <w:t>.</w:t>
      </w:r>
      <w:r>
        <w:rPr>
          <w:rFonts w:ascii="Times New Roman" w:hAnsi="Times New Roman"/>
          <w:sz w:val="24"/>
          <w:szCs w:val="24"/>
        </w:rPr>
        <w:tab/>
        <w:t xml:space="preserve">On October 1, 2014, Parents filed an Expedited Hearing Request at the Bureau of Special Education Appeals (hereinafter “BSEA”) seeking a determination that, among other things, Alistair required placement at the </w:t>
      </w:r>
      <w:proofErr w:type="spellStart"/>
      <w:r>
        <w:rPr>
          <w:rFonts w:ascii="Times New Roman" w:hAnsi="Times New Roman"/>
          <w:sz w:val="24"/>
          <w:szCs w:val="24"/>
        </w:rPr>
        <w:t>Wediko</w:t>
      </w:r>
      <w:proofErr w:type="spellEnd"/>
      <w:r>
        <w:rPr>
          <w:rFonts w:ascii="Times New Roman" w:hAnsi="Times New Roman"/>
          <w:sz w:val="24"/>
          <w:szCs w:val="24"/>
        </w:rPr>
        <w:t xml:space="preserve"> School or other similar appropriate self-contained residential educational placement in order to receive a free appropriate public education.</w:t>
      </w:r>
    </w:p>
    <w:p w14:paraId="2BBA0E43" w14:textId="77777777" w:rsidR="00145F73" w:rsidRDefault="00145F73" w:rsidP="00331E3A">
      <w:pPr>
        <w:pStyle w:val="NoSpacing"/>
        <w:rPr>
          <w:rFonts w:ascii="Times New Roman" w:hAnsi="Times New Roman"/>
          <w:sz w:val="24"/>
          <w:szCs w:val="24"/>
        </w:rPr>
      </w:pPr>
    </w:p>
    <w:p w14:paraId="707C8F7A" w14:textId="1DD43A01" w:rsidR="00E46BD9" w:rsidRDefault="00236E5A" w:rsidP="00331E3A">
      <w:pPr>
        <w:pStyle w:val="NoSpacing"/>
        <w:rPr>
          <w:rFonts w:ascii="Times New Roman" w:hAnsi="Times New Roman"/>
          <w:sz w:val="24"/>
          <w:szCs w:val="24"/>
        </w:rPr>
      </w:pPr>
      <w:r>
        <w:rPr>
          <w:rFonts w:ascii="Times New Roman" w:hAnsi="Times New Roman"/>
          <w:sz w:val="24"/>
          <w:szCs w:val="24"/>
        </w:rPr>
        <w:t>14</w:t>
      </w:r>
      <w:r w:rsidR="00E46BD9">
        <w:rPr>
          <w:rFonts w:ascii="Times New Roman" w:hAnsi="Times New Roman"/>
          <w:sz w:val="24"/>
          <w:szCs w:val="24"/>
        </w:rPr>
        <w:t>.</w:t>
      </w:r>
      <w:r w:rsidR="00E46BD9">
        <w:rPr>
          <w:rFonts w:ascii="Times New Roman" w:hAnsi="Times New Roman"/>
          <w:sz w:val="24"/>
          <w:szCs w:val="24"/>
        </w:rPr>
        <w:tab/>
        <w:t xml:space="preserve">On October 7, 2014, DMH filed a </w:t>
      </w:r>
      <w:r>
        <w:rPr>
          <w:rFonts w:ascii="Times New Roman" w:hAnsi="Times New Roman"/>
          <w:sz w:val="24"/>
          <w:szCs w:val="24"/>
        </w:rPr>
        <w:t xml:space="preserve">Motion to Dismiss DMH as </w:t>
      </w:r>
      <w:r w:rsidR="00E46BD9">
        <w:rPr>
          <w:rFonts w:ascii="Times New Roman" w:hAnsi="Times New Roman"/>
          <w:sz w:val="24"/>
          <w:szCs w:val="24"/>
        </w:rPr>
        <w:t xml:space="preserve">Party from Parents’ BSEA Hearing Request, asserting that: (1) </w:t>
      </w:r>
      <w:r>
        <w:rPr>
          <w:rFonts w:ascii="Times New Roman" w:hAnsi="Times New Roman"/>
          <w:sz w:val="24"/>
          <w:szCs w:val="24"/>
        </w:rPr>
        <w:t>Alistair does not meet the clinical criteria for DMH service authorization and DMH has in fact</w:t>
      </w:r>
      <w:r w:rsidR="00E46BD9">
        <w:rPr>
          <w:rFonts w:ascii="Times New Roman" w:hAnsi="Times New Roman"/>
          <w:sz w:val="24"/>
          <w:szCs w:val="24"/>
        </w:rPr>
        <w:t xml:space="preserve"> previously rejected Alistair’s application because it had determined that his primary impairment is as a result of Traumatic Brain Injury, which excludes </w:t>
      </w:r>
      <w:r w:rsidR="00E46BD9">
        <w:rPr>
          <w:rFonts w:ascii="Times New Roman" w:hAnsi="Times New Roman"/>
          <w:sz w:val="24"/>
          <w:szCs w:val="24"/>
        </w:rPr>
        <w:lastRenderedPageBreak/>
        <w:t xml:space="preserve">him from DMH services </w:t>
      </w:r>
      <w:r>
        <w:rPr>
          <w:rFonts w:ascii="Times New Roman" w:hAnsi="Times New Roman"/>
          <w:sz w:val="24"/>
          <w:szCs w:val="24"/>
        </w:rPr>
        <w:t>pursuant to 104 CMR 29.04</w:t>
      </w:r>
      <w:r w:rsidR="007B2BC2">
        <w:rPr>
          <w:rFonts w:ascii="Times New Roman" w:hAnsi="Times New Roman"/>
          <w:sz w:val="24"/>
          <w:szCs w:val="24"/>
        </w:rPr>
        <w:t>(3)(a)</w:t>
      </w:r>
      <w:r>
        <w:rPr>
          <w:rFonts w:ascii="Times New Roman" w:hAnsi="Times New Roman"/>
          <w:sz w:val="24"/>
          <w:szCs w:val="24"/>
        </w:rPr>
        <w:t>;</w:t>
      </w:r>
      <w:r w:rsidR="00E46BD9">
        <w:rPr>
          <w:rStyle w:val="FootnoteReference"/>
          <w:rFonts w:ascii="Times New Roman" w:hAnsi="Times New Roman"/>
          <w:sz w:val="24"/>
          <w:szCs w:val="24"/>
        </w:rPr>
        <w:footnoteReference w:id="4"/>
      </w:r>
      <w:r>
        <w:rPr>
          <w:rFonts w:ascii="Times New Roman" w:hAnsi="Times New Roman"/>
          <w:sz w:val="24"/>
          <w:szCs w:val="24"/>
        </w:rPr>
        <w:t xml:space="preserve"> (2) there has been no showing that DMH is either a necessary party or that it has an interest in these proceedings; and (3) there has been no showing of need for services in addition to those to be provided by the school district. </w:t>
      </w:r>
    </w:p>
    <w:p w14:paraId="7EB7B109" w14:textId="77777777" w:rsidR="00236E5A" w:rsidRDefault="00236E5A" w:rsidP="00331E3A">
      <w:pPr>
        <w:pStyle w:val="NoSpacing"/>
        <w:rPr>
          <w:rFonts w:ascii="Times New Roman" w:hAnsi="Times New Roman"/>
          <w:sz w:val="24"/>
          <w:szCs w:val="24"/>
        </w:rPr>
      </w:pPr>
    </w:p>
    <w:p w14:paraId="3B0AC65C" w14:textId="5963ED67" w:rsidR="00236E5A" w:rsidRDefault="00236E5A" w:rsidP="00236E5A">
      <w:pPr>
        <w:pStyle w:val="NoSpacing"/>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 xml:space="preserve">In a letter dated October 7, 2014, members of Alistair’s clinical team at </w:t>
      </w:r>
      <w:proofErr w:type="spellStart"/>
      <w:r>
        <w:rPr>
          <w:rFonts w:ascii="Times New Roman" w:hAnsi="Times New Roman"/>
          <w:sz w:val="24"/>
          <w:szCs w:val="24"/>
        </w:rPr>
        <w:t>Arbour</w:t>
      </w:r>
      <w:proofErr w:type="spellEnd"/>
      <w:r>
        <w:rPr>
          <w:rFonts w:ascii="Times New Roman" w:hAnsi="Times New Roman"/>
          <w:sz w:val="24"/>
          <w:szCs w:val="24"/>
        </w:rPr>
        <w:t xml:space="preserve"> Fuller stated that Alistair had been diagnosed with Bipolar Disorder by the clinical staff at </w:t>
      </w:r>
      <w:proofErr w:type="spellStart"/>
      <w:r>
        <w:rPr>
          <w:rFonts w:ascii="Times New Roman" w:hAnsi="Times New Roman"/>
          <w:sz w:val="24"/>
          <w:szCs w:val="24"/>
        </w:rPr>
        <w:t>Arbour</w:t>
      </w:r>
      <w:proofErr w:type="spellEnd"/>
      <w:r>
        <w:rPr>
          <w:rFonts w:ascii="Times New Roman" w:hAnsi="Times New Roman"/>
          <w:sz w:val="24"/>
          <w:szCs w:val="24"/>
        </w:rPr>
        <w:t xml:space="preserve"> Fuller Hospital.</w:t>
      </w:r>
    </w:p>
    <w:p w14:paraId="560CE82C" w14:textId="77777777" w:rsidR="00E46BD9" w:rsidRDefault="00E46BD9" w:rsidP="00331E3A">
      <w:pPr>
        <w:pStyle w:val="NoSpacing"/>
        <w:rPr>
          <w:rFonts w:ascii="Times New Roman" w:hAnsi="Times New Roman"/>
          <w:sz w:val="24"/>
          <w:szCs w:val="24"/>
        </w:rPr>
      </w:pPr>
    </w:p>
    <w:p w14:paraId="662F0764" w14:textId="24C64101" w:rsidR="00331E3A" w:rsidRDefault="00E46BD9" w:rsidP="00331E3A">
      <w:pPr>
        <w:pStyle w:val="NoSpacing"/>
        <w:rPr>
          <w:rFonts w:ascii="Times New Roman" w:hAnsi="Times New Roman"/>
          <w:i/>
          <w:sz w:val="24"/>
          <w:szCs w:val="24"/>
        </w:rPr>
      </w:pPr>
      <w:r>
        <w:rPr>
          <w:rFonts w:ascii="Times New Roman" w:hAnsi="Times New Roman"/>
          <w:sz w:val="24"/>
          <w:szCs w:val="24"/>
        </w:rPr>
        <w:t>1</w:t>
      </w:r>
      <w:r w:rsidR="00236E5A">
        <w:rPr>
          <w:rFonts w:ascii="Times New Roman" w:hAnsi="Times New Roman"/>
          <w:sz w:val="24"/>
          <w:szCs w:val="24"/>
        </w:rPr>
        <w:t>6</w:t>
      </w:r>
      <w:r w:rsidR="00145F73">
        <w:rPr>
          <w:rFonts w:ascii="Times New Roman" w:hAnsi="Times New Roman"/>
          <w:sz w:val="24"/>
          <w:szCs w:val="24"/>
        </w:rPr>
        <w:t>.</w:t>
      </w:r>
      <w:r w:rsidR="00145F73">
        <w:rPr>
          <w:rFonts w:ascii="Times New Roman" w:hAnsi="Times New Roman"/>
          <w:sz w:val="24"/>
          <w:szCs w:val="24"/>
        </w:rPr>
        <w:tab/>
        <w:t xml:space="preserve">On or about October 7, 2014, </w:t>
      </w:r>
      <w:r>
        <w:rPr>
          <w:rFonts w:ascii="Times New Roman" w:hAnsi="Times New Roman"/>
          <w:sz w:val="24"/>
          <w:szCs w:val="24"/>
        </w:rPr>
        <w:t xml:space="preserve">Parents submitted a new application for Service Authorization with DMH </w:t>
      </w:r>
      <w:proofErr w:type="gramStart"/>
      <w:r>
        <w:rPr>
          <w:rFonts w:ascii="Times New Roman" w:hAnsi="Times New Roman"/>
          <w:sz w:val="24"/>
          <w:szCs w:val="24"/>
        </w:rPr>
        <w:t xml:space="preserve">pursuant to 104 CMR 29.00 </w:t>
      </w:r>
      <w:r>
        <w:rPr>
          <w:rFonts w:ascii="Times New Roman" w:hAnsi="Times New Roman"/>
          <w:i/>
          <w:sz w:val="24"/>
          <w:szCs w:val="24"/>
        </w:rPr>
        <w:t>et seq.</w:t>
      </w:r>
      <w:proofErr w:type="gramEnd"/>
    </w:p>
    <w:p w14:paraId="64B897BB" w14:textId="77777777" w:rsidR="00236E5A" w:rsidRDefault="00236E5A" w:rsidP="00331E3A">
      <w:pPr>
        <w:pStyle w:val="NoSpacing"/>
        <w:rPr>
          <w:rFonts w:ascii="Times New Roman" w:hAnsi="Times New Roman"/>
          <w:i/>
          <w:sz w:val="24"/>
          <w:szCs w:val="24"/>
        </w:rPr>
      </w:pPr>
    </w:p>
    <w:p w14:paraId="18A1CF02" w14:textId="3AFE5874" w:rsidR="00236E5A" w:rsidRPr="00236E5A" w:rsidRDefault="00236E5A" w:rsidP="00331E3A">
      <w:pPr>
        <w:pStyle w:val="NoSpacing"/>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On October 8, 2014, Parents</w:t>
      </w:r>
      <w:r w:rsidR="00976D70">
        <w:rPr>
          <w:rFonts w:ascii="Times New Roman" w:hAnsi="Times New Roman"/>
          <w:sz w:val="24"/>
          <w:szCs w:val="24"/>
        </w:rPr>
        <w:t xml:space="preserve"> and Andover</w:t>
      </w:r>
      <w:r>
        <w:rPr>
          <w:rFonts w:ascii="Times New Roman" w:hAnsi="Times New Roman"/>
          <w:sz w:val="24"/>
          <w:szCs w:val="24"/>
        </w:rPr>
        <w:t xml:space="preserve"> filed a written </w:t>
      </w:r>
      <w:r w:rsidR="00976D70">
        <w:rPr>
          <w:rFonts w:ascii="Times New Roman" w:hAnsi="Times New Roman"/>
          <w:sz w:val="24"/>
          <w:szCs w:val="24"/>
        </w:rPr>
        <w:t>Joint Opposition</w:t>
      </w:r>
      <w:r>
        <w:rPr>
          <w:rFonts w:ascii="Times New Roman" w:hAnsi="Times New Roman"/>
          <w:sz w:val="24"/>
          <w:szCs w:val="24"/>
        </w:rPr>
        <w:t xml:space="preserve"> to DMH’s Motion to Dismiss DMH as a Party, asserting that given Alistair’s increase in psychiatric symptoms and changes in his presentation since DMH’s denial of services it is li</w:t>
      </w:r>
      <w:r w:rsidR="007C4089">
        <w:rPr>
          <w:rFonts w:ascii="Times New Roman" w:hAnsi="Times New Roman"/>
          <w:sz w:val="24"/>
          <w:szCs w:val="24"/>
        </w:rPr>
        <w:t>kely he would be found eligible, and that in addition,</w:t>
      </w:r>
      <w:r>
        <w:rPr>
          <w:rFonts w:ascii="Times New Roman" w:hAnsi="Times New Roman"/>
          <w:sz w:val="24"/>
          <w:szCs w:val="24"/>
        </w:rPr>
        <w:t xml:space="preserve"> DMH has been sending a case manager to attend Alistair’s IEP meetings,</w:t>
      </w:r>
      <w:r w:rsidR="007C4089">
        <w:rPr>
          <w:rFonts w:ascii="Times New Roman" w:hAnsi="Times New Roman"/>
          <w:sz w:val="24"/>
          <w:szCs w:val="24"/>
        </w:rPr>
        <w:t xml:space="preserve"> which indicates DMH’s expectation that it will provide services to him despite having rejected his application</w:t>
      </w:r>
      <w:r w:rsidR="00976D70">
        <w:rPr>
          <w:rFonts w:ascii="Times New Roman" w:hAnsi="Times New Roman"/>
          <w:sz w:val="24"/>
          <w:szCs w:val="24"/>
        </w:rPr>
        <w:t>.</w:t>
      </w:r>
    </w:p>
    <w:p w14:paraId="3FAE6A36" w14:textId="77777777" w:rsidR="00331E3A" w:rsidRPr="008E61AB" w:rsidRDefault="00331E3A" w:rsidP="00331E3A">
      <w:pPr>
        <w:pStyle w:val="NoSpacing"/>
        <w:rPr>
          <w:rFonts w:ascii="Times New Roman" w:hAnsi="Times New Roman"/>
        </w:rPr>
      </w:pPr>
    </w:p>
    <w:p w14:paraId="3518B69A" w14:textId="77777777" w:rsidR="00331E3A" w:rsidRDefault="00331E3A" w:rsidP="00331E3A">
      <w:pPr>
        <w:pStyle w:val="NoSpacing"/>
        <w:rPr>
          <w:rFonts w:ascii="Times New Roman" w:hAnsi="Times New Roman" w:cs="Times New Roman"/>
          <w:sz w:val="24"/>
          <w:szCs w:val="24"/>
        </w:rPr>
      </w:pPr>
    </w:p>
    <w:p w14:paraId="5CCF8EAD" w14:textId="77777777" w:rsidR="00331E3A" w:rsidRDefault="00331E3A" w:rsidP="00331E3A">
      <w:pPr>
        <w:pStyle w:val="NoSpacing"/>
        <w:rPr>
          <w:rFonts w:ascii="Times New Roman" w:hAnsi="Times New Roman" w:cs="Times New Roman"/>
          <w:sz w:val="24"/>
          <w:szCs w:val="24"/>
        </w:rPr>
      </w:pPr>
    </w:p>
    <w:p w14:paraId="496FFAF3" w14:textId="04681C2F" w:rsidR="00331E3A" w:rsidRPr="00331E3A" w:rsidRDefault="00E950DC" w:rsidP="00331E3A">
      <w:pPr>
        <w:pStyle w:val="NoSpacing"/>
        <w:rPr>
          <w:rFonts w:ascii="Times New Roman" w:hAnsi="Times New Roman" w:cs="Times New Roman"/>
          <w:sz w:val="24"/>
          <w:szCs w:val="24"/>
          <w:u w:val="single"/>
        </w:rPr>
      </w:pPr>
      <w:r>
        <w:rPr>
          <w:rFonts w:ascii="Times New Roman" w:hAnsi="Times New Roman" w:cs="Times New Roman"/>
          <w:sz w:val="24"/>
          <w:szCs w:val="24"/>
          <w:u w:val="single"/>
        </w:rPr>
        <w:t>LEGAL STANDARDS</w:t>
      </w:r>
    </w:p>
    <w:p w14:paraId="67FB1DC2" w14:textId="77777777" w:rsidR="00331E3A" w:rsidRPr="00331E3A" w:rsidRDefault="00331E3A" w:rsidP="00331E3A">
      <w:pPr>
        <w:pStyle w:val="NoSpacing"/>
        <w:rPr>
          <w:rFonts w:ascii="Times New Roman" w:hAnsi="Times New Roman" w:cs="Times New Roman"/>
          <w:sz w:val="24"/>
          <w:szCs w:val="24"/>
        </w:rPr>
      </w:pPr>
    </w:p>
    <w:p w14:paraId="0FB69210" w14:textId="72C2F8BD" w:rsidR="007C4089" w:rsidRDefault="00331E3A" w:rsidP="00331E3A">
      <w:pPr>
        <w:pStyle w:val="NoSpacing"/>
        <w:rPr>
          <w:rFonts w:ascii="Times New Roman" w:hAnsi="Times New Roman" w:cs="Times New Roman"/>
          <w:sz w:val="24"/>
          <w:szCs w:val="24"/>
        </w:rPr>
      </w:pPr>
      <w:r w:rsidRPr="00331E3A">
        <w:rPr>
          <w:rFonts w:ascii="Times New Roman" w:hAnsi="Times New Roman" w:cs="Times New Roman"/>
          <w:sz w:val="24"/>
          <w:szCs w:val="24"/>
        </w:rPr>
        <w:tab/>
      </w:r>
      <w:r w:rsidR="007C4089">
        <w:rPr>
          <w:rFonts w:ascii="Times New Roman" w:hAnsi="Times New Roman" w:cs="Times New Roman"/>
          <w:sz w:val="24"/>
          <w:szCs w:val="24"/>
        </w:rPr>
        <w:t>Although generally a</w:t>
      </w:r>
      <w:r w:rsidRPr="00331E3A">
        <w:rPr>
          <w:rFonts w:ascii="Times New Roman" w:hAnsi="Times New Roman" w:cs="Times New Roman"/>
          <w:sz w:val="24"/>
          <w:szCs w:val="24"/>
        </w:rPr>
        <w:t xml:space="preserve"> Motion to Dismiss may be granted if the party requesting the hearing fails to state a claim for which relie</w:t>
      </w:r>
      <w:r w:rsidR="007C4089">
        <w:rPr>
          <w:rFonts w:ascii="Times New Roman" w:hAnsi="Times New Roman" w:cs="Times New Roman"/>
          <w:sz w:val="24"/>
          <w:szCs w:val="24"/>
        </w:rPr>
        <w:t>f is available through the BSEA, 801 CMR 1.01 (7) (g</w:t>
      </w:r>
      <w:proofErr w:type="gramStart"/>
      <w:r w:rsidR="007C4089">
        <w:rPr>
          <w:rFonts w:ascii="Times New Roman" w:hAnsi="Times New Roman" w:cs="Times New Roman"/>
          <w:sz w:val="24"/>
          <w:szCs w:val="24"/>
        </w:rPr>
        <w:t>)</w:t>
      </w:r>
      <w:r w:rsidRPr="00331E3A">
        <w:rPr>
          <w:rFonts w:ascii="Times New Roman" w:hAnsi="Times New Roman" w:cs="Times New Roman"/>
          <w:sz w:val="24"/>
          <w:szCs w:val="24"/>
        </w:rPr>
        <w:t>(</w:t>
      </w:r>
      <w:proofErr w:type="gramEnd"/>
      <w:r w:rsidRPr="00331E3A">
        <w:rPr>
          <w:rFonts w:ascii="Times New Roman" w:hAnsi="Times New Roman" w:cs="Times New Roman"/>
          <w:sz w:val="24"/>
          <w:szCs w:val="24"/>
        </w:rPr>
        <w:t>3</w:t>
      </w:r>
      <w:r w:rsidR="003C34D3">
        <w:rPr>
          <w:rFonts w:ascii="Times New Roman" w:hAnsi="Times New Roman" w:cs="Times New Roman"/>
          <w:sz w:val="24"/>
          <w:szCs w:val="24"/>
        </w:rPr>
        <w:t>) and</w:t>
      </w:r>
      <w:r w:rsidR="007C4089">
        <w:rPr>
          <w:rFonts w:ascii="Times New Roman" w:hAnsi="Times New Roman" w:cs="Times New Roman"/>
          <w:sz w:val="24"/>
          <w:szCs w:val="24"/>
        </w:rPr>
        <w:t xml:space="preserve"> BSEA Hearing Rules XVII (B)(4), in this case DMH has filed a Motion to Dismiss DMH as a party in the matter, which requires an assessment of whether DMH is properl</w:t>
      </w:r>
      <w:r w:rsidR="00E27947">
        <w:rPr>
          <w:rFonts w:ascii="Times New Roman" w:hAnsi="Times New Roman" w:cs="Times New Roman"/>
          <w:sz w:val="24"/>
          <w:szCs w:val="24"/>
        </w:rPr>
        <w:t>y before the BSEA as a party</w:t>
      </w:r>
      <w:r w:rsidR="007C4089">
        <w:rPr>
          <w:rFonts w:ascii="Times New Roman" w:hAnsi="Times New Roman" w:cs="Times New Roman"/>
          <w:sz w:val="24"/>
          <w:szCs w:val="24"/>
        </w:rPr>
        <w:t xml:space="preserve"> in this matter at this time.  For this reason, although Parents initially filed their hearing request against </w:t>
      </w:r>
      <w:proofErr w:type="gramStart"/>
      <w:r w:rsidR="007C4089">
        <w:rPr>
          <w:rFonts w:ascii="Times New Roman" w:hAnsi="Times New Roman" w:cs="Times New Roman"/>
          <w:sz w:val="24"/>
          <w:szCs w:val="24"/>
        </w:rPr>
        <w:t>both Andover</w:t>
      </w:r>
      <w:proofErr w:type="gramEnd"/>
      <w:r w:rsidR="007C4089">
        <w:rPr>
          <w:rFonts w:ascii="Times New Roman" w:hAnsi="Times New Roman" w:cs="Times New Roman"/>
          <w:sz w:val="24"/>
          <w:szCs w:val="24"/>
        </w:rPr>
        <w:t xml:space="preserve"> and DMH rather than filing a motion to join DMH, </w:t>
      </w:r>
      <w:r w:rsidR="00430C13">
        <w:rPr>
          <w:rFonts w:ascii="Times New Roman" w:hAnsi="Times New Roman" w:cs="Times New Roman"/>
          <w:sz w:val="24"/>
          <w:szCs w:val="24"/>
        </w:rPr>
        <w:t xml:space="preserve">the outcome will be governed by </w:t>
      </w:r>
      <w:r w:rsidR="007C4089">
        <w:rPr>
          <w:rFonts w:ascii="Times New Roman" w:hAnsi="Times New Roman" w:cs="Times New Roman"/>
          <w:sz w:val="24"/>
          <w:szCs w:val="24"/>
        </w:rPr>
        <w:t>the rules for joinder of additional parties</w:t>
      </w:r>
      <w:r w:rsidR="00430C13">
        <w:rPr>
          <w:rFonts w:ascii="Times New Roman" w:hAnsi="Times New Roman" w:cs="Times New Roman"/>
          <w:sz w:val="24"/>
          <w:szCs w:val="24"/>
        </w:rPr>
        <w:t xml:space="preserve"> and BSEA jurisdiction to order that services be provided by state agencies in p</w:t>
      </w:r>
      <w:r w:rsidR="007C4089">
        <w:rPr>
          <w:rFonts w:ascii="Times New Roman" w:hAnsi="Times New Roman" w:cs="Times New Roman"/>
          <w:sz w:val="24"/>
          <w:szCs w:val="24"/>
        </w:rPr>
        <w:t>ending cases.</w:t>
      </w:r>
    </w:p>
    <w:p w14:paraId="7D384AA1" w14:textId="77777777" w:rsidR="007C4089" w:rsidRDefault="007C4089" w:rsidP="00331E3A">
      <w:pPr>
        <w:pStyle w:val="NoSpacing"/>
        <w:rPr>
          <w:rFonts w:ascii="Times New Roman" w:hAnsi="Times New Roman" w:cs="Times New Roman"/>
          <w:sz w:val="24"/>
          <w:szCs w:val="24"/>
        </w:rPr>
      </w:pPr>
    </w:p>
    <w:p w14:paraId="7393EDA2" w14:textId="38AA3FC1" w:rsidR="007C4089" w:rsidRDefault="007C4089" w:rsidP="00331E3A">
      <w:pPr>
        <w:pStyle w:val="NoSpacing"/>
        <w:rPr>
          <w:rFonts w:ascii="Times New Roman" w:hAnsi="Times New Roman" w:cs="Times New Roman"/>
          <w:sz w:val="24"/>
          <w:szCs w:val="24"/>
        </w:rPr>
      </w:pPr>
      <w:r>
        <w:rPr>
          <w:rFonts w:ascii="Times New Roman" w:hAnsi="Times New Roman" w:cs="Times New Roman"/>
          <w:sz w:val="24"/>
          <w:szCs w:val="24"/>
        </w:rPr>
        <w:tab/>
        <w:t xml:space="preserve">The BSEA’s joinder rule, set forth in Rule J of the </w:t>
      </w:r>
      <w:r>
        <w:rPr>
          <w:rFonts w:ascii="Times New Roman" w:hAnsi="Times New Roman" w:cs="Times New Roman"/>
          <w:i/>
          <w:sz w:val="24"/>
          <w:szCs w:val="24"/>
        </w:rPr>
        <w:t>Hearing Rules for Special Education Appeals</w:t>
      </w:r>
      <w:r>
        <w:rPr>
          <w:rFonts w:ascii="Times New Roman" w:hAnsi="Times New Roman" w:cs="Times New Roman"/>
          <w:sz w:val="24"/>
          <w:szCs w:val="24"/>
        </w:rPr>
        <w:t>, provides as follows:</w:t>
      </w:r>
    </w:p>
    <w:p w14:paraId="222320B3" w14:textId="77777777" w:rsidR="007C4089" w:rsidRDefault="007C4089" w:rsidP="00331E3A">
      <w:pPr>
        <w:pStyle w:val="NoSpacing"/>
        <w:rPr>
          <w:rFonts w:ascii="Times New Roman" w:hAnsi="Times New Roman" w:cs="Times New Roman"/>
          <w:sz w:val="24"/>
          <w:szCs w:val="24"/>
        </w:rPr>
      </w:pPr>
    </w:p>
    <w:p w14:paraId="765CA8F3" w14:textId="25D1EC90" w:rsidR="007C4089" w:rsidRDefault="007C4089" w:rsidP="007C4089">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“Upon written request of a party, a Hearing Officer may allow for the joinder of a party in cases where complete relief cannot be granted among those who are already parties, or if the party being joined has an interest relating to the subject matter of the case and is so situated that the case cannot be disposed of in its absence.  Factors considered in determination of joinder are: the risk of prejudice </w:t>
      </w:r>
      <w:r>
        <w:rPr>
          <w:rFonts w:ascii="Times New Roman" w:hAnsi="Times New Roman" w:cs="Times New Roman"/>
          <w:sz w:val="24"/>
          <w:szCs w:val="24"/>
        </w:rPr>
        <w:lastRenderedPageBreak/>
        <w:t>to the present parties in the absence of the proposed party; the range of alternatives for fashioning relief; the inadequacy of a judgment entered in the proposed party’s absence; and the existence of an alternative forum to resolve the issues.”</w:t>
      </w:r>
    </w:p>
    <w:p w14:paraId="6FF68C86" w14:textId="77777777" w:rsidR="00430C13" w:rsidRDefault="00430C13" w:rsidP="00430C13">
      <w:pPr>
        <w:pStyle w:val="NoSpacing"/>
        <w:rPr>
          <w:rFonts w:ascii="Times New Roman" w:hAnsi="Times New Roman" w:cs="Times New Roman"/>
          <w:sz w:val="24"/>
          <w:szCs w:val="24"/>
        </w:rPr>
      </w:pPr>
    </w:p>
    <w:p w14:paraId="00313EC5" w14:textId="34867FBE" w:rsidR="007C4089" w:rsidRDefault="00430C13" w:rsidP="00331E3A">
      <w:pPr>
        <w:pStyle w:val="NoSpacing"/>
        <w:rPr>
          <w:rFonts w:ascii="Times New Roman" w:hAnsi="Times New Roman" w:cs="Times New Roman"/>
          <w:sz w:val="24"/>
          <w:szCs w:val="24"/>
        </w:rPr>
      </w:pPr>
      <w:r>
        <w:rPr>
          <w:rFonts w:ascii="Times New Roman" w:hAnsi="Times New Roman" w:cs="Times New Roman"/>
          <w:sz w:val="24"/>
          <w:szCs w:val="24"/>
        </w:rPr>
        <w:t xml:space="preserve">This mechanism is often used by parties to join </w:t>
      </w:r>
      <w:r w:rsidR="00FF50ED">
        <w:rPr>
          <w:rFonts w:ascii="Times New Roman" w:hAnsi="Times New Roman" w:cs="Times New Roman"/>
          <w:sz w:val="24"/>
          <w:szCs w:val="24"/>
        </w:rPr>
        <w:t>state agencies, such as DMH</w:t>
      </w:r>
      <w:r>
        <w:rPr>
          <w:rFonts w:ascii="Times New Roman" w:hAnsi="Times New Roman" w:cs="Times New Roman"/>
          <w:sz w:val="24"/>
          <w:szCs w:val="24"/>
        </w:rPr>
        <w:t xml:space="preserve">, that the BSEA may determine </w:t>
      </w:r>
      <w:r w:rsidR="003C34D3">
        <w:rPr>
          <w:rFonts w:ascii="Times New Roman" w:hAnsi="Times New Roman" w:cs="Times New Roman"/>
          <w:sz w:val="24"/>
          <w:szCs w:val="24"/>
        </w:rPr>
        <w:t xml:space="preserve">must </w:t>
      </w:r>
      <w:r>
        <w:rPr>
          <w:rFonts w:ascii="Times New Roman" w:hAnsi="Times New Roman" w:cs="Times New Roman"/>
          <w:sz w:val="24"/>
          <w:szCs w:val="24"/>
        </w:rPr>
        <w:t xml:space="preserve">provide services to a student in a </w:t>
      </w:r>
      <w:r w:rsidR="00BA2D8C">
        <w:rPr>
          <w:rFonts w:ascii="Times New Roman" w:hAnsi="Times New Roman" w:cs="Times New Roman"/>
          <w:sz w:val="24"/>
          <w:szCs w:val="24"/>
        </w:rPr>
        <w:t>matter before it</w:t>
      </w:r>
      <w:r>
        <w:rPr>
          <w:rFonts w:ascii="Times New Roman" w:hAnsi="Times New Roman" w:cs="Times New Roman"/>
          <w:sz w:val="24"/>
          <w:szCs w:val="24"/>
        </w:rPr>
        <w:t>.</w:t>
      </w:r>
      <w:r w:rsidR="00BA2D8C">
        <w:rPr>
          <w:rFonts w:ascii="Times New Roman" w:hAnsi="Times New Roman" w:cs="Times New Roman"/>
          <w:sz w:val="24"/>
          <w:szCs w:val="24"/>
        </w:rPr>
        <w:t xml:space="preserve">  The extent to which the BSEA may order such services is set forth in </w:t>
      </w:r>
      <w:r w:rsidR="00976D70">
        <w:rPr>
          <w:rFonts w:ascii="Times New Roman" w:hAnsi="Times New Roman" w:cs="Times New Roman"/>
          <w:sz w:val="24"/>
          <w:szCs w:val="24"/>
        </w:rPr>
        <w:t xml:space="preserve">Mass. Gen. Laws </w:t>
      </w:r>
      <w:proofErr w:type="spellStart"/>
      <w:r w:rsidR="00976D70">
        <w:rPr>
          <w:rFonts w:ascii="Times New Roman" w:hAnsi="Times New Roman" w:cs="Times New Roman"/>
          <w:sz w:val="24"/>
          <w:szCs w:val="24"/>
        </w:rPr>
        <w:t>ch.</w:t>
      </w:r>
      <w:proofErr w:type="spellEnd"/>
      <w:r w:rsidR="00976D70">
        <w:rPr>
          <w:rFonts w:ascii="Times New Roman" w:hAnsi="Times New Roman" w:cs="Times New Roman"/>
          <w:sz w:val="24"/>
          <w:szCs w:val="24"/>
        </w:rPr>
        <w:t xml:space="preserve"> </w:t>
      </w:r>
      <w:r w:rsidR="007C4089">
        <w:rPr>
          <w:rFonts w:ascii="Times New Roman" w:hAnsi="Times New Roman" w:cs="Times New Roman"/>
          <w:sz w:val="24"/>
          <w:szCs w:val="24"/>
        </w:rPr>
        <w:t xml:space="preserve">71B, § 3, </w:t>
      </w:r>
      <w:r w:rsidR="00BA2D8C">
        <w:rPr>
          <w:rFonts w:ascii="Times New Roman" w:hAnsi="Times New Roman" w:cs="Times New Roman"/>
          <w:sz w:val="24"/>
          <w:szCs w:val="24"/>
        </w:rPr>
        <w:t>which provides:</w:t>
      </w:r>
    </w:p>
    <w:p w14:paraId="7DF7F8AF" w14:textId="77777777" w:rsidR="00BA2D8C" w:rsidRDefault="00BA2D8C" w:rsidP="00331E3A">
      <w:pPr>
        <w:pStyle w:val="NoSpacing"/>
        <w:rPr>
          <w:rFonts w:ascii="Times New Roman" w:hAnsi="Times New Roman" w:cs="Times New Roman"/>
          <w:sz w:val="24"/>
          <w:szCs w:val="24"/>
        </w:rPr>
      </w:pPr>
    </w:p>
    <w:p w14:paraId="49711615" w14:textId="732D4DFB" w:rsidR="00BA2D8C" w:rsidRDefault="00BA2D8C" w:rsidP="00BA2D8C">
      <w:pPr>
        <w:pStyle w:val="NoSpacing"/>
        <w:ind w:left="1440"/>
        <w:rPr>
          <w:rStyle w:val="apple-converted-space"/>
          <w:rFonts w:ascii="Times New Roman" w:hAnsi="Times New Roman" w:cs="Times New Roman"/>
          <w:color w:val="252525"/>
          <w:sz w:val="24"/>
          <w:szCs w:val="24"/>
        </w:rPr>
      </w:pPr>
      <w:r>
        <w:rPr>
          <w:rFonts w:ascii="Times New Roman" w:hAnsi="Times New Roman" w:cs="Times New Roman"/>
          <w:sz w:val="24"/>
          <w:szCs w:val="24"/>
        </w:rPr>
        <w:t>“</w:t>
      </w:r>
      <w:r w:rsidRPr="00BA2D8C">
        <w:rPr>
          <w:rFonts w:ascii="Times New Roman" w:hAnsi="Times New Roman" w:cs="Times New Roman"/>
          <w:color w:val="252525"/>
          <w:sz w:val="24"/>
          <w:szCs w:val="24"/>
        </w:rPr>
        <w:t xml:space="preserve">The </w:t>
      </w:r>
      <w:r>
        <w:rPr>
          <w:rFonts w:ascii="Times New Roman" w:hAnsi="Times New Roman" w:cs="Times New Roman"/>
          <w:color w:val="252525"/>
          <w:sz w:val="24"/>
          <w:szCs w:val="24"/>
        </w:rPr>
        <w:t xml:space="preserve">[BSEA] </w:t>
      </w:r>
      <w:r w:rsidRPr="00BA2D8C">
        <w:rPr>
          <w:rFonts w:ascii="Times New Roman" w:hAnsi="Times New Roman" w:cs="Times New Roman"/>
          <w:color w:val="252525"/>
          <w:sz w:val="24"/>
          <w:szCs w:val="24"/>
        </w:rPr>
        <w:t>hearing officer may determine, in accordance with the rules, regulations and policies of the respective agencies, that services shall be provided by the department of children and families, the department of mental retardation</w:t>
      </w:r>
      <w:r>
        <w:rPr>
          <w:rFonts w:ascii="Times New Roman" w:hAnsi="Times New Roman" w:cs="Times New Roman"/>
          <w:color w:val="252525"/>
          <w:sz w:val="24"/>
          <w:szCs w:val="24"/>
        </w:rPr>
        <w:t xml:space="preserve"> [now called the Department of Developmental Services]</w:t>
      </w:r>
      <w:r w:rsidRPr="00BA2D8C">
        <w:rPr>
          <w:rFonts w:ascii="Times New Roman" w:hAnsi="Times New Roman" w:cs="Times New Roman"/>
          <w:color w:val="252525"/>
          <w:sz w:val="24"/>
          <w:szCs w:val="24"/>
        </w:rPr>
        <w:t>, the department of mental health, the department of public health, or any other state agency or program, in addition to the program and related services to be provided by the school committee.</w:t>
      </w:r>
      <w:r>
        <w:rPr>
          <w:rStyle w:val="apple-converted-space"/>
          <w:rFonts w:ascii="Times New Roman" w:hAnsi="Times New Roman" w:cs="Times New Roman"/>
          <w:color w:val="252525"/>
          <w:sz w:val="24"/>
          <w:szCs w:val="24"/>
        </w:rPr>
        <w:t>”</w:t>
      </w:r>
      <w:r>
        <w:rPr>
          <w:rStyle w:val="FootnoteReference"/>
          <w:rFonts w:ascii="Times New Roman" w:hAnsi="Times New Roman" w:cs="Times New Roman"/>
          <w:color w:val="252525"/>
          <w:sz w:val="24"/>
          <w:szCs w:val="24"/>
        </w:rPr>
        <w:footnoteReference w:id="5"/>
      </w:r>
    </w:p>
    <w:p w14:paraId="1C7991CF" w14:textId="77777777" w:rsidR="00E950DC" w:rsidRDefault="00E950DC" w:rsidP="00E950DC">
      <w:pPr>
        <w:pStyle w:val="NoSpacing"/>
        <w:rPr>
          <w:rStyle w:val="apple-converted-space"/>
          <w:rFonts w:ascii="Times New Roman" w:hAnsi="Times New Roman" w:cs="Times New Roman"/>
          <w:color w:val="252525"/>
          <w:sz w:val="24"/>
          <w:szCs w:val="24"/>
        </w:rPr>
      </w:pPr>
    </w:p>
    <w:p w14:paraId="290DDDD0" w14:textId="77777777" w:rsidR="00E950DC" w:rsidRDefault="00E950DC" w:rsidP="00E950DC">
      <w:pPr>
        <w:pStyle w:val="NoSpacing"/>
        <w:rPr>
          <w:rStyle w:val="apple-converted-space"/>
          <w:rFonts w:ascii="Times New Roman" w:hAnsi="Times New Roman" w:cs="Times New Roman"/>
          <w:color w:val="252525"/>
          <w:sz w:val="24"/>
          <w:szCs w:val="24"/>
        </w:rPr>
      </w:pPr>
    </w:p>
    <w:p w14:paraId="4170F42D" w14:textId="2AC6D86C" w:rsidR="00E950DC" w:rsidRDefault="00E950DC" w:rsidP="00E950DC">
      <w:pPr>
        <w:pStyle w:val="NoSpacing"/>
        <w:rPr>
          <w:rFonts w:ascii="Times New Roman" w:hAnsi="Times New Roman" w:cs="Times New Roman"/>
          <w:sz w:val="24"/>
          <w:szCs w:val="24"/>
          <w:u w:val="single"/>
        </w:rPr>
      </w:pPr>
      <w:r>
        <w:rPr>
          <w:rFonts w:ascii="Times New Roman" w:hAnsi="Times New Roman" w:cs="Times New Roman"/>
          <w:sz w:val="24"/>
          <w:szCs w:val="24"/>
          <w:u w:val="single"/>
        </w:rPr>
        <w:t>ANALYSIS</w:t>
      </w:r>
    </w:p>
    <w:p w14:paraId="14034AE2" w14:textId="77777777" w:rsidR="00E950DC" w:rsidRDefault="00E950DC" w:rsidP="00E950DC">
      <w:pPr>
        <w:pStyle w:val="NoSpacing"/>
        <w:rPr>
          <w:rFonts w:ascii="Times New Roman" w:hAnsi="Times New Roman" w:cs="Times New Roman"/>
          <w:sz w:val="24"/>
          <w:szCs w:val="24"/>
          <w:u w:val="single"/>
        </w:rPr>
      </w:pPr>
    </w:p>
    <w:p w14:paraId="5AF2389F" w14:textId="7B0DB3B2" w:rsidR="00585C77" w:rsidRDefault="00F55E91" w:rsidP="00F55E91">
      <w:pPr>
        <w:pStyle w:val="NoSpacing"/>
        <w:rPr>
          <w:rFonts w:ascii="Times New Roman" w:hAnsi="Times New Roman" w:cs="Times New Roman"/>
          <w:sz w:val="24"/>
          <w:szCs w:val="24"/>
        </w:rPr>
      </w:pPr>
      <w:r>
        <w:rPr>
          <w:rFonts w:ascii="Times New Roman" w:hAnsi="Times New Roman" w:cs="Times New Roman"/>
          <w:sz w:val="24"/>
          <w:szCs w:val="24"/>
        </w:rPr>
        <w:t>In its Motion to Dismiss, DMH asserts that despite Alistair’s complex presentation it found him ine</w:t>
      </w:r>
      <w:r w:rsidR="00FF50ED">
        <w:rPr>
          <w:rFonts w:ascii="Times New Roman" w:hAnsi="Times New Roman" w:cs="Times New Roman"/>
          <w:sz w:val="24"/>
          <w:szCs w:val="24"/>
        </w:rPr>
        <w:t>ligible for services in January</w:t>
      </w:r>
      <w:r>
        <w:rPr>
          <w:rFonts w:ascii="Times New Roman" w:hAnsi="Times New Roman" w:cs="Times New Roman"/>
          <w:sz w:val="24"/>
          <w:szCs w:val="24"/>
        </w:rPr>
        <w:t xml:space="preserve"> 2014 due to its determination that his primary impairment is as a result of Traumatic Brain Injury, which under its regulations is considered a disqualification for services.  </w:t>
      </w:r>
      <w:r w:rsidR="00585C77">
        <w:rPr>
          <w:rFonts w:ascii="Times New Roman" w:hAnsi="Times New Roman" w:cs="Times New Roman"/>
          <w:sz w:val="24"/>
          <w:szCs w:val="24"/>
        </w:rPr>
        <w:t>DMH has never provided services to Alistair.</w:t>
      </w:r>
      <w:r w:rsidR="00585C77">
        <w:rPr>
          <w:rStyle w:val="FootnoteReference"/>
          <w:rFonts w:ascii="Times New Roman" w:hAnsi="Times New Roman" w:cs="Times New Roman"/>
          <w:sz w:val="24"/>
          <w:szCs w:val="24"/>
        </w:rPr>
        <w:footnoteReference w:id="6"/>
      </w:r>
      <w:r w:rsidR="00585C77">
        <w:rPr>
          <w:rFonts w:ascii="Times New Roman" w:hAnsi="Times New Roman" w:cs="Times New Roman"/>
          <w:sz w:val="24"/>
          <w:szCs w:val="24"/>
        </w:rPr>
        <w:br/>
      </w:r>
    </w:p>
    <w:p w14:paraId="55C56E20" w14:textId="22E5CA89" w:rsidR="00F55E91" w:rsidRPr="00E950DC" w:rsidRDefault="00FF50ED" w:rsidP="00F55E91">
      <w:pPr>
        <w:pStyle w:val="NoSpacing"/>
        <w:rPr>
          <w:rFonts w:ascii="Times New Roman" w:hAnsi="Times New Roman" w:cs="Times New Roman"/>
          <w:sz w:val="24"/>
          <w:szCs w:val="24"/>
        </w:rPr>
      </w:pPr>
      <w:r>
        <w:rPr>
          <w:rFonts w:ascii="Times New Roman" w:hAnsi="Times New Roman" w:cs="Times New Roman"/>
          <w:sz w:val="24"/>
          <w:szCs w:val="24"/>
        </w:rPr>
        <w:t>Since August</w:t>
      </w:r>
      <w:r w:rsidR="00F55E91">
        <w:rPr>
          <w:rFonts w:ascii="Times New Roman" w:hAnsi="Times New Roman" w:cs="Times New Roman"/>
          <w:sz w:val="24"/>
          <w:szCs w:val="24"/>
        </w:rPr>
        <w:t xml:space="preserve"> 2013, when Parents submitted Alistair’s initial application to DMH, his behavior appears to have escalated, leading to additional psychiatric diagnoses.  He has been </w:t>
      </w:r>
    </w:p>
    <w:p w14:paraId="5AD44882" w14:textId="3A1B116E" w:rsidR="00F32747" w:rsidRDefault="00EE22D7" w:rsidP="00E950DC">
      <w:pPr>
        <w:pStyle w:val="NoSpacing"/>
        <w:rPr>
          <w:rFonts w:ascii="Times New Roman" w:hAnsi="Times New Roman" w:cs="Times New Roman"/>
          <w:sz w:val="24"/>
          <w:szCs w:val="24"/>
        </w:rPr>
      </w:pPr>
      <w:proofErr w:type="gramStart"/>
      <w:r>
        <w:rPr>
          <w:rFonts w:ascii="Times New Roman" w:hAnsi="Times New Roman" w:cs="Times New Roman"/>
          <w:sz w:val="24"/>
          <w:szCs w:val="24"/>
        </w:rPr>
        <w:t>described</w:t>
      </w:r>
      <w:proofErr w:type="gramEnd"/>
      <w:r>
        <w:rPr>
          <w:rFonts w:ascii="Times New Roman" w:hAnsi="Times New Roman" w:cs="Times New Roman"/>
          <w:sz w:val="24"/>
          <w:szCs w:val="24"/>
        </w:rPr>
        <w:t xml:space="preserve"> in Parents’ hearing request as “a student with a complex profile, which includes psychiatric, developmental and several emotional disabilities [who] has exhibited dangerous behaviors and has required intensive social, emotional and educational interventions in order to access his education, make progress and remain safe.” </w:t>
      </w:r>
      <w:r w:rsidR="00E950DC">
        <w:rPr>
          <w:rFonts w:ascii="Times New Roman" w:hAnsi="Times New Roman" w:cs="Times New Roman"/>
          <w:sz w:val="24"/>
          <w:szCs w:val="24"/>
        </w:rPr>
        <w:t xml:space="preserve">Although </w:t>
      </w:r>
      <w:r w:rsidR="003C34D3">
        <w:rPr>
          <w:rFonts w:ascii="Times New Roman" w:hAnsi="Times New Roman" w:cs="Times New Roman"/>
          <w:sz w:val="24"/>
          <w:szCs w:val="24"/>
        </w:rPr>
        <w:t>Parents may be right that</w:t>
      </w:r>
      <w:r w:rsidR="00E950DC">
        <w:rPr>
          <w:rFonts w:ascii="Times New Roman" w:hAnsi="Times New Roman" w:cs="Times New Roman"/>
          <w:sz w:val="24"/>
          <w:szCs w:val="24"/>
        </w:rPr>
        <w:t xml:space="preserve"> </w:t>
      </w:r>
      <w:r>
        <w:rPr>
          <w:rFonts w:ascii="Times New Roman" w:hAnsi="Times New Roman" w:cs="Times New Roman"/>
          <w:sz w:val="24"/>
          <w:szCs w:val="24"/>
        </w:rPr>
        <w:t xml:space="preserve">Alistair is likely to be found eligible for DMH services based upon his recent diagnosis by </w:t>
      </w:r>
      <w:proofErr w:type="spellStart"/>
      <w:r>
        <w:rPr>
          <w:rFonts w:ascii="Times New Roman" w:hAnsi="Times New Roman" w:cs="Times New Roman"/>
          <w:sz w:val="24"/>
          <w:szCs w:val="24"/>
        </w:rPr>
        <w:t>Arbour</w:t>
      </w:r>
      <w:proofErr w:type="spellEnd"/>
      <w:r>
        <w:rPr>
          <w:rFonts w:ascii="Times New Roman" w:hAnsi="Times New Roman" w:cs="Times New Roman"/>
          <w:sz w:val="24"/>
          <w:szCs w:val="24"/>
        </w:rPr>
        <w:t xml:space="preserve"> Fuller clinicians of bipolar disorder and/or the emerging thought disorder/schizoaffective disorder observed by Dr. Goldstein during an evaluation that occurred in the fa</w:t>
      </w:r>
      <w:r w:rsidR="00F32747">
        <w:rPr>
          <w:rFonts w:ascii="Times New Roman" w:hAnsi="Times New Roman" w:cs="Times New Roman"/>
          <w:sz w:val="24"/>
          <w:szCs w:val="24"/>
        </w:rPr>
        <w:t>ll of 2013, this determination is DMH’s – not the BSEA’s – to make in the first instance.</w:t>
      </w:r>
      <w:r w:rsidR="00F55E91">
        <w:rPr>
          <w:rStyle w:val="FootnoteReference"/>
          <w:rFonts w:ascii="Times New Roman" w:hAnsi="Times New Roman" w:cs="Times New Roman"/>
          <w:sz w:val="24"/>
          <w:szCs w:val="24"/>
        </w:rPr>
        <w:footnoteReference w:id="7"/>
      </w:r>
      <w:r w:rsidR="00F32747">
        <w:rPr>
          <w:rFonts w:ascii="Times New Roman" w:hAnsi="Times New Roman" w:cs="Times New Roman"/>
          <w:sz w:val="24"/>
          <w:szCs w:val="24"/>
        </w:rPr>
        <w:t xml:space="preserve">  </w:t>
      </w:r>
    </w:p>
    <w:p w14:paraId="60FE1E49" w14:textId="77777777" w:rsidR="00F32747" w:rsidRDefault="00F32747" w:rsidP="00E950DC">
      <w:pPr>
        <w:pStyle w:val="NoSpacing"/>
        <w:rPr>
          <w:rFonts w:ascii="Times New Roman" w:hAnsi="Times New Roman" w:cs="Times New Roman"/>
          <w:sz w:val="24"/>
          <w:szCs w:val="24"/>
        </w:rPr>
      </w:pPr>
    </w:p>
    <w:p w14:paraId="0953938F" w14:textId="0E02E0D1" w:rsidR="00F55E91" w:rsidRDefault="00F32747" w:rsidP="00E950DC">
      <w:pPr>
        <w:pStyle w:val="NoSpacing"/>
        <w:rPr>
          <w:rFonts w:ascii="Times New Roman" w:hAnsi="Times New Roman" w:cs="Times New Roman"/>
          <w:sz w:val="24"/>
          <w:szCs w:val="24"/>
        </w:rPr>
      </w:pPr>
      <w:r>
        <w:rPr>
          <w:rFonts w:ascii="Times New Roman" w:hAnsi="Times New Roman" w:cs="Times New Roman"/>
          <w:sz w:val="24"/>
          <w:szCs w:val="24"/>
        </w:rPr>
        <w:lastRenderedPageBreak/>
        <w:t>Between August 2013 and January 2014</w:t>
      </w:r>
      <w:r w:rsidR="00812753">
        <w:rPr>
          <w:rFonts w:ascii="Times New Roman" w:hAnsi="Times New Roman" w:cs="Times New Roman"/>
          <w:sz w:val="24"/>
          <w:szCs w:val="24"/>
        </w:rPr>
        <w:t xml:space="preserve">, </w:t>
      </w:r>
      <w:r>
        <w:rPr>
          <w:rFonts w:ascii="Times New Roman" w:hAnsi="Times New Roman" w:cs="Times New Roman"/>
          <w:sz w:val="24"/>
          <w:szCs w:val="24"/>
        </w:rPr>
        <w:t>DMH had before it Alistair’s application for services, and it determined based upon its own interpretation of its regulations that he did not qualify for services.</w:t>
      </w:r>
      <w:r w:rsidR="00597057">
        <w:rPr>
          <w:rFonts w:ascii="Times New Roman" w:hAnsi="Times New Roman" w:cs="Times New Roman"/>
          <w:sz w:val="24"/>
          <w:szCs w:val="24"/>
        </w:rPr>
        <w:t xml:space="preserve">  Parents did not appeal this determination in accordance with DMH’s regulations.  For a BSEA Hearing Officer to hold that submitting a new application for services to a state agency</w:t>
      </w:r>
      <w:r w:rsidR="00812753">
        <w:rPr>
          <w:rFonts w:ascii="Times New Roman" w:hAnsi="Times New Roman" w:cs="Times New Roman"/>
          <w:sz w:val="24"/>
          <w:szCs w:val="24"/>
        </w:rPr>
        <w:t>,</w:t>
      </w:r>
      <w:r w:rsidR="00597057">
        <w:rPr>
          <w:rFonts w:ascii="Times New Roman" w:hAnsi="Times New Roman" w:cs="Times New Roman"/>
          <w:sz w:val="24"/>
          <w:szCs w:val="24"/>
        </w:rPr>
        <w:t xml:space="preserve"> where a previous application has been rejected and that rejection stands,</w:t>
      </w:r>
      <w:r w:rsidR="00F55E91">
        <w:rPr>
          <w:rFonts w:ascii="Times New Roman" w:hAnsi="Times New Roman" w:cs="Times New Roman"/>
          <w:sz w:val="24"/>
          <w:szCs w:val="24"/>
        </w:rPr>
        <w:t xml:space="preserve"> is a sufficient basis for joinder over the opposition of the party whose joinder is sought would be inconsistent with Mass. Gen. L</w:t>
      </w:r>
      <w:r w:rsidR="00812753">
        <w:rPr>
          <w:rFonts w:ascii="Times New Roman" w:hAnsi="Times New Roman" w:cs="Times New Roman"/>
          <w:sz w:val="24"/>
          <w:szCs w:val="24"/>
        </w:rPr>
        <w:t xml:space="preserve">aws </w:t>
      </w:r>
      <w:proofErr w:type="spellStart"/>
      <w:r w:rsidR="00812753">
        <w:rPr>
          <w:rFonts w:ascii="Times New Roman" w:hAnsi="Times New Roman" w:cs="Times New Roman"/>
          <w:sz w:val="24"/>
          <w:szCs w:val="24"/>
        </w:rPr>
        <w:t>ch.</w:t>
      </w:r>
      <w:proofErr w:type="spellEnd"/>
      <w:r w:rsidR="00F55E91">
        <w:rPr>
          <w:rFonts w:ascii="Times New Roman" w:hAnsi="Times New Roman" w:cs="Times New Roman"/>
          <w:sz w:val="24"/>
          <w:szCs w:val="24"/>
        </w:rPr>
        <w:t xml:space="preserve"> 71B, § 3’s direct</w:t>
      </w:r>
      <w:r w:rsidR="00812753">
        <w:rPr>
          <w:rFonts w:ascii="Times New Roman" w:hAnsi="Times New Roman" w:cs="Times New Roman"/>
          <w:sz w:val="24"/>
          <w:szCs w:val="24"/>
        </w:rPr>
        <w:t>ive that the hearing officer may</w:t>
      </w:r>
      <w:r w:rsidR="00F55E91">
        <w:rPr>
          <w:rFonts w:ascii="Times New Roman" w:hAnsi="Times New Roman" w:cs="Times New Roman"/>
          <w:sz w:val="24"/>
          <w:szCs w:val="24"/>
        </w:rPr>
        <w:t xml:space="preserve"> order services provided by state agencies “in accordance with the rules, regulations and policies of the respective agencies.”  </w:t>
      </w:r>
    </w:p>
    <w:p w14:paraId="3AB9AD55" w14:textId="77777777" w:rsidR="00F55E91" w:rsidRDefault="00F55E91" w:rsidP="00E950DC">
      <w:pPr>
        <w:pStyle w:val="NoSpacing"/>
        <w:rPr>
          <w:rFonts w:ascii="Times New Roman" w:hAnsi="Times New Roman" w:cs="Times New Roman"/>
          <w:sz w:val="24"/>
          <w:szCs w:val="24"/>
        </w:rPr>
      </w:pPr>
    </w:p>
    <w:p w14:paraId="0FDCD035" w14:textId="0D891474" w:rsidR="00F32747" w:rsidRPr="00597057" w:rsidRDefault="00F55E91" w:rsidP="00E950DC">
      <w:pPr>
        <w:pStyle w:val="NoSpacing"/>
        <w:rPr>
          <w:rFonts w:ascii="Times New Roman" w:hAnsi="Times New Roman" w:cs="Times New Roman"/>
          <w:sz w:val="24"/>
          <w:szCs w:val="24"/>
        </w:rPr>
      </w:pPr>
      <w:r>
        <w:rPr>
          <w:rFonts w:ascii="Times New Roman" w:hAnsi="Times New Roman" w:cs="Times New Roman"/>
          <w:sz w:val="24"/>
          <w:szCs w:val="24"/>
        </w:rPr>
        <w:t xml:space="preserve">In this case, the regulations in issue are DMH’s clinical criteria for service authorization.  </w:t>
      </w:r>
      <w:r w:rsidR="00F32747">
        <w:rPr>
          <w:rFonts w:ascii="Times New Roman" w:hAnsi="Times New Roman" w:cs="Times New Roman"/>
          <w:sz w:val="24"/>
          <w:szCs w:val="24"/>
        </w:rPr>
        <w:t>Generally, in reviewing an agency’s</w:t>
      </w:r>
      <w:r>
        <w:rPr>
          <w:rFonts w:ascii="Times New Roman" w:hAnsi="Times New Roman" w:cs="Times New Roman"/>
          <w:sz w:val="24"/>
          <w:szCs w:val="24"/>
        </w:rPr>
        <w:t xml:space="preserve"> decision, including a</w:t>
      </w:r>
      <w:r w:rsidR="00F32747">
        <w:rPr>
          <w:rFonts w:ascii="Times New Roman" w:hAnsi="Times New Roman" w:cs="Times New Roman"/>
          <w:sz w:val="24"/>
          <w:szCs w:val="24"/>
        </w:rPr>
        <w:t xml:space="preserve"> determination as to whether a potential client meets its clinical criteria, the reviewing court or agency gives “deference to the decision of an agency interpreting its own regulations,” </w:t>
      </w:r>
      <w:r w:rsidR="00F32747" w:rsidRPr="00597057">
        <w:rPr>
          <w:rFonts w:ascii="Times New Roman" w:hAnsi="Times New Roman" w:cs="Times New Roman"/>
          <w:i/>
          <w:sz w:val="24"/>
          <w:szCs w:val="24"/>
        </w:rPr>
        <w:t xml:space="preserve">Friends &amp; Fishers of Edgartown Great Pond Inc. v. Dep’t of </w:t>
      </w:r>
      <w:proofErr w:type="spellStart"/>
      <w:r w:rsidR="00F32747" w:rsidRPr="00597057">
        <w:rPr>
          <w:rFonts w:ascii="Times New Roman" w:hAnsi="Times New Roman" w:cs="Times New Roman"/>
          <w:i/>
          <w:sz w:val="24"/>
          <w:szCs w:val="24"/>
        </w:rPr>
        <w:t>Env</w:t>
      </w:r>
      <w:proofErr w:type="spellEnd"/>
      <w:r w:rsidR="00F32747" w:rsidRPr="00597057">
        <w:rPr>
          <w:rFonts w:ascii="Times New Roman" w:hAnsi="Times New Roman" w:cs="Times New Roman"/>
          <w:i/>
          <w:sz w:val="24"/>
          <w:szCs w:val="24"/>
        </w:rPr>
        <w:t xml:space="preserve">. </w:t>
      </w:r>
      <w:proofErr w:type="gramStart"/>
      <w:r w:rsidR="00F32747" w:rsidRPr="00597057">
        <w:rPr>
          <w:rFonts w:ascii="Times New Roman" w:hAnsi="Times New Roman" w:cs="Times New Roman"/>
          <w:i/>
          <w:sz w:val="24"/>
          <w:szCs w:val="24"/>
        </w:rPr>
        <w:t>Prot.</w:t>
      </w:r>
      <w:r w:rsidR="00F32747">
        <w:rPr>
          <w:rFonts w:ascii="Times New Roman" w:hAnsi="Times New Roman" w:cs="Times New Roman"/>
          <w:sz w:val="24"/>
          <w:szCs w:val="24"/>
        </w:rPr>
        <w:t xml:space="preserve">, 446 Mass. 830, 837 (2006); </w:t>
      </w:r>
      <w:r w:rsidR="00F32747" w:rsidRPr="00597057">
        <w:rPr>
          <w:rFonts w:ascii="Times New Roman" w:hAnsi="Times New Roman" w:cs="Times New Roman"/>
          <w:i/>
          <w:sz w:val="24"/>
          <w:szCs w:val="24"/>
        </w:rPr>
        <w:t xml:space="preserve">Hurst v. State Ballot Law </w:t>
      </w:r>
      <w:proofErr w:type="spellStart"/>
      <w:r w:rsidR="00F32747" w:rsidRPr="00597057">
        <w:rPr>
          <w:rFonts w:ascii="Times New Roman" w:hAnsi="Times New Roman" w:cs="Times New Roman"/>
          <w:i/>
          <w:sz w:val="24"/>
          <w:szCs w:val="24"/>
        </w:rPr>
        <w:t>Comm’n</w:t>
      </w:r>
      <w:proofErr w:type="spellEnd"/>
      <w:r w:rsidR="00F32747" w:rsidRPr="00597057">
        <w:rPr>
          <w:rFonts w:ascii="Times New Roman" w:hAnsi="Times New Roman" w:cs="Times New Roman"/>
          <w:i/>
          <w:sz w:val="24"/>
          <w:szCs w:val="24"/>
        </w:rPr>
        <w:t>,</w:t>
      </w:r>
      <w:r w:rsidR="00F32747">
        <w:rPr>
          <w:rFonts w:ascii="Times New Roman" w:hAnsi="Times New Roman" w:cs="Times New Roman"/>
          <w:sz w:val="24"/>
          <w:szCs w:val="24"/>
        </w:rPr>
        <w:t xml:space="preserve"> 428 Mass. 116, 120 (1998).</w:t>
      </w:r>
      <w:proofErr w:type="gramEnd"/>
      <w:r w:rsidR="00597057">
        <w:rPr>
          <w:rFonts w:ascii="Times New Roman" w:hAnsi="Times New Roman" w:cs="Times New Roman"/>
          <w:sz w:val="24"/>
          <w:szCs w:val="24"/>
        </w:rPr>
        <w:t xml:space="preserve">  Because such a determination is within an agency’s area of expertise, we do “not intrude lightly.” </w:t>
      </w:r>
      <w:proofErr w:type="gramStart"/>
      <w:r w:rsidR="00597057">
        <w:rPr>
          <w:rFonts w:ascii="Times New Roman" w:hAnsi="Times New Roman" w:cs="Times New Roman"/>
          <w:i/>
          <w:sz w:val="24"/>
          <w:szCs w:val="24"/>
        </w:rPr>
        <w:t xml:space="preserve">Brookline v. </w:t>
      </w:r>
      <w:proofErr w:type="spellStart"/>
      <w:r w:rsidR="00597057">
        <w:rPr>
          <w:rFonts w:ascii="Times New Roman" w:hAnsi="Times New Roman" w:cs="Times New Roman"/>
          <w:i/>
          <w:sz w:val="24"/>
          <w:szCs w:val="24"/>
        </w:rPr>
        <w:t>Comm’r</w:t>
      </w:r>
      <w:proofErr w:type="spellEnd"/>
      <w:r w:rsidR="00597057">
        <w:rPr>
          <w:rFonts w:ascii="Times New Roman" w:hAnsi="Times New Roman" w:cs="Times New Roman"/>
          <w:i/>
          <w:sz w:val="24"/>
          <w:szCs w:val="24"/>
        </w:rPr>
        <w:t xml:space="preserve"> of the Dep’t of </w:t>
      </w:r>
      <w:proofErr w:type="spellStart"/>
      <w:r w:rsidR="00597057">
        <w:rPr>
          <w:rFonts w:ascii="Times New Roman" w:hAnsi="Times New Roman" w:cs="Times New Roman"/>
          <w:i/>
          <w:sz w:val="24"/>
          <w:szCs w:val="24"/>
        </w:rPr>
        <w:t>Envtl</w:t>
      </w:r>
      <w:proofErr w:type="spellEnd"/>
      <w:r w:rsidR="00597057">
        <w:rPr>
          <w:rFonts w:ascii="Times New Roman" w:hAnsi="Times New Roman" w:cs="Times New Roman"/>
          <w:i/>
          <w:sz w:val="24"/>
          <w:szCs w:val="24"/>
        </w:rPr>
        <w:t>.</w:t>
      </w:r>
      <w:proofErr w:type="gramEnd"/>
      <w:r w:rsidR="00597057">
        <w:rPr>
          <w:rFonts w:ascii="Times New Roman" w:hAnsi="Times New Roman" w:cs="Times New Roman"/>
          <w:i/>
          <w:sz w:val="24"/>
          <w:szCs w:val="24"/>
        </w:rPr>
        <w:t xml:space="preserve"> </w:t>
      </w:r>
      <w:proofErr w:type="gramStart"/>
      <w:r w:rsidR="00597057">
        <w:rPr>
          <w:rFonts w:ascii="Times New Roman" w:hAnsi="Times New Roman" w:cs="Times New Roman"/>
          <w:i/>
          <w:sz w:val="24"/>
          <w:szCs w:val="24"/>
        </w:rPr>
        <w:t xml:space="preserve">Quality </w:t>
      </w:r>
      <w:proofErr w:type="spellStart"/>
      <w:r w:rsidR="00597057">
        <w:rPr>
          <w:rFonts w:ascii="Times New Roman" w:hAnsi="Times New Roman" w:cs="Times New Roman"/>
          <w:i/>
          <w:sz w:val="24"/>
          <w:szCs w:val="24"/>
        </w:rPr>
        <w:t>Eng’g</w:t>
      </w:r>
      <w:proofErr w:type="spellEnd"/>
      <w:r w:rsidR="00597057">
        <w:rPr>
          <w:rFonts w:ascii="Times New Roman" w:hAnsi="Times New Roman" w:cs="Times New Roman"/>
          <w:sz w:val="24"/>
          <w:szCs w:val="24"/>
        </w:rPr>
        <w:t>, 398 Mass. 401, 410 (1986).</w:t>
      </w:r>
      <w:proofErr w:type="gramEnd"/>
    </w:p>
    <w:p w14:paraId="3536C852" w14:textId="77777777" w:rsidR="00F32747" w:rsidRDefault="00F32747" w:rsidP="00E950DC">
      <w:pPr>
        <w:pStyle w:val="NoSpacing"/>
        <w:rPr>
          <w:rFonts w:ascii="Times New Roman" w:hAnsi="Times New Roman" w:cs="Times New Roman"/>
          <w:sz w:val="24"/>
          <w:szCs w:val="24"/>
        </w:rPr>
      </w:pPr>
    </w:p>
    <w:p w14:paraId="3354AD32" w14:textId="1F776A33" w:rsidR="00585C77" w:rsidRDefault="00585C77" w:rsidP="00E950DC">
      <w:pPr>
        <w:pStyle w:val="NoSpacing"/>
        <w:rPr>
          <w:rFonts w:ascii="Times New Roman" w:hAnsi="Times New Roman" w:cs="Times New Roman"/>
          <w:sz w:val="24"/>
          <w:szCs w:val="24"/>
        </w:rPr>
      </w:pPr>
      <w:r>
        <w:rPr>
          <w:rFonts w:ascii="Times New Roman" w:hAnsi="Times New Roman" w:cs="Times New Roman"/>
          <w:sz w:val="24"/>
          <w:szCs w:val="24"/>
        </w:rPr>
        <w:t xml:space="preserve">This case is distinguishable from </w:t>
      </w:r>
      <w:r>
        <w:rPr>
          <w:rFonts w:ascii="Times New Roman" w:hAnsi="Times New Roman" w:cs="Times New Roman"/>
          <w:i/>
          <w:sz w:val="24"/>
          <w:szCs w:val="24"/>
        </w:rPr>
        <w:t>Georgetown Public Schools</w:t>
      </w:r>
      <w:r>
        <w:rPr>
          <w:rFonts w:ascii="Times New Roman" w:hAnsi="Times New Roman" w:cs="Times New Roman"/>
          <w:sz w:val="24"/>
          <w:szCs w:val="24"/>
        </w:rPr>
        <w:t>,</w:t>
      </w:r>
      <w:r w:rsidR="006C58FF">
        <w:rPr>
          <w:rFonts w:ascii="Times New Roman" w:hAnsi="Times New Roman" w:cs="Times New Roman"/>
          <w:sz w:val="24"/>
          <w:szCs w:val="24"/>
        </w:rPr>
        <w:t xml:space="preserve"> BSEA #1500020, cited by Parent</w:t>
      </w:r>
      <w:r w:rsidR="00812753">
        <w:rPr>
          <w:rFonts w:ascii="Times New Roman" w:hAnsi="Times New Roman" w:cs="Times New Roman"/>
          <w:sz w:val="24"/>
          <w:szCs w:val="24"/>
        </w:rPr>
        <w:t>s</w:t>
      </w:r>
      <w:r w:rsidR="006C58FF">
        <w:rPr>
          <w:rFonts w:ascii="Times New Roman" w:hAnsi="Times New Roman" w:cs="Times New Roman"/>
          <w:sz w:val="24"/>
          <w:szCs w:val="24"/>
        </w:rPr>
        <w:t>. I</w:t>
      </w:r>
      <w:r>
        <w:rPr>
          <w:rFonts w:ascii="Times New Roman" w:hAnsi="Times New Roman" w:cs="Times New Roman"/>
          <w:sz w:val="24"/>
          <w:szCs w:val="24"/>
        </w:rPr>
        <w:t xml:space="preserve">n that case </w:t>
      </w:r>
      <w:r w:rsidR="006C58FF">
        <w:rPr>
          <w:rFonts w:ascii="Times New Roman" w:hAnsi="Times New Roman" w:cs="Times New Roman"/>
          <w:sz w:val="24"/>
          <w:szCs w:val="24"/>
        </w:rPr>
        <w:t>Parents had timely appealed Student’s rejection for services from DMH</w:t>
      </w:r>
      <w:r>
        <w:rPr>
          <w:rFonts w:ascii="Times New Roman" w:hAnsi="Times New Roman" w:cs="Times New Roman"/>
          <w:sz w:val="24"/>
          <w:szCs w:val="24"/>
        </w:rPr>
        <w:t>, and an appeal hearing was expected to take place in</w:t>
      </w:r>
      <w:r w:rsidR="005E427D">
        <w:rPr>
          <w:rFonts w:ascii="Times New Roman" w:hAnsi="Times New Roman" w:cs="Times New Roman"/>
          <w:sz w:val="24"/>
          <w:szCs w:val="24"/>
        </w:rPr>
        <w:t xml:space="preserve"> the </w:t>
      </w:r>
      <w:r w:rsidR="00FF50ED">
        <w:rPr>
          <w:rFonts w:ascii="Times New Roman" w:hAnsi="Times New Roman" w:cs="Times New Roman"/>
          <w:sz w:val="24"/>
          <w:szCs w:val="24"/>
        </w:rPr>
        <w:t xml:space="preserve">near </w:t>
      </w:r>
      <w:r w:rsidR="005E427D">
        <w:rPr>
          <w:rFonts w:ascii="Times New Roman" w:hAnsi="Times New Roman" w:cs="Times New Roman"/>
          <w:sz w:val="24"/>
          <w:szCs w:val="24"/>
        </w:rPr>
        <w:t>future.  Parents in that case expressed confidence that due to Student’s primary diagnosis of Schizoaffective Disorder, DMH would reverse its position.  In the present case, to reverse its previous determination as to Alistair’s eligibility, DMH would have t</w:t>
      </w:r>
      <w:r w:rsidR="006C58FF">
        <w:rPr>
          <w:rFonts w:ascii="Times New Roman" w:hAnsi="Times New Roman" w:cs="Times New Roman"/>
          <w:sz w:val="24"/>
          <w:szCs w:val="24"/>
        </w:rPr>
        <w:t>o find both that Alistair has</w:t>
      </w:r>
      <w:r w:rsidR="005E427D">
        <w:rPr>
          <w:rFonts w:ascii="Times New Roman" w:hAnsi="Times New Roman" w:cs="Times New Roman"/>
          <w:sz w:val="24"/>
          <w:szCs w:val="24"/>
        </w:rPr>
        <w:t xml:space="preserve"> a qualifying diagnosis and that the traumatic brain injury that blocked his eligibility last time was not the cause of the qualifying diagnosis.</w:t>
      </w:r>
    </w:p>
    <w:p w14:paraId="7116A719" w14:textId="77777777" w:rsidR="006C58FF" w:rsidRDefault="006C58FF" w:rsidP="00E950DC">
      <w:pPr>
        <w:pStyle w:val="NoSpacing"/>
        <w:rPr>
          <w:rFonts w:ascii="Times New Roman" w:hAnsi="Times New Roman" w:cs="Times New Roman"/>
          <w:sz w:val="24"/>
          <w:szCs w:val="24"/>
        </w:rPr>
      </w:pPr>
    </w:p>
    <w:p w14:paraId="0D157022" w14:textId="6404F198" w:rsidR="006C58FF" w:rsidRPr="006C58FF" w:rsidRDefault="006C58FF" w:rsidP="00E950DC">
      <w:pPr>
        <w:pStyle w:val="NoSpacing"/>
        <w:rPr>
          <w:rFonts w:ascii="Times New Roman" w:hAnsi="Times New Roman" w:cs="Times New Roman"/>
          <w:sz w:val="24"/>
          <w:szCs w:val="24"/>
        </w:rPr>
      </w:pPr>
      <w:r>
        <w:rPr>
          <w:rFonts w:ascii="Times New Roman" w:hAnsi="Times New Roman" w:cs="Times New Roman"/>
          <w:sz w:val="24"/>
          <w:szCs w:val="24"/>
        </w:rPr>
        <w:t>Because DMH’s most recent determination according to its regulations is that Alistair does not qualify for services, ordering DMH to provide services to Alis</w:t>
      </w:r>
      <w:r w:rsidR="00812753">
        <w:rPr>
          <w:rFonts w:ascii="Times New Roman" w:hAnsi="Times New Roman" w:cs="Times New Roman"/>
          <w:sz w:val="24"/>
          <w:szCs w:val="24"/>
        </w:rPr>
        <w:t xml:space="preserve">tair would violate Mass. Gen. Law </w:t>
      </w:r>
      <w:proofErr w:type="spellStart"/>
      <w:r w:rsidR="00812753">
        <w:rPr>
          <w:rFonts w:ascii="Times New Roman" w:hAnsi="Times New Roman" w:cs="Times New Roman"/>
          <w:sz w:val="24"/>
          <w:szCs w:val="24"/>
        </w:rPr>
        <w:t>ch.</w:t>
      </w:r>
      <w:proofErr w:type="spellEnd"/>
      <w:r>
        <w:rPr>
          <w:rFonts w:ascii="Times New Roman" w:hAnsi="Times New Roman" w:cs="Times New Roman"/>
          <w:sz w:val="24"/>
          <w:szCs w:val="24"/>
        </w:rPr>
        <w:t xml:space="preserve"> </w:t>
      </w:r>
      <w:r w:rsidR="00812753">
        <w:rPr>
          <w:rFonts w:ascii="Times New Roman" w:hAnsi="Times New Roman" w:cs="Times New Roman"/>
          <w:sz w:val="24"/>
          <w:szCs w:val="24"/>
        </w:rPr>
        <w:t>71B, § 3’s admonition that a hearing o</w:t>
      </w:r>
      <w:r>
        <w:rPr>
          <w:rFonts w:ascii="Times New Roman" w:hAnsi="Times New Roman" w:cs="Times New Roman"/>
          <w:sz w:val="24"/>
          <w:szCs w:val="24"/>
        </w:rPr>
        <w:t xml:space="preserve">fficer may make such a determination only “in accordance with the rules, regulations and policies” of the agency.  Given that the Hearing Officer cannot at this time order DMH to provide services to Alistair, it cannot be said that complete relief cannot be granted among the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or that the DMH “has an interest related to the subject matter of the case and is so situated that the case cannot be disposed of in its absence.” </w:t>
      </w:r>
      <w:r>
        <w:rPr>
          <w:rFonts w:ascii="Times New Roman" w:hAnsi="Times New Roman" w:cs="Times New Roman"/>
          <w:i/>
          <w:sz w:val="24"/>
          <w:szCs w:val="24"/>
        </w:rPr>
        <w:t>Hearing Rules for Special Education Appeals</w:t>
      </w:r>
      <w:r>
        <w:rPr>
          <w:rFonts w:ascii="Times New Roman" w:hAnsi="Times New Roman" w:cs="Times New Roman"/>
          <w:sz w:val="24"/>
          <w:szCs w:val="24"/>
        </w:rPr>
        <w:t>, Rule J.</w:t>
      </w:r>
    </w:p>
    <w:p w14:paraId="7EDB62F9" w14:textId="77777777" w:rsidR="00E950DC" w:rsidRPr="00BA2D8C" w:rsidRDefault="00E950DC" w:rsidP="00E950DC">
      <w:pPr>
        <w:pStyle w:val="NoSpacing"/>
        <w:rPr>
          <w:rFonts w:ascii="Times New Roman" w:hAnsi="Times New Roman" w:cs="Times New Roman"/>
          <w:sz w:val="24"/>
          <w:szCs w:val="24"/>
        </w:rPr>
      </w:pPr>
    </w:p>
    <w:p w14:paraId="21A170C5" w14:textId="77777777" w:rsidR="00331E3A" w:rsidRPr="00331E3A" w:rsidRDefault="00331E3A" w:rsidP="00331E3A">
      <w:pPr>
        <w:pStyle w:val="NoSpacing"/>
        <w:rPr>
          <w:rFonts w:ascii="Times New Roman" w:hAnsi="Times New Roman" w:cs="Times New Roman"/>
          <w:sz w:val="24"/>
          <w:szCs w:val="24"/>
        </w:rPr>
      </w:pPr>
    </w:p>
    <w:p w14:paraId="046192C7" w14:textId="1157FB91" w:rsidR="00331E3A" w:rsidRPr="00331E3A" w:rsidRDefault="005E427D" w:rsidP="00331E3A">
      <w:pPr>
        <w:pStyle w:val="NoSpacing"/>
        <w:rPr>
          <w:rFonts w:ascii="Times New Roman" w:hAnsi="Times New Roman" w:cs="Times New Roman"/>
          <w:sz w:val="24"/>
          <w:szCs w:val="24"/>
        </w:rPr>
      </w:pPr>
      <w:r>
        <w:rPr>
          <w:rFonts w:ascii="Times New Roman" w:hAnsi="Times New Roman" w:cs="Times New Roman"/>
          <w:sz w:val="24"/>
          <w:szCs w:val="24"/>
          <w:u w:val="single"/>
        </w:rPr>
        <w:t>CONCLUSION</w:t>
      </w:r>
    </w:p>
    <w:p w14:paraId="775AA504" w14:textId="77777777" w:rsidR="005E427D" w:rsidRDefault="005E427D" w:rsidP="00F91A02">
      <w:pPr>
        <w:rPr>
          <w:rFonts w:ascii="Times New Roman" w:hAnsi="Times New Roman" w:cs="Times New Roman"/>
          <w:b/>
          <w:sz w:val="24"/>
          <w:szCs w:val="24"/>
        </w:rPr>
      </w:pPr>
    </w:p>
    <w:p w14:paraId="76DF1757" w14:textId="4118E011" w:rsidR="005E427D" w:rsidRDefault="005E427D" w:rsidP="005E427D">
      <w:pPr>
        <w:rPr>
          <w:rFonts w:ascii="Times New Roman" w:hAnsi="Times New Roman" w:cs="Times New Roman"/>
          <w:sz w:val="24"/>
          <w:szCs w:val="24"/>
        </w:rPr>
      </w:pPr>
      <w:r>
        <w:rPr>
          <w:rFonts w:ascii="Times New Roman" w:hAnsi="Times New Roman" w:cs="Times New Roman"/>
          <w:sz w:val="24"/>
          <w:szCs w:val="24"/>
        </w:rPr>
        <w:t>For the reasons set forth</w:t>
      </w:r>
      <w:r w:rsidR="00F91A02" w:rsidRPr="00331E3A">
        <w:rPr>
          <w:rFonts w:ascii="Times New Roman" w:hAnsi="Times New Roman" w:cs="Times New Roman"/>
          <w:sz w:val="24"/>
          <w:szCs w:val="24"/>
        </w:rPr>
        <w:t xml:space="preserve"> above, </w:t>
      </w:r>
      <w:r>
        <w:rPr>
          <w:rFonts w:ascii="Times New Roman" w:hAnsi="Times New Roman" w:cs="Times New Roman"/>
          <w:sz w:val="24"/>
          <w:szCs w:val="24"/>
        </w:rPr>
        <w:t>DMH’s Motion to Dismiss DMH as a Party to the Parents’ Expedited Hearing Request is hereby ALLOWED.  It may be that DMH will find Alistair eligible for services based on the application submitted by his parents on or about October 7, 2014.  In that case, Parents and/or Andover will be free to f</w:t>
      </w:r>
      <w:r w:rsidR="006C58FF">
        <w:rPr>
          <w:rFonts w:ascii="Times New Roman" w:hAnsi="Times New Roman" w:cs="Times New Roman"/>
          <w:sz w:val="24"/>
          <w:szCs w:val="24"/>
        </w:rPr>
        <w:t>ile a Motion for Joinder of DMH</w:t>
      </w:r>
      <w:r w:rsidR="00812753">
        <w:rPr>
          <w:rFonts w:ascii="Times New Roman" w:hAnsi="Times New Roman" w:cs="Times New Roman"/>
          <w:sz w:val="24"/>
          <w:szCs w:val="24"/>
        </w:rPr>
        <w:t>.</w:t>
      </w:r>
    </w:p>
    <w:p w14:paraId="2CB544B0" w14:textId="77777777" w:rsidR="00812753" w:rsidRPr="00585C77" w:rsidRDefault="00812753" w:rsidP="005E427D">
      <w:pPr>
        <w:rPr>
          <w:rFonts w:ascii="Times New Roman" w:hAnsi="Times New Roman" w:cs="Times New Roman"/>
          <w:sz w:val="24"/>
          <w:szCs w:val="24"/>
        </w:rPr>
      </w:pPr>
    </w:p>
    <w:p w14:paraId="678F542C" w14:textId="77777777" w:rsidR="005E427D" w:rsidRDefault="005E427D">
      <w:pPr>
        <w:rPr>
          <w:rFonts w:ascii="Times New Roman" w:hAnsi="Times New Roman" w:cs="Times New Roman"/>
          <w:b/>
          <w:sz w:val="24"/>
          <w:szCs w:val="24"/>
        </w:rPr>
      </w:pPr>
      <w:r>
        <w:rPr>
          <w:rFonts w:ascii="Times New Roman" w:hAnsi="Times New Roman" w:cs="Times New Roman"/>
          <w:b/>
          <w:sz w:val="24"/>
          <w:szCs w:val="24"/>
        </w:rPr>
        <w:lastRenderedPageBreak/>
        <w:t>ORDER</w:t>
      </w:r>
    </w:p>
    <w:p w14:paraId="21954EC9" w14:textId="77777777" w:rsidR="005E427D" w:rsidRDefault="005E427D" w:rsidP="005E427D">
      <w:pPr>
        <w:pStyle w:val="ListParagraph"/>
        <w:numPr>
          <w:ilvl w:val="0"/>
          <w:numId w:val="7"/>
        </w:num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DMH’s Motion to Dismiss DMH as a Party to this appeal is </w:t>
      </w:r>
      <w:r>
        <w:rPr>
          <w:rFonts w:ascii="Times New Roman" w:hAnsi="Times New Roman" w:cs="Times New Roman"/>
          <w:b/>
          <w:sz w:val="24"/>
          <w:szCs w:val="24"/>
        </w:rPr>
        <w:t>ALLOWED.</w:t>
      </w:r>
    </w:p>
    <w:p w14:paraId="0EE0433C" w14:textId="2CBBAAD7" w:rsidR="005E427D" w:rsidRPr="009F6C62" w:rsidRDefault="005E427D" w:rsidP="005E427D">
      <w:pPr>
        <w:pStyle w:val="ListParagraph"/>
        <w:numPr>
          <w:ilvl w:val="0"/>
          <w:numId w:val="7"/>
        </w:numPr>
        <w:rPr>
          <w:rFonts w:ascii="Times New Roman" w:hAnsi="Times New Roman" w:cs="Times New Roman"/>
          <w:b/>
          <w:sz w:val="24"/>
          <w:szCs w:val="24"/>
        </w:rPr>
      </w:pPr>
      <w:r>
        <w:rPr>
          <w:rFonts w:ascii="Times New Roman" w:hAnsi="Times New Roman" w:cs="Times New Roman"/>
          <w:sz w:val="24"/>
          <w:szCs w:val="24"/>
        </w:rPr>
        <w:t xml:space="preserve">A hearing in this matter will take place on October 24 and November 5, 2014 at the </w:t>
      </w:r>
      <w:r w:rsidR="00137D8B" w:rsidRPr="00331E3A">
        <w:rPr>
          <w:rFonts w:ascii="Times New Roman" w:hAnsi="Times New Roman" w:cs="Times New Roman"/>
          <w:sz w:val="24"/>
          <w:szCs w:val="24"/>
        </w:rPr>
        <w:t>Bureau of Special Education Appeals, One Congress Str</w:t>
      </w:r>
      <w:r w:rsidR="00137D8B">
        <w:rPr>
          <w:rFonts w:ascii="Times New Roman" w:hAnsi="Times New Roman" w:cs="Times New Roman"/>
          <w:sz w:val="24"/>
          <w:szCs w:val="24"/>
        </w:rPr>
        <w:t>eet, Boston Massachusetts 02114.</w:t>
      </w: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77777777" w:rsidR="009F6C62" w:rsidRDefault="009F6C62" w:rsidP="005E427D">
      <w:pPr>
        <w:rPr>
          <w:rFonts w:ascii="Times New Roman" w:hAnsi="Times New Roman" w:cs="Times New Roman"/>
          <w:sz w:val="24"/>
          <w:szCs w:val="24"/>
        </w:rPr>
      </w:pPr>
      <w:r>
        <w:rPr>
          <w:rFonts w:ascii="Times New Roman" w:hAnsi="Times New Roman" w:cs="Times New Roman"/>
          <w:sz w:val="24"/>
          <w:szCs w:val="24"/>
        </w:rPr>
        <w:t>By the Hearing Officer:</w:t>
      </w:r>
    </w:p>
    <w:p w14:paraId="3EFB9B9D" w14:textId="77777777" w:rsidR="00137D8B" w:rsidRDefault="00137D8B" w:rsidP="005E427D">
      <w:pPr>
        <w:rPr>
          <w:rFonts w:ascii="Times New Roman" w:hAnsi="Times New Roman" w:cs="Times New Roman"/>
          <w:sz w:val="24"/>
          <w:szCs w:val="24"/>
        </w:rPr>
      </w:pPr>
    </w:p>
    <w:p w14:paraId="14DB1B75" w14:textId="2BF6A7D7"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91A365" w14:textId="77777777" w:rsidR="00137D8B" w:rsidRDefault="00137D8B"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Amy M. </w:t>
      </w:r>
      <w:proofErr w:type="spellStart"/>
      <w:r>
        <w:rPr>
          <w:rFonts w:ascii="Times New Roman" w:hAnsi="Times New Roman" w:cs="Times New Roman"/>
          <w:sz w:val="24"/>
          <w:szCs w:val="24"/>
        </w:rPr>
        <w:t>Reichbach</w:t>
      </w:r>
      <w:proofErr w:type="spellEnd"/>
    </w:p>
    <w:p w14:paraId="3D2DC6A0" w14:textId="5F95E8B9" w:rsidR="00987768" w:rsidRPr="00137D8B" w:rsidRDefault="00137D8B" w:rsidP="00137D8B">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Pr>
          <w:rFonts w:ascii="Times New Roman" w:hAnsi="Times New Roman" w:cs="Times New Roman"/>
          <w:sz w:val="24"/>
          <w:szCs w:val="24"/>
        </w:rPr>
        <w:t>October 10, 2014</w:t>
      </w:r>
    </w:p>
    <w:sectPr w:rsidR="00987768" w:rsidRP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C2C14A" w14:textId="77777777" w:rsidR="00FD1BA5" w:rsidRDefault="00FD1BA5" w:rsidP="00C17B47">
      <w:pPr>
        <w:spacing w:after="0" w:line="240" w:lineRule="auto"/>
      </w:pPr>
      <w:r>
        <w:separator/>
      </w:r>
    </w:p>
  </w:endnote>
  <w:endnote w:type="continuationSeparator" w:id="0">
    <w:p w14:paraId="23800ACF" w14:textId="77777777" w:rsidR="00FD1BA5" w:rsidRDefault="00FD1BA5"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E27947" w:rsidRDefault="00E27947">
        <w:pPr>
          <w:pStyle w:val="Footer"/>
          <w:jc w:val="center"/>
        </w:pPr>
        <w:r>
          <w:fldChar w:fldCharType="begin"/>
        </w:r>
        <w:r>
          <w:instrText xml:space="preserve"> PAGE   \* MERGEFORMAT </w:instrText>
        </w:r>
        <w:r>
          <w:fldChar w:fldCharType="separate"/>
        </w:r>
        <w:r w:rsidR="00740936">
          <w:rPr>
            <w:noProof/>
          </w:rPr>
          <w:t>6</w:t>
        </w:r>
        <w:r>
          <w:rPr>
            <w:noProof/>
          </w:rPr>
          <w:fldChar w:fldCharType="end"/>
        </w:r>
      </w:p>
    </w:sdtContent>
  </w:sdt>
  <w:p w14:paraId="6EECF0F7" w14:textId="77777777" w:rsidR="004D033C" w:rsidRDefault="004D03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AB9B3" w14:textId="77777777" w:rsidR="00FD1BA5" w:rsidRDefault="00FD1BA5" w:rsidP="00C17B47">
      <w:pPr>
        <w:spacing w:after="0" w:line="240" w:lineRule="auto"/>
      </w:pPr>
      <w:r>
        <w:separator/>
      </w:r>
    </w:p>
  </w:footnote>
  <w:footnote w:type="continuationSeparator" w:id="0">
    <w:p w14:paraId="75BBDFBC" w14:textId="77777777" w:rsidR="00FD1BA5" w:rsidRDefault="00FD1BA5" w:rsidP="00C17B47">
      <w:pPr>
        <w:spacing w:after="0" w:line="240" w:lineRule="auto"/>
      </w:pPr>
      <w:r>
        <w:continuationSeparator/>
      </w:r>
    </w:p>
  </w:footnote>
  <w:footnote w:id="1">
    <w:p w14:paraId="2F5391DB" w14:textId="49FC2B49" w:rsidR="00E46BD9" w:rsidRPr="00E46BD9" w:rsidRDefault="00E46BD9">
      <w:pPr>
        <w:pStyle w:val="FootnoteText"/>
        <w:rPr>
          <w:rFonts w:ascii="Times New Roman" w:hAnsi="Times New Roman" w:cs="Times New Roman"/>
        </w:rPr>
      </w:pPr>
      <w:r w:rsidRPr="00E46BD9">
        <w:rPr>
          <w:rStyle w:val="FootnoteReference"/>
          <w:rFonts w:ascii="Times New Roman" w:hAnsi="Times New Roman" w:cs="Times New Roman"/>
        </w:rPr>
        <w:footnoteRef/>
      </w:r>
      <w:r w:rsidRPr="00E46BD9">
        <w:rPr>
          <w:rFonts w:ascii="Times New Roman" w:hAnsi="Times New Roman" w:cs="Times New Roman"/>
        </w:rPr>
        <w:t xml:space="preserve"> “Alistair”</w:t>
      </w:r>
      <w:r>
        <w:rPr>
          <w:rFonts w:ascii="Times New Roman" w:hAnsi="Times New Roman" w:cs="Times New Roman"/>
        </w:rPr>
        <w:t xml:space="preserve"> </w:t>
      </w:r>
      <w:r w:rsidRPr="00E46BD9">
        <w:rPr>
          <w:rFonts w:ascii="Times New Roman" w:hAnsi="Times New Roman" w:cs="Times New Roman"/>
        </w:rPr>
        <w:t>is a pseudonym chosen by the Hearing Officer to protect the privacy of the Student in documents available to the public.</w:t>
      </w:r>
    </w:p>
  </w:footnote>
  <w:footnote w:id="2">
    <w:p w14:paraId="24A94799" w14:textId="66192D4B" w:rsidR="00E46BD9" w:rsidRPr="00E46BD9" w:rsidRDefault="00E46BD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104 CMR 29.16(3) provides for appeals of denial of an individual’s application for DMH services based on clinical criteria through a Request for Informal Conference within ten days of receipt of the denial of the application (which may be waived), or through a Request for Reconsideration submitted in writing within ten days after conclusion of the informal conference or the agreement to waive such conference.  There is no provision for appeals submitted outside of this window.</w:t>
      </w:r>
    </w:p>
  </w:footnote>
  <w:footnote w:id="3">
    <w:p w14:paraId="3EE9B081" w14:textId="6E33B515" w:rsidR="00236E5A" w:rsidRPr="00236E5A" w:rsidRDefault="00236E5A">
      <w:pPr>
        <w:pStyle w:val="FootnoteText"/>
        <w:rPr>
          <w:rFonts w:ascii="Times New Roman" w:hAnsi="Times New Roman" w:cs="Times New Roman"/>
        </w:rPr>
      </w:pPr>
      <w:r w:rsidRPr="00236E5A">
        <w:rPr>
          <w:rStyle w:val="FootnoteReference"/>
          <w:rFonts w:ascii="Times New Roman" w:hAnsi="Times New Roman" w:cs="Times New Roman"/>
        </w:rPr>
        <w:footnoteRef/>
      </w:r>
      <w:r w:rsidRPr="00236E5A">
        <w:rPr>
          <w:rFonts w:ascii="Times New Roman" w:hAnsi="Times New Roman" w:cs="Times New Roman"/>
        </w:rPr>
        <w:t xml:space="preserve"> </w:t>
      </w:r>
      <w:r w:rsidRPr="00236E5A">
        <w:rPr>
          <w:rFonts w:ascii="Times New Roman" w:hAnsi="Times New Roman" w:cs="Times New Roman"/>
          <w:i/>
        </w:rPr>
        <w:t xml:space="preserve">See </w:t>
      </w:r>
      <w:r w:rsidRPr="00236E5A">
        <w:rPr>
          <w:rFonts w:ascii="Times New Roman" w:hAnsi="Times New Roman" w:cs="Times New Roman"/>
        </w:rPr>
        <w:t xml:space="preserve">note 2, </w:t>
      </w:r>
      <w:r w:rsidRPr="00236E5A">
        <w:rPr>
          <w:rFonts w:ascii="Times New Roman" w:hAnsi="Times New Roman" w:cs="Times New Roman"/>
          <w:i/>
        </w:rPr>
        <w:t>supra</w:t>
      </w:r>
      <w:r w:rsidRPr="00236E5A">
        <w:rPr>
          <w:rFonts w:ascii="Times New Roman" w:hAnsi="Times New Roman" w:cs="Times New Roman"/>
        </w:rPr>
        <w:t>, and accompanying text.</w:t>
      </w:r>
    </w:p>
  </w:footnote>
  <w:footnote w:id="4">
    <w:p w14:paraId="00AD557A" w14:textId="6468C313" w:rsidR="00E46BD9" w:rsidRPr="007B2BC2" w:rsidRDefault="00E46BD9" w:rsidP="007B2BC2">
      <w:pPr>
        <w:pStyle w:val="FootnoteText"/>
        <w:spacing w:before="240"/>
        <w:rPr>
          <w:rFonts w:ascii="Times New Roman" w:hAnsi="Times New Roman" w:cs="Times New Roman"/>
        </w:rPr>
      </w:pPr>
      <w:r w:rsidRPr="007B2BC2">
        <w:rPr>
          <w:rStyle w:val="FootnoteReference"/>
          <w:rFonts w:ascii="Times New Roman" w:hAnsi="Times New Roman" w:cs="Times New Roman"/>
        </w:rPr>
        <w:footnoteRef/>
      </w:r>
      <w:r w:rsidRPr="007B2BC2">
        <w:rPr>
          <w:rFonts w:ascii="Times New Roman" w:hAnsi="Times New Roman" w:cs="Times New Roman"/>
        </w:rPr>
        <w:t xml:space="preserve"> </w:t>
      </w:r>
      <w:r w:rsidR="007B2BC2" w:rsidRPr="007B2BC2">
        <w:rPr>
          <w:rFonts w:ascii="Times New Roman" w:hAnsi="Times New Roman" w:cs="Times New Roman"/>
        </w:rPr>
        <w:t>Though DMH cites to 104 CMR 29.04(3</w:t>
      </w:r>
      <w:proofErr w:type="gramStart"/>
      <w:r w:rsidR="007B2BC2" w:rsidRPr="007B2BC2">
        <w:rPr>
          <w:rFonts w:ascii="Times New Roman" w:hAnsi="Times New Roman" w:cs="Times New Roman"/>
        </w:rPr>
        <w:t>)(</w:t>
      </w:r>
      <w:proofErr w:type="gramEnd"/>
      <w:r w:rsidR="007B2BC2" w:rsidRPr="007B2BC2">
        <w:rPr>
          <w:rFonts w:ascii="Times New Roman" w:hAnsi="Times New Roman" w:cs="Times New Roman"/>
        </w:rPr>
        <w:t>a), the text it cites appears in 104 CMR 29.04(2)(b).  Under the latter provision</w:t>
      </w:r>
      <w:r w:rsidR="007B2BC2">
        <w:rPr>
          <w:rFonts w:ascii="Times New Roman" w:hAnsi="Times New Roman" w:cs="Times New Roman"/>
        </w:rPr>
        <w:t xml:space="preserve">, a child or adolescent with a serious emotional disturbance that, </w:t>
      </w:r>
      <w:r w:rsidR="007B2BC2">
        <w:rPr>
          <w:rFonts w:ascii="Times New Roman" w:hAnsi="Times New Roman" w:cs="Times New Roman"/>
          <w:i/>
        </w:rPr>
        <w:t xml:space="preserve">inter </w:t>
      </w:r>
      <w:r w:rsidR="007B2BC2" w:rsidRPr="007B2BC2">
        <w:rPr>
          <w:rFonts w:ascii="Times New Roman" w:hAnsi="Times New Roman" w:cs="Times New Roman"/>
          <w:i/>
        </w:rPr>
        <w:t>alia</w:t>
      </w:r>
      <w:r w:rsidR="007B2BC2">
        <w:rPr>
          <w:rFonts w:ascii="Times New Roman" w:hAnsi="Times New Roman" w:cs="Times New Roman"/>
        </w:rPr>
        <w:t xml:space="preserve">, meets the </w:t>
      </w:r>
      <w:r w:rsidR="007B2BC2" w:rsidRPr="007B2BC2">
        <w:rPr>
          <w:rFonts w:ascii="Times New Roman" w:hAnsi="Times New Roman" w:cs="Times New Roman"/>
        </w:rPr>
        <w:t>diagnostic</w:t>
      </w:r>
      <w:r w:rsidR="007B2BC2">
        <w:rPr>
          <w:rFonts w:ascii="Times New Roman" w:hAnsi="Times New Roman" w:cs="Times New Roman"/>
        </w:rPr>
        <w:t xml:space="preserve"> criteria specified in the </w:t>
      </w:r>
      <w:r w:rsidR="007B2BC2">
        <w:rPr>
          <w:rFonts w:ascii="Times New Roman" w:hAnsi="Times New Roman" w:cs="Times New Roman"/>
          <w:i/>
        </w:rPr>
        <w:t>Diagnostic and Statistical Manual of Mental Disorders</w:t>
      </w:r>
      <w:r w:rsidR="007B2BC2">
        <w:rPr>
          <w:rFonts w:ascii="Times New Roman" w:hAnsi="Times New Roman" w:cs="Times New Roman"/>
        </w:rPr>
        <w:t xml:space="preserve"> but that is solely within one of several categories including “mental disorders due to a general medical conditi</w:t>
      </w:r>
      <w:r w:rsidR="003C34D3">
        <w:rPr>
          <w:rFonts w:ascii="Times New Roman" w:hAnsi="Times New Roman" w:cs="Times New Roman"/>
        </w:rPr>
        <w:t>on not elsewhere classified,”</w:t>
      </w:r>
      <w:r w:rsidR="007B2BC2">
        <w:rPr>
          <w:rFonts w:ascii="Times New Roman" w:hAnsi="Times New Roman" w:cs="Times New Roman"/>
        </w:rPr>
        <w:t xml:space="preserve"> does not qualify for DMH services.  </w:t>
      </w:r>
      <w:r w:rsidR="007B2BC2" w:rsidRPr="007B2BC2">
        <w:rPr>
          <w:rFonts w:ascii="Times New Roman" w:hAnsi="Times New Roman"/>
        </w:rPr>
        <w:t>104 CMR 29.04(2</w:t>
      </w:r>
      <w:proofErr w:type="gramStart"/>
      <w:r w:rsidR="007B2BC2" w:rsidRPr="007B2BC2">
        <w:rPr>
          <w:rFonts w:ascii="Times New Roman" w:hAnsi="Times New Roman"/>
        </w:rPr>
        <w:t>)(</w:t>
      </w:r>
      <w:proofErr w:type="gramEnd"/>
      <w:r w:rsidR="007B2BC2" w:rsidRPr="007B2BC2">
        <w:rPr>
          <w:rFonts w:ascii="Times New Roman" w:hAnsi="Times New Roman"/>
        </w:rPr>
        <w:t>b)(3)(c).</w:t>
      </w:r>
      <w:r w:rsidR="007B2BC2">
        <w:rPr>
          <w:rFonts w:ascii="Times New Roman" w:hAnsi="Times New Roman"/>
        </w:rPr>
        <w:t xml:space="preserve">  DMH’s </w:t>
      </w:r>
      <w:r w:rsidR="007B2BC2">
        <w:rPr>
          <w:rFonts w:ascii="Times New Roman" w:hAnsi="Times New Roman"/>
          <w:i/>
        </w:rPr>
        <w:t>Interpretive Guidelines for Determining Service Authorization</w:t>
      </w:r>
      <w:r w:rsidR="00E27947">
        <w:rPr>
          <w:rFonts w:ascii="Times New Roman" w:hAnsi="Times New Roman"/>
        </w:rPr>
        <w:t xml:space="preserve"> (Dec. 2009), of</w:t>
      </w:r>
      <w:r w:rsidR="007B2BC2">
        <w:rPr>
          <w:rFonts w:ascii="Times New Roman" w:hAnsi="Times New Roman"/>
        </w:rPr>
        <w:t xml:space="preserve"> which this Hearing Officer takes judicial notice, includes traumatic brain injury in this category.</w:t>
      </w:r>
    </w:p>
  </w:footnote>
  <w:footnote w:id="5">
    <w:p w14:paraId="2C158C7F" w14:textId="24987904" w:rsidR="00BA2D8C" w:rsidRPr="00BA2D8C" w:rsidRDefault="00BA2D8C">
      <w:pPr>
        <w:pStyle w:val="FootnoteText"/>
        <w:rPr>
          <w:rFonts w:ascii="Times New Roman" w:hAnsi="Times New Roman" w:cs="Times New Roman"/>
        </w:rPr>
      </w:pPr>
      <w:r w:rsidRPr="00BA2D8C">
        <w:rPr>
          <w:rStyle w:val="FootnoteReference"/>
          <w:rFonts w:ascii="Times New Roman" w:hAnsi="Times New Roman" w:cs="Times New Roman"/>
        </w:rPr>
        <w:footnoteRef/>
      </w:r>
      <w:r w:rsidRPr="00BA2D8C">
        <w:rPr>
          <w:rFonts w:ascii="Times New Roman" w:hAnsi="Times New Roman" w:cs="Times New Roman"/>
        </w:rPr>
        <w:t xml:space="preserve"> </w:t>
      </w:r>
      <w:proofErr w:type="gramStart"/>
      <w:r w:rsidRPr="00BA2D8C">
        <w:rPr>
          <w:rFonts w:ascii="Times New Roman" w:hAnsi="Times New Roman" w:cs="Times New Roman"/>
          <w:i/>
        </w:rPr>
        <w:t xml:space="preserve">See </w:t>
      </w:r>
      <w:r w:rsidR="00976D70">
        <w:rPr>
          <w:rFonts w:ascii="Times New Roman" w:hAnsi="Times New Roman" w:cs="Times New Roman"/>
        </w:rPr>
        <w:t>M.G.L. c</w:t>
      </w:r>
      <w:r w:rsidR="00FF50ED" w:rsidRPr="00FF50ED">
        <w:rPr>
          <w:rFonts w:ascii="Times New Roman" w:hAnsi="Times New Roman" w:cs="Times New Roman"/>
        </w:rPr>
        <w:t xml:space="preserve"> 71B, § 3</w:t>
      </w:r>
      <w:r w:rsidR="00FF50ED">
        <w:rPr>
          <w:rFonts w:ascii="Times New Roman" w:hAnsi="Times New Roman" w:cs="Times New Roman"/>
          <w:sz w:val="24"/>
          <w:szCs w:val="24"/>
        </w:rPr>
        <w:t xml:space="preserve">; </w:t>
      </w:r>
      <w:r w:rsidR="00FF50ED" w:rsidRPr="00FF50ED">
        <w:rPr>
          <w:rFonts w:ascii="Times New Roman" w:hAnsi="Times New Roman" w:cs="Times New Roman"/>
          <w:i/>
        </w:rPr>
        <w:t>see also</w:t>
      </w:r>
      <w:r w:rsidR="00FF50ED">
        <w:rPr>
          <w:rFonts w:ascii="Times New Roman" w:hAnsi="Times New Roman" w:cs="Times New Roman"/>
          <w:i/>
          <w:sz w:val="24"/>
          <w:szCs w:val="24"/>
        </w:rPr>
        <w:t xml:space="preserve"> </w:t>
      </w:r>
      <w:r w:rsidR="00FF50ED">
        <w:rPr>
          <w:rFonts w:ascii="Times New Roman" w:hAnsi="Times New Roman" w:cs="Times New Roman"/>
        </w:rPr>
        <w:t xml:space="preserve">603 </w:t>
      </w:r>
      <w:r w:rsidR="00976D70">
        <w:rPr>
          <w:rFonts w:ascii="Times New Roman" w:hAnsi="Times New Roman" w:cs="Times New Roman"/>
        </w:rPr>
        <w:t>CMR</w:t>
      </w:r>
      <w:r w:rsidR="00FF50ED">
        <w:rPr>
          <w:rFonts w:ascii="Times New Roman" w:hAnsi="Times New Roman" w:cs="Times New Roman"/>
        </w:rPr>
        <w:t xml:space="preserve"> 28.08(3) (corresponding regulations).</w:t>
      </w:r>
      <w:proofErr w:type="gramEnd"/>
    </w:p>
  </w:footnote>
  <w:footnote w:id="6">
    <w:p w14:paraId="5EBB3CC5" w14:textId="078B764D" w:rsidR="00585C77" w:rsidRDefault="00585C77">
      <w:pPr>
        <w:pStyle w:val="FootnoteText"/>
      </w:pPr>
      <w:r>
        <w:rPr>
          <w:rStyle w:val="FootnoteReference"/>
        </w:rPr>
        <w:footnoteRef/>
      </w:r>
      <w:r>
        <w:t xml:space="preserve"> </w:t>
      </w:r>
      <w:r>
        <w:rPr>
          <w:rFonts w:ascii="Times New Roman" w:hAnsi="Times New Roman" w:cs="Times New Roman"/>
        </w:rPr>
        <w:t>Parent</w:t>
      </w:r>
      <w:r w:rsidR="00FF50ED">
        <w:rPr>
          <w:rFonts w:ascii="Times New Roman" w:hAnsi="Times New Roman" w:cs="Times New Roman"/>
        </w:rPr>
        <w:t>s assert</w:t>
      </w:r>
      <w:r>
        <w:rPr>
          <w:rFonts w:ascii="Times New Roman" w:hAnsi="Times New Roman" w:cs="Times New Roman"/>
        </w:rPr>
        <w:t xml:space="preserve"> that a DMH case manager’</w:t>
      </w:r>
      <w:r w:rsidR="005E427D">
        <w:rPr>
          <w:rFonts w:ascii="Times New Roman" w:hAnsi="Times New Roman" w:cs="Times New Roman"/>
        </w:rPr>
        <w:t>s attendance</w:t>
      </w:r>
      <w:r>
        <w:rPr>
          <w:rFonts w:ascii="Times New Roman" w:hAnsi="Times New Roman" w:cs="Times New Roman"/>
        </w:rPr>
        <w:t xml:space="preserve"> </w:t>
      </w:r>
      <w:r w:rsidR="00FF50ED">
        <w:rPr>
          <w:rFonts w:ascii="Times New Roman" w:hAnsi="Times New Roman" w:cs="Times New Roman"/>
        </w:rPr>
        <w:t xml:space="preserve">at </w:t>
      </w:r>
      <w:r>
        <w:rPr>
          <w:rFonts w:ascii="Times New Roman" w:hAnsi="Times New Roman" w:cs="Times New Roman"/>
        </w:rPr>
        <w:t>meeting</w:t>
      </w:r>
      <w:r w:rsidR="005E427D">
        <w:rPr>
          <w:rFonts w:ascii="Times New Roman" w:hAnsi="Times New Roman" w:cs="Times New Roman"/>
        </w:rPr>
        <w:t>s</w:t>
      </w:r>
      <w:r>
        <w:rPr>
          <w:rFonts w:ascii="Times New Roman" w:hAnsi="Times New Roman" w:cs="Times New Roman"/>
        </w:rPr>
        <w:t xml:space="preserve"> regarding Alistair even though he was not officially a client suggests that </w:t>
      </w:r>
      <w:r w:rsidR="005E427D">
        <w:rPr>
          <w:rFonts w:ascii="Times New Roman" w:hAnsi="Times New Roman" w:cs="Times New Roman"/>
        </w:rPr>
        <w:t>DMH anticipated that Alistair would become a client of DMH in the future. T</w:t>
      </w:r>
      <w:r>
        <w:rPr>
          <w:rFonts w:ascii="Times New Roman" w:hAnsi="Times New Roman" w:cs="Times New Roman"/>
        </w:rPr>
        <w:t xml:space="preserve">he Hearing Officer does not interpret this action as providing a formal relationship between Alistair and DMH that </w:t>
      </w:r>
      <w:r w:rsidR="005E427D">
        <w:rPr>
          <w:rFonts w:ascii="Times New Roman" w:hAnsi="Times New Roman" w:cs="Times New Roman"/>
        </w:rPr>
        <w:t>justifies</w:t>
      </w:r>
      <w:r>
        <w:rPr>
          <w:rFonts w:ascii="Times New Roman" w:hAnsi="Times New Roman" w:cs="Times New Roman"/>
        </w:rPr>
        <w:t xml:space="preserve"> joinder over DMH’s opposition where Alistair has been found ineligible for DMH services</w:t>
      </w:r>
      <w:r w:rsidR="005E427D">
        <w:rPr>
          <w:rFonts w:ascii="Times New Roman" w:hAnsi="Times New Roman" w:cs="Times New Roman"/>
        </w:rPr>
        <w:t xml:space="preserve"> and where, during at least some of the time the case manager was attending these meetings, no application for services was pending</w:t>
      </w:r>
      <w:r>
        <w:rPr>
          <w:rFonts w:ascii="Times New Roman" w:hAnsi="Times New Roman" w:cs="Times New Roman"/>
        </w:rPr>
        <w:t>.</w:t>
      </w:r>
    </w:p>
  </w:footnote>
  <w:footnote w:id="7">
    <w:p w14:paraId="66218E5F" w14:textId="3C986F27" w:rsidR="00F55E91" w:rsidRDefault="00F55E91">
      <w:pPr>
        <w:pStyle w:val="FootnoteText"/>
      </w:pPr>
      <w:r w:rsidRPr="00F55E91">
        <w:rPr>
          <w:rStyle w:val="FootnoteReference"/>
          <w:rFonts w:ascii="Times New Roman" w:hAnsi="Times New Roman" w:cs="Times New Roman"/>
        </w:rPr>
        <w:footnoteRef/>
      </w:r>
      <w:r w:rsidRPr="00F55E91">
        <w:rPr>
          <w:rFonts w:ascii="Times New Roman" w:hAnsi="Times New Roman" w:cs="Times New Roman"/>
        </w:rPr>
        <w:t xml:space="preserve"> Even if DMH were to accept these diagnoses, it is possible that again DMH would trace their root to a traumatic</w:t>
      </w:r>
      <w:r>
        <w:t xml:space="preserve"> </w:t>
      </w:r>
      <w:r w:rsidRPr="00F55E91">
        <w:rPr>
          <w:rFonts w:ascii="Times New Roman" w:hAnsi="Times New Roman" w:cs="Times New Roman"/>
        </w:rPr>
        <w:t>brain injury and reject his application</w:t>
      </w:r>
      <w:r w:rsidR="00585C77">
        <w:rPr>
          <w:rFonts w:ascii="Times New Roman" w:hAnsi="Times New Roman" w:cs="Times New Roman"/>
        </w:rPr>
        <w:t xml:space="preserve"> pursuant to 104 CMR 29.04(2)(b</w:t>
      </w:r>
      <w:r w:rsidR="00812753">
        <w:rPr>
          <w:rFonts w:ascii="Times New Roman" w:hAnsi="Times New Roman" w:cs="Times New Roman"/>
        </w:rPr>
        <w:t>)</w:t>
      </w:r>
      <w:r w:rsidR="00585C77">
        <w:rPr>
          <w:rFonts w:ascii="Times New Roman" w:hAnsi="Times New Roman" w:cs="Times New Roman"/>
        </w:rPr>
        <w:t xml:space="preserve"> </w:t>
      </w:r>
      <w:r w:rsidR="00812753">
        <w:rPr>
          <w:rFonts w:ascii="Times New Roman" w:hAnsi="Times New Roman" w:cs="Times New Roman"/>
        </w:rPr>
        <w:t xml:space="preserve">.  It might not.  </w:t>
      </w:r>
      <w:r w:rsidR="006C58FF">
        <w:rPr>
          <w:rFonts w:ascii="Times New Roman" w:hAnsi="Times New Roman" w:cs="Times New Roman"/>
        </w:rPr>
        <w:t>At this point, the outcome of</w:t>
      </w:r>
      <w:r w:rsidRPr="00F55E91">
        <w:rPr>
          <w:rFonts w:ascii="Times New Roman" w:hAnsi="Times New Roman" w:cs="Times New Roman"/>
        </w:rPr>
        <w:t xml:space="preserve"> </w:t>
      </w:r>
      <w:r w:rsidR="006C58FF">
        <w:rPr>
          <w:rFonts w:ascii="Times New Roman" w:hAnsi="Times New Roman" w:cs="Times New Roman"/>
        </w:rPr>
        <w:t xml:space="preserve">Alistair’s pending application to DMH is </w:t>
      </w:r>
      <w:r w:rsidRPr="00F55E91">
        <w:rPr>
          <w:rFonts w:ascii="Times New Roman" w:hAnsi="Times New Roman" w:cs="Times New Roman"/>
        </w:rPr>
        <w:t>a matter of speculation.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161DA"/>
    <w:rsid w:val="00037AA5"/>
    <w:rsid w:val="00037B42"/>
    <w:rsid w:val="00044090"/>
    <w:rsid w:val="00051607"/>
    <w:rsid w:val="00053E48"/>
    <w:rsid w:val="0006098F"/>
    <w:rsid w:val="000B6DE3"/>
    <w:rsid w:val="000E3014"/>
    <w:rsid w:val="001264F0"/>
    <w:rsid w:val="00137D8B"/>
    <w:rsid w:val="00145F73"/>
    <w:rsid w:val="00172D6B"/>
    <w:rsid w:val="001734C2"/>
    <w:rsid w:val="001735CF"/>
    <w:rsid w:val="001B6F20"/>
    <w:rsid w:val="001D3D4C"/>
    <w:rsid w:val="001D58C8"/>
    <w:rsid w:val="001F0844"/>
    <w:rsid w:val="00200922"/>
    <w:rsid w:val="00236E5A"/>
    <w:rsid w:val="002C7304"/>
    <w:rsid w:val="00331E3A"/>
    <w:rsid w:val="003368E0"/>
    <w:rsid w:val="00352E26"/>
    <w:rsid w:val="00363700"/>
    <w:rsid w:val="00396142"/>
    <w:rsid w:val="003C34D3"/>
    <w:rsid w:val="003D42BE"/>
    <w:rsid w:val="003E4A80"/>
    <w:rsid w:val="004030E7"/>
    <w:rsid w:val="00427EC8"/>
    <w:rsid w:val="00430C13"/>
    <w:rsid w:val="00433C17"/>
    <w:rsid w:val="00436B3C"/>
    <w:rsid w:val="00462D63"/>
    <w:rsid w:val="0048106F"/>
    <w:rsid w:val="004B361B"/>
    <w:rsid w:val="004B43AC"/>
    <w:rsid w:val="004D033C"/>
    <w:rsid w:val="004F4025"/>
    <w:rsid w:val="004F4E44"/>
    <w:rsid w:val="00512A85"/>
    <w:rsid w:val="00580B43"/>
    <w:rsid w:val="00585C77"/>
    <w:rsid w:val="00597057"/>
    <w:rsid w:val="005A361D"/>
    <w:rsid w:val="005B7568"/>
    <w:rsid w:val="005B7D2D"/>
    <w:rsid w:val="005E427D"/>
    <w:rsid w:val="00627016"/>
    <w:rsid w:val="00635D79"/>
    <w:rsid w:val="0065295A"/>
    <w:rsid w:val="006572F2"/>
    <w:rsid w:val="00683C51"/>
    <w:rsid w:val="006A180D"/>
    <w:rsid w:val="006A4BB2"/>
    <w:rsid w:val="006A4E1E"/>
    <w:rsid w:val="006A65A3"/>
    <w:rsid w:val="006C58FF"/>
    <w:rsid w:val="006D3FE9"/>
    <w:rsid w:val="006E1C01"/>
    <w:rsid w:val="00705DE3"/>
    <w:rsid w:val="00724C44"/>
    <w:rsid w:val="00727805"/>
    <w:rsid w:val="00732104"/>
    <w:rsid w:val="00740936"/>
    <w:rsid w:val="0076007D"/>
    <w:rsid w:val="00762A68"/>
    <w:rsid w:val="00771BDB"/>
    <w:rsid w:val="00774BEA"/>
    <w:rsid w:val="007B2BC2"/>
    <w:rsid w:val="007C4089"/>
    <w:rsid w:val="007E6E45"/>
    <w:rsid w:val="00804ED5"/>
    <w:rsid w:val="0081242C"/>
    <w:rsid w:val="00812753"/>
    <w:rsid w:val="00817DA0"/>
    <w:rsid w:val="008408BB"/>
    <w:rsid w:val="00880759"/>
    <w:rsid w:val="00884893"/>
    <w:rsid w:val="00897272"/>
    <w:rsid w:val="008C36D8"/>
    <w:rsid w:val="008F293C"/>
    <w:rsid w:val="00900104"/>
    <w:rsid w:val="00901772"/>
    <w:rsid w:val="00926C0A"/>
    <w:rsid w:val="00975087"/>
    <w:rsid w:val="00976D70"/>
    <w:rsid w:val="00987768"/>
    <w:rsid w:val="00993B08"/>
    <w:rsid w:val="009F6C62"/>
    <w:rsid w:val="00A0672D"/>
    <w:rsid w:val="00A56BCB"/>
    <w:rsid w:val="00A84AC1"/>
    <w:rsid w:val="00A910A6"/>
    <w:rsid w:val="00A94F63"/>
    <w:rsid w:val="00A96ECE"/>
    <w:rsid w:val="00AB055C"/>
    <w:rsid w:val="00AB2DBA"/>
    <w:rsid w:val="00AE2851"/>
    <w:rsid w:val="00AF4FE6"/>
    <w:rsid w:val="00B22DE6"/>
    <w:rsid w:val="00B33F13"/>
    <w:rsid w:val="00B705CA"/>
    <w:rsid w:val="00B7296D"/>
    <w:rsid w:val="00B73950"/>
    <w:rsid w:val="00B84CC3"/>
    <w:rsid w:val="00B91029"/>
    <w:rsid w:val="00B94B62"/>
    <w:rsid w:val="00BA2D8C"/>
    <w:rsid w:val="00BB3430"/>
    <w:rsid w:val="00BC093E"/>
    <w:rsid w:val="00BE3FA7"/>
    <w:rsid w:val="00BF0DE0"/>
    <w:rsid w:val="00C17B47"/>
    <w:rsid w:val="00C213F6"/>
    <w:rsid w:val="00C27A7E"/>
    <w:rsid w:val="00C412A1"/>
    <w:rsid w:val="00C7445B"/>
    <w:rsid w:val="00CE1014"/>
    <w:rsid w:val="00CE4DC8"/>
    <w:rsid w:val="00CF10F6"/>
    <w:rsid w:val="00CF3104"/>
    <w:rsid w:val="00D3002D"/>
    <w:rsid w:val="00D62E1D"/>
    <w:rsid w:val="00DB43F7"/>
    <w:rsid w:val="00DE030D"/>
    <w:rsid w:val="00DE4EA0"/>
    <w:rsid w:val="00DF7B2F"/>
    <w:rsid w:val="00E13B26"/>
    <w:rsid w:val="00E27947"/>
    <w:rsid w:val="00E46245"/>
    <w:rsid w:val="00E46BD9"/>
    <w:rsid w:val="00E501CC"/>
    <w:rsid w:val="00E565A7"/>
    <w:rsid w:val="00E56ACC"/>
    <w:rsid w:val="00E9495E"/>
    <w:rsid w:val="00E950DC"/>
    <w:rsid w:val="00E97F64"/>
    <w:rsid w:val="00EA2710"/>
    <w:rsid w:val="00ED7DA3"/>
    <w:rsid w:val="00EE22D7"/>
    <w:rsid w:val="00F32747"/>
    <w:rsid w:val="00F444F2"/>
    <w:rsid w:val="00F55E91"/>
    <w:rsid w:val="00F5642C"/>
    <w:rsid w:val="00F60E83"/>
    <w:rsid w:val="00F81DD8"/>
    <w:rsid w:val="00F85003"/>
    <w:rsid w:val="00F85231"/>
    <w:rsid w:val="00F86CB4"/>
    <w:rsid w:val="00F91A02"/>
    <w:rsid w:val="00F9785D"/>
    <w:rsid w:val="00FA27E2"/>
    <w:rsid w:val="00FD1BA5"/>
    <w:rsid w:val="00FD7155"/>
    <w:rsid w:val="00FF5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semiHidden/>
    <w:unhideWhenUsed/>
    <w:rsid w:val="003E4A80"/>
    <w:pPr>
      <w:spacing w:after="0" w:line="240" w:lineRule="auto"/>
    </w:pPr>
    <w:rPr>
      <w:sz w:val="20"/>
      <w:szCs w:val="20"/>
    </w:rPr>
  </w:style>
  <w:style w:type="character" w:customStyle="1" w:styleId="FootnoteTextChar">
    <w:name w:val="Footnote Text Char"/>
    <w:basedOn w:val="DefaultParagraphFont"/>
    <w:link w:val="FootnoteText"/>
    <w:semiHidden/>
    <w:rsid w:val="003E4A80"/>
    <w:rPr>
      <w:sz w:val="20"/>
      <w:szCs w:val="20"/>
    </w:rPr>
  </w:style>
  <w:style w:type="character" w:styleId="FootnoteReference">
    <w:name w:val="footnote reference"/>
    <w:basedOn w:val="DefaultParagraphFont"/>
    <w:uiPriority w:val="99"/>
    <w:semiHidden/>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2A5996-1A80-4D7C-AD39-1C9541587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1912</Words>
  <Characters>10905</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12792</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2014-10-15T15:46:00Z</dcterms:created>
  <dc:creator>LeBlanc, Tiana (ALA)</dc:creator>
  <keywords>Georgetown and DMH, BSEA # 15-00020</keywords>
  <lastModifiedBy>ANF</lastModifiedBy>
  <lastPrinted>2014-10-10T19:43:00Z</lastPrinted>
  <dcterms:modified xsi:type="dcterms:W3CDTF">2014-10-15T15:46:00Z</dcterms:modified>
  <revision>2</revision>
  <dc:subject>Georgetown and DMH, BSEA # 15-00020</dc:subject>
  <dc:title>Georgetown and DMH, BSEA # 15-00020</dc:title>
</coreProperties>
</file>