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26FCF" w14:textId="77777777" w:rsidR="00A54717" w:rsidRPr="00A94F63" w:rsidRDefault="00A54717" w:rsidP="00A54717">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21581977" w14:textId="77777777" w:rsidR="00A54717" w:rsidRPr="00A94F63" w:rsidRDefault="00A54717" w:rsidP="00A54717">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DIVISION OF ADMINISTRATIVE LAW APPEALS</w:t>
      </w:r>
    </w:p>
    <w:p w14:paraId="4BD5A5B9" w14:textId="77777777" w:rsidR="00A54717" w:rsidRPr="00A94F63" w:rsidRDefault="00A54717" w:rsidP="00A54717">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BUREAU OF SPECIAL EDUCATION APPEALS</w:t>
      </w:r>
    </w:p>
    <w:p w14:paraId="5E438C96" w14:textId="77777777" w:rsidR="00A54717" w:rsidRDefault="00A54717" w:rsidP="00A54717">
      <w:pPr>
        <w:pStyle w:val="NoSpacing"/>
        <w:jc w:val="center"/>
        <w:rPr>
          <w:rFonts w:ascii="Times New Roman" w:hAnsi="Times New Roman" w:cs="Times New Roman"/>
          <w:sz w:val="25"/>
          <w:szCs w:val="25"/>
        </w:rPr>
      </w:pPr>
    </w:p>
    <w:p w14:paraId="60754349" w14:textId="77777777" w:rsidR="00A54717" w:rsidRPr="00331E3A" w:rsidRDefault="00A54717" w:rsidP="00A54717">
      <w:pPr>
        <w:pStyle w:val="NoSpacing"/>
        <w:jc w:val="center"/>
        <w:rPr>
          <w:rFonts w:ascii="Times New Roman" w:hAnsi="Times New Roman" w:cs="Times New Roman"/>
          <w:sz w:val="24"/>
        </w:rPr>
      </w:pPr>
    </w:p>
    <w:p w14:paraId="0DA33DD6" w14:textId="471C7B22" w:rsidR="00A54717" w:rsidRDefault="00A54717" w:rsidP="00A54717">
      <w:pPr>
        <w:pStyle w:val="NoSpacing"/>
        <w:rPr>
          <w:rFonts w:ascii="Times New Roman" w:hAnsi="Times New Roman" w:cs="Times New Roman"/>
          <w:sz w:val="24"/>
        </w:rPr>
      </w:pPr>
      <w:r w:rsidRPr="00331E3A">
        <w:rPr>
          <w:rFonts w:ascii="Times New Roman" w:hAnsi="Times New Roman" w:cs="Times New Roman"/>
          <w:sz w:val="24"/>
        </w:rPr>
        <w:t xml:space="preserve">In re:   </w:t>
      </w:r>
      <w:r w:rsidRPr="00CC2A45">
        <w:rPr>
          <w:rFonts w:ascii="Times New Roman" w:hAnsi="Times New Roman" w:cs="Times New Roman"/>
          <w:color w:val="000000" w:themeColor="text1"/>
          <w:sz w:val="24"/>
        </w:rPr>
        <w:t xml:space="preserve"> </w:t>
      </w:r>
      <w:r w:rsidR="00CC2A45" w:rsidRPr="00CC2A45">
        <w:rPr>
          <w:rFonts w:ascii="Times New Roman" w:hAnsi="Times New Roman" w:cs="Times New Roman"/>
          <w:color w:val="000000" w:themeColor="text1"/>
          <w:sz w:val="24"/>
        </w:rPr>
        <w:t>Victoria</w:t>
      </w:r>
      <w:r w:rsidR="00156906">
        <w:rPr>
          <w:rStyle w:val="FootnoteReference"/>
          <w:rFonts w:ascii="Times New Roman" w:hAnsi="Times New Roman" w:cs="Times New Roman"/>
          <w:color w:val="000000" w:themeColor="text1"/>
          <w:sz w:val="24"/>
        </w:rPr>
        <w:footnoteReference w:id="1"/>
      </w:r>
      <w:r w:rsidRPr="001F21FA">
        <w:rPr>
          <w:rFonts w:ascii="Times New Roman" w:hAnsi="Times New Roman" w:cs="Times New Roman"/>
          <w:color w:val="FF0000"/>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31E3A">
        <w:rPr>
          <w:rFonts w:ascii="Times New Roman" w:hAnsi="Times New Roman" w:cs="Times New Roman"/>
          <w:sz w:val="24"/>
        </w:rPr>
        <w:t>BSEA</w:t>
      </w:r>
      <w:r w:rsidRPr="00331E3A">
        <w:rPr>
          <w:rFonts w:ascii="Times New Roman" w:hAnsi="Times New Roman" w:cs="Times New Roman"/>
          <w:b/>
          <w:sz w:val="24"/>
        </w:rPr>
        <w:t xml:space="preserve"> #</w:t>
      </w:r>
      <w:r>
        <w:rPr>
          <w:rFonts w:ascii="Times New Roman" w:hAnsi="Times New Roman" w:cs="Times New Roman"/>
          <w:sz w:val="24"/>
        </w:rPr>
        <w:t>1606853</w:t>
      </w:r>
    </w:p>
    <w:p w14:paraId="4A87E6F3" w14:textId="77777777" w:rsidR="00A54717" w:rsidRPr="00331E3A" w:rsidRDefault="00A54717" w:rsidP="00A54717">
      <w:pPr>
        <w:pStyle w:val="NoSpacing"/>
        <w:rPr>
          <w:rFonts w:ascii="Times New Roman" w:hAnsi="Times New Roman" w:cs="Times New Roman"/>
          <w:sz w:val="24"/>
        </w:rPr>
      </w:pPr>
    </w:p>
    <w:p w14:paraId="5AB3D88F" w14:textId="77777777" w:rsidR="00A54717" w:rsidRPr="00331E3A" w:rsidRDefault="00A54717" w:rsidP="00A54717">
      <w:pPr>
        <w:pStyle w:val="NoSpacing"/>
        <w:rPr>
          <w:rFonts w:ascii="Times New Roman" w:hAnsi="Times New Roman" w:cs="Times New Roman"/>
          <w:b/>
          <w:sz w:val="24"/>
        </w:rPr>
      </w:pPr>
    </w:p>
    <w:p w14:paraId="4087CF73" w14:textId="77777777" w:rsidR="00A54717" w:rsidRPr="00331E3A" w:rsidRDefault="00A54717" w:rsidP="00A54717">
      <w:pPr>
        <w:pStyle w:val="NoSpacing"/>
        <w:rPr>
          <w:rFonts w:ascii="Times New Roman" w:hAnsi="Times New Roman" w:cs="Times New Roman"/>
          <w:b/>
          <w:sz w:val="24"/>
        </w:rPr>
      </w:pPr>
    </w:p>
    <w:p w14:paraId="352E3F07" w14:textId="77777777" w:rsidR="00A54717" w:rsidRPr="00331E3A" w:rsidRDefault="00A54717" w:rsidP="00A54717">
      <w:pPr>
        <w:pStyle w:val="NoSpacing"/>
        <w:jc w:val="center"/>
        <w:rPr>
          <w:rFonts w:ascii="Times New Roman" w:hAnsi="Times New Roman" w:cs="Times New Roman"/>
          <w:b/>
          <w:sz w:val="24"/>
          <w:u w:val="single"/>
        </w:rPr>
      </w:pPr>
      <w:r w:rsidRPr="00331E3A">
        <w:rPr>
          <w:rFonts w:ascii="Times New Roman" w:hAnsi="Times New Roman" w:cs="Times New Roman"/>
          <w:b/>
          <w:sz w:val="24"/>
          <w:u w:val="single"/>
        </w:rPr>
        <w:t xml:space="preserve">RULING ON </w:t>
      </w:r>
      <w:r>
        <w:rPr>
          <w:rFonts w:ascii="Times New Roman" w:hAnsi="Times New Roman" w:cs="Times New Roman"/>
          <w:b/>
          <w:sz w:val="24"/>
          <w:u w:val="single"/>
        </w:rPr>
        <w:t>PARENT’S MOTION TO DISMISS</w:t>
      </w:r>
      <w:r w:rsidR="00597739">
        <w:rPr>
          <w:rFonts w:ascii="Times New Roman" w:hAnsi="Times New Roman" w:cs="Times New Roman"/>
          <w:b/>
          <w:sz w:val="24"/>
          <w:u w:val="single"/>
        </w:rPr>
        <w:t xml:space="preserve"> AND </w:t>
      </w:r>
      <w:r w:rsidR="00516F3D">
        <w:rPr>
          <w:rFonts w:ascii="Times New Roman" w:hAnsi="Times New Roman" w:cs="Times New Roman"/>
          <w:b/>
          <w:sz w:val="24"/>
          <w:u w:val="single"/>
        </w:rPr>
        <w:t xml:space="preserve">MOTION </w:t>
      </w:r>
      <w:r w:rsidR="00597739">
        <w:rPr>
          <w:rFonts w:ascii="Times New Roman" w:hAnsi="Times New Roman" w:cs="Times New Roman"/>
          <w:b/>
          <w:sz w:val="24"/>
          <w:u w:val="single"/>
        </w:rPr>
        <w:t xml:space="preserve">TO DISQUALIFY </w:t>
      </w:r>
      <w:r w:rsidR="00516F3D">
        <w:rPr>
          <w:rFonts w:ascii="Times New Roman" w:hAnsi="Times New Roman" w:cs="Times New Roman"/>
          <w:b/>
          <w:sz w:val="24"/>
          <w:u w:val="single"/>
        </w:rPr>
        <w:t xml:space="preserve">LEGAL </w:t>
      </w:r>
      <w:r w:rsidR="00597739">
        <w:rPr>
          <w:rFonts w:ascii="Times New Roman" w:hAnsi="Times New Roman" w:cs="Times New Roman"/>
          <w:b/>
          <w:sz w:val="24"/>
          <w:u w:val="single"/>
        </w:rPr>
        <w:t>COUNSEL</w:t>
      </w:r>
    </w:p>
    <w:p w14:paraId="4A34B7A0" w14:textId="77777777" w:rsidR="00A54717" w:rsidRPr="00331E3A" w:rsidRDefault="00A54717" w:rsidP="00A54717">
      <w:pPr>
        <w:pStyle w:val="NoSpacing"/>
        <w:jc w:val="center"/>
        <w:rPr>
          <w:rFonts w:ascii="Times New Roman" w:hAnsi="Times New Roman" w:cs="Times New Roman"/>
          <w:b/>
          <w:sz w:val="24"/>
          <w:u w:val="single"/>
        </w:rPr>
      </w:pPr>
    </w:p>
    <w:p w14:paraId="637544EC" w14:textId="0E8E2E7B" w:rsidR="00A54717" w:rsidRDefault="00597739" w:rsidP="003D1258">
      <w:pPr>
        <w:pStyle w:val="NoSpacing"/>
        <w:ind w:firstLine="720"/>
        <w:rPr>
          <w:rFonts w:ascii="Times New Roman" w:hAnsi="Times New Roman" w:cs="Times New Roman"/>
          <w:sz w:val="24"/>
        </w:rPr>
      </w:pPr>
      <w:r>
        <w:rPr>
          <w:rFonts w:ascii="Times New Roman" w:hAnsi="Times New Roman" w:cs="Times New Roman"/>
          <w:sz w:val="24"/>
        </w:rPr>
        <w:t>These</w:t>
      </w:r>
      <w:r w:rsidR="00A54717" w:rsidRPr="00331E3A">
        <w:rPr>
          <w:rFonts w:ascii="Times New Roman" w:hAnsi="Times New Roman" w:cs="Times New Roman"/>
          <w:sz w:val="24"/>
        </w:rPr>
        <w:t xml:space="preserve"> matter</w:t>
      </w:r>
      <w:r>
        <w:rPr>
          <w:rFonts w:ascii="Times New Roman" w:hAnsi="Times New Roman" w:cs="Times New Roman"/>
          <w:sz w:val="24"/>
        </w:rPr>
        <w:t>s</w:t>
      </w:r>
      <w:r w:rsidR="003D1258">
        <w:rPr>
          <w:rFonts w:ascii="Times New Roman" w:hAnsi="Times New Roman" w:cs="Times New Roman"/>
          <w:sz w:val="24"/>
        </w:rPr>
        <w:t xml:space="preserve"> come</w:t>
      </w:r>
      <w:r w:rsidR="00A54717" w:rsidRPr="00331E3A">
        <w:rPr>
          <w:rFonts w:ascii="Times New Roman" w:hAnsi="Times New Roman" w:cs="Times New Roman"/>
          <w:sz w:val="24"/>
        </w:rPr>
        <w:t xml:space="preserve"> before the Heari</w:t>
      </w:r>
      <w:r w:rsidR="00A54717">
        <w:rPr>
          <w:rFonts w:ascii="Times New Roman" w:hAnsi="Times New Roman" w:cs="Times New Roman"/>
          <w:sz w:val="24"/>
        </w:rPr>
        <w:t xml:space="preserve">ng Officer on the Motion of the </w:t>
      </w:r>
      <w:r>
        <w:rPr>
          <w:rFonts w:ascii="Times New Roman" w:hAnsi="Times New Roman" w:cs="Times New Roman"/>
          <w:sz w:val="24"/>
        </w:rPr>
        <w:t xml:space="preserve">Parent </w:t>
      </w:r>
      <w:r w:rsidR="00A54717">
        <w:rPr>
          <w:rFonts w:ascii="Times New Roman" w:hAnsi="Times New Roman" w:cs="Times New Roman"/>
          <w:sz w:val="24"/>
        </w:rPr>
        <w:t>to Dismiss with Prejudice the Hearing Request (“M</w:t>
      </w:r>
      <w:r w:rsidR="00E124F8">
        <w:rPr>
          <w:rFonts w:ascii="Times New Roman" w:hAnsi="Times New Roman" w:cs="Times New Roman"/>
          <w:sz w:val="24"/>
        </w:rPr>
        <w:t>otion to Dismiss”) filed by the District</w:t>
      </w:r>
      <w:r w:rsidR="00E124F8">
        <w:rPr>
          <w:rStyle w:val="FootnoteReference"/>
          <w:rFonts w:ascii="Times New Roman" w:hAnsi="Times New Roman" w:cs="Times New Roman"/>
          <w:sz w:val="24"/>
        </w:rPr>
        <w:footnoteReference w:id="2"/>
      </w:r>
      <w:r>
        <w:rPr>
          <w:rFonts w:ascii="Times New Roman" w:hAnsi="Times New Roman" w:cs="Times New Roman"/>
          <w:sz w:val="24"/>
        </w:rPr>
        <w:t>, and the Motion of the Parent to Disqualify Legal Counsel</w:t>
      </w:r>
      <w:r w:rsidR="00FA417D">
        <w:rPr>
          <w:rFonts w:ascii="Times New Roman" w:hAnsi="Times New Roman" w:cs="Times New Roman"/>
          <w:sz w:val="24"/>
        </w:rPr>
        <w:t xml:space="preserve"> representing the District</w:t>
      </w:r>
      <w:r w:rsidR="008A5A8B">
        <w:rPr>
          <w:rFonts w:ascii="Times New Roman" w:hAnsi="Times New Roman" w:cs="Times New Roman"/>
          <w:sz w:val="24"/>
        </w:rPr>
        <w:t xml:space="preserve"> (“Motion to Disqualify”)</w:t>
      </w:r>
      <w:r>
        <w:rPr>
          <w:rFonts w:ascii="Times New Roman" w:hAnsi="Times New Roman" w:cs="Times New Roman"/>
          <w:sz w:val="24"/>
        </w:rPr>
        <w:t xml:space="preserve">. </w:t>
      </w:r>
      <w:r w:rsidR="0030780D">
        <w:rPr>
          <w:rFonts w:ascii="Times New Roman" w:hAnsi="Times New Roman" w:cs="Times New Roman"/>
          <w:sz w:val="24"/>
        </w:rPr>
        <w:t xml:space="preserve">The District filed its request for hearing on February 29, 2016. </w:t>
      </w:r>
      <w:r w:rsidR="00A54717">
        <w:rPr>
          <w:rFonts w:ascii="Times New Roman" w:hAnsi="Times New Roman" w:cs="Times New Roman"/>
          <w:sz w:val="24"/>
        </w:rPr>
        <w:t xml:space="preserve">The Motion </w:t>
      </w:r>
      <w:r>
        <w:rPr>
          <w:rFonts w:ascii="Times New Roman" w:hAnsi="Times New Roman" w:cs="Times New Roman"/>
          <w:sz w:val="24"/>
        </w:rPr>
        <w:t>to Dismiss was filed</w:t>
      </w:r>
      <w:r w:rsidR="0030780D">
        <w:rPr>
          <w:rFonts w:ascii="Times New Roman" w:hAnsi="Times New Roman" w:cs="Times New Roman"/>
          <w:sz w:val="24"/>
        </w:rPr>
        <w:t xml:space="preserve"> by Parent </w:t>
      </w:r>
      <w:r>
        <w:rPr>
          <w:rFonts w:ascii="Times New Roman" w:hAnsi="Times New Roman" w:cs="Times New Roman"/>
          <w:sz w:val="24"/>
        </w:rPr>
        <w:t xml:space="preserve">over the course of several communications </w:t>
      </w:r>
      <w:r w:rsidR="0030780D">
        <w:rPr>
          <w:rFonts w:ascii="Times New Roman" w:hAnsi="Times New Roman" w:cs="Times New Roman"/>
          <w:sz w:val="24"/>
        </w:rPr>
        <w:t xml:space="preserve">on March 24, April 13, April 19, and April 22, 2016.  </w:t>
      </w:r>
      <w:r w:rsidR="00A54717">
        <w:rPr>
          <w:rFonts w:ascii="Times New Roman" w:hAnsi="Times New Roman" w:cs="Times New Roman"/>
          <w:sz w:val="24"/>
        </w:rPr>
        <w:t xml:space="preserve">The </w:t>
      </w:r>
      <w:r w:rsidR="0030780D">
        <w:rPr>
          <w:rFonts w:ascii="Times New Roman" w:hAnsi="Times New Roman" w:cs="Times New Roman"/>
          <w:sz w:val="24"/>
        </w:rPr>
        <w:t>District</w:t>
      </w:r>
      <w:r w:rsidR="00A54717">
        <w:rPr>
          <w:rFonts w:ascii="Times New Roman" w:hAnsi="Times New Roman" w:cs="Times New Roman"/>
          <w:sz w:val="24"/>
        </w:rPr>
        <w:t xml:space="preserve"> filed </w:t>
      </w:r>
      <w:r w:rsidR="0030780D">
        <w:rPr>
          <w:rFonts w:ascii="Times New Roman" w:hAnsi="Times New Roman" w:cs="Times New Roman"/>
          <w:sz w:val="24"/>
        </w:rPr>
        <w:t>its</w:t>
      </w:r>
      <w:r w:rsidR="00A54717">
        <w:rPr>
          <w:rFonts w:ascii="Times New Roman" w:hAnsi="Times New Roman" w:cs="Times New Roman"/>
          <w:sz w:val="24"/>
        </w:rPr>
        <w:t xml:space="preserve"> </w:t>
      </w:r>
      <w:r w:rsidR="00EA0403">
        <w:rPr>
          <w:rFonts w:ascii="Times New Roman" w:hAnsi="Times New Roman" w:cs="Times New Roman"/>
          <w:sz w:val="24"/>
        </w:rPr>
        <w:t xml:space="preserve">first </w:t>
      </w:r>
      <w:r w:rsidR="00A54717">
        <w:rPr>
          <w:rFonts w:ascii="Times New Roman" w:hAnsi="Times New Roman" w:cs="Times New Roman"/>
          <w:sz w:val="24"/>
        </w:rPr>
        <w:t xml:space="preserve">Opposition to the </w:t>
      </w:r>
      <w:r w:rsidR="0030780D">
        <w:rPr>
          <w:rFonts w:ascii="Times New Roman" w:hAnsi="Times New Roman" w:cs="Times New Roman"/>
          <w:sz w:val="24"/>
        </w:rPr>
        <w:t>Parent</w:t>
      </w:r>
      <w:r w:rsidR="00A54717">
        <w:rPr>
          <w:rFonts w:ascii="Times New Roman" w:hAnsi="Times New Roman" w:cs="Times New Roman"/>
          <w:sz w:val="24"/>
        </w:rPr>
        <w:t xml:space="preserve">’s Motion to Dismiss on </w:t>
      </w:r>
      <w:r w:rsidR="00EA0403">
        <w:rPr>
          <w:rFonts w:ascii="Times New Roman" w:hAnsi="Times New Roman" w:cs="Times New Roman"/>
          <w:sz w:val="24"/>
        </w:rPr>
        <w:t xml:space="preserve">March 22, 2016 and a second Opposition to Parent’s Motion to Dismiss and/or Motion for Summary Judgment on </w:t>
      </w:r>
      <w:r w:rsidR="0030780D">
        <w:rPr>
          <w:rFonts w:ascii="Times New Roman" w:hAnsi="Times New Roman" w:cs="Times New Roman"/>
          <w:sz w:val="24"/>
        </w:rPr>
        <w:t>May 6, 2016</w:t>
      </w:r>
      <w:r w:rsidR="00516F3D">
        <w:rPr>
          <w:rFonts w:ascii="Times New Roman" w:hAnsi="Times New Roman" w:cs="Times New Roman"/>
          <w:sz w:val="24"/>
        </w:rPr>
        <w:t xml:space="preserve">. The Parent filed her Motion to </w:t>
      </w:r>
      <w:proofErr w:type="gramStart"/>
      <w:r w:rsidR="00516F3D">
        <w:rPr>
          <w:rFonts w:ascii="Times New Roman" w:hAnsi="Times New Roman" w:cs="Times New Roman"/>
          <w:sz w:val="24"/>
        </w:rPr>
        <w:t>Disqualify</w:t>
      </w:r>
      <w:proofErr w:type="gramEnd"/>
      <w:r w:rsidR="00516F3D">
        <w:rPr>
          <w:rFonts w:ascii="Times New Roman" w:hAnsi="Times New Roman" w:cs="Times New Roman"/>
          <w:sz w:val="24"/>
        </w:rPr>
        <w:t xml:space="preserve">, also, over the course of several communications on March 28, March 30, and May 9, 2016. </w:t>
      </w:r>
      <w:r w:rsidR="00EA0403">
        <w:rPr>
          <w:rFonts w:ascii="Times New Roman" w:hAnsi="Times New Roman" w:cs="Times New Roman"/>
          <w:sz w:val="24"/>
        </w:rPr>
        <w:t xml:space="preserve">The </w:t>
      </w:r>
      <w:r w:rsidR="00516F3D">
        <w:rPr>
          <w:rFonts w:ascii="Times New Roman" w:hAnsi="Times New Roman" w:cs="Times New Roman"/>
          <w:sz w:val="24"/>
        </w:rPr>
        <w:t>District filed its Opposition to the Parent’s Motion to Disqualify on March 31, 2016.</w:t>
      </w:r>
      <w:r w:rsidR="0030780D" w:rsidRPr="0030780D">
        <w:rPr>
          <w:rFonts w:ascii="Times New Roman" w:hAnsi="Times New Roman" w:cs="Times New Roman"/>
          <w:color w:val="FF0000"/>
          <w:sz w:val="24"/>
        </w:rPr>
        <w:t xml:space="preserve"> </w:t>
      </w:r>
      <w:r w:rsidR="00A54717" w:rsidRPr="00CC2A45">
        <w:rPr>
          <w:rFonts w:ascii="Times New Roman" w:hAnsi="Times New Roman" w:cs="Times New Roman"/>
          <w:color w:val="000000" w:themeColor="text1"/>
          <w:sz w:val="24"/>
        </w:rPr>
        <w:t xml:space="preserve">Neither party has requested a hearing on </w:t>
      </w:r>
      <w:r w:rsidR="00EA0403">
        <w:rPr>
          <w:rFonts w:ascii="Times New Roman" w:hAnsi="Times New Roman" w:cs="Times New Roman"/>
          <w:color w:val="000000" w:themeColor="text1"/>
          <w:sz w:val="24"/>
        </w:rPr>
        <w:t>either</w:t>
      </w:r>
      <w:r w:rsidR="00A54717" w:rsidRPr="00CC2A45">
        <w:rPr>
          <w:rFonts w:ascii="Times New Roman" w:hAnsi="Times New Roman" w:cs="Times New Roman"/>
          <w:color w:val="000000" w:themeColor="text1"/>
          <w:sz w:val="24"/>
        </w:rPr>
        <w:t xml:space="preserve"> Motion, and as testimony or oral argument would not advance the Hearing Officer’s understanding of the issues involved, this Ruling is being issued without a hearing pursuant to </w:t>
      </w:r>
      <w:r w:rsidR="00A54717" w:rsidRPr="00CC2A45">
        <w:rPr>
          <w:rFonts w:ascii="Times New Roman" w:hAnsi="Times New Roman" w:cs="Times New Roman"/>
          <w:i/>
          <w:color w:val="000000" w:themeColor="text1"/>
          <w:sz w:val="24"/>
        </w:rPr>
        <w:t xml:space="preserve">Bureau of Special Education Appeals Hearing Rule </w:t>
      </w:r>
      <w:proofErr w:type="gramStart"/>
      <w:r w:rsidR="00A54717" w:rsidRPr="00CC2A45">
        <w:rPr>
          <w:rFonts w:ascii="Times New Roman" w:hAnsi="Times New Roman" w:cs="Times New Roman"/>
          <w:i/>
          <w:color w:val="000000" w:themeColor="text1"/>
          <w:sz w:val="24"/>
        </w:rPr>
        <w:t>VII(</w:t>
      </w:r>
      <w:proofErr w:type="gramEnd"/>
      <w:r w:rsidR="00A54717" w:rsidRPr="00CC2A45">
        <w:rPr>
          <w:rFonts w:ascii="Times New Roman" w:hAnsi="Times New Roman" w:cs="Times New Roman"/>
          <w:i/>
          <w:color w:val="000000" w:themeColor="text1"/>
          <w:sz w:val="24"/>
        </w:rPr>
        <w:t>D)</w:t>
      </w:r>
      <w:r w:rsidR="00A54717" w:rsidRPr="00CC2A45">
        <w:rPr>
          <w:rFonts w:ascii="Times New Roman" w:hAnsi="Times New Roman" w:cs="Times New Roman"/>
          <w:color w:val="000000" w:themeColor="text1"/>
          <w:sz w:val="24"/>
        </w:rPr>
        <w:t>.</w:t>
      </w:r>
      <w:r w:rsidR="00A54717" w:rsidRPr="00CC2A45">
        <w:rPr>
          <w:rStyle w:val="FootnoteReference"/>
          <w:rFonts w:ascii="Times New Roman" w:hAnsi="Times New Roman" w:cs="Times New Roman"/>
          <w:color w:val="000000" w:themeColor="text1"/>
          <w:sz w:val="24"/>
        </w:rPr>
        <w:footnoteReference w:id="3"/>
      </w:r>
      <w:r w:rsidR="00A54717" w:rsidRPr="00CC2A45">
        <w:rPr>
          <w:rFonts w:ascii="Times New Roman" w:hAnsi="Times New Roman" w:cs="Times New Roman"/>
          <w:color w:val="000000" w:themeColor="text1"/>
          <w:sz w:val="24"/>
        </w:rPr>
        <w:t xml:space="preserve">  </w:t>
      </w:r>
      <w:r w:rsidR="00A54717">
        <w:rPr>
          <w:rFonts w:ascii="Times New Roman" w:hAnsi="Times New Roman" w:cs="Times New Roman"/>
          <w:sz w:val="24"/>
        </w:rPr>
        <w:t xml:space="preserve">For the reasons set forth below, </w:t>
      </w:r>
      <w:r w:rsidR="0030780D">
        <w:rPr>
          <w:rFonts w:ascii="Times New Roman" w:hAnsi="Times New Roman" w:cs="Times New Roman"/>
          <w:sz w:val="24"/>
        </w:rPr>
        <w:t>Parent</w:t>
      </w:r>
      <w:r w:rsidR="00A54717">
        <w:rPr>
          <w:rFonts w:ascii="Times New Roman" w:hAnsi="Times New Roman" w:cs="Times New Roman"/>
          <w:sz w:val="24"/>
        </w:rPr>
        <w:t>’s Motion</w:t>
      </w:r>
      <w:r w:rsidR="00516F3D">
        <w:rPr>
          <w:rFonts w:ascii="Times New Roman" w:hAnsi="Times New Roman" w:cs="Times New Roman"/>
          <w:sz w:val="24"/>
        </w:rPr>
        <w:t>s</w:t>
      </w:r>
      <w:r w:rsidR="00A54717">
        <w:rPr>
          <w:rFonts w:ascii="Times New Roman" w:hAnsi="Times New Roman" w:cs="Times New Roman"/>
          <w:sz w:val="24"/>
        </w:rPr>
        <w:t xml:space="preserve"> to Dismiss</w:t>
      </w:r>
      <w:r w:rsidR="00516F3D">
        <w:rPr>
          <w:rFonts w:ascii="Times New Roman" w:hAnsi="Times New Roman" w:cs="Times New Roman"/>
          <w:sz w:val="24"/>
        </w:rPr>
        <w:t xml:space="preserve"> and to Disqualify are</w:t>
      </w:r>
      <w:r w:rsidR="00A54717">
        <w:rPr>
          <w:rFonts w:ascii="Times New Roman" w:hAnsi="Times New Roman" w:cs="Times New Roman"/>
          <w:sz w:val="24"/>
        </w:rPr>
        <w:t xml:space="preserve"> hereby DENIED.</w:t>
      </w:r>
    </w:p>
    <w:p w14:paraId="24E1FCBC" w14:textId="77777777" w:rsidR="00A54717" w:rsidRPr="00331E3A" w:rsidRDefault="00A54717" w:rsidP="00A54717">
      <w:pPr>
        <w:pStyle w:val="NoSpacing"/>
        <w:rPr>
          <w:rFonts w:ascii="Times New Roman" w:hAnsi="Times New Roman" w:cs="Times New Roman"/>
          <w:sz w:val="24"/>
          <w:u w:val="single"/>
        </w:rPr>
      </w:pPr>
    </w:p>
    <w:p w14:paraId="0CA97A76" w14:textId="77777777" w:rsidR="00A54717" w:rsidRPr="00331E3A" w:rsidRDefault="00A54717" w:rsidP="00A54717">
      <w:pPr>
        <w:pStyle w:val="NoSpacing"/>
        <w:rPr>
          <w:rFonts w:ascii="Times New Roman" w:hAnsi="Times New Roman" w:cs="Times New Roman"/>
          <w:sz w:val="24"/>
        </w:rPr>
      </w:pPr>
    </w:p>
    <w:p w14:paraId="5CCBC341" w14:textId="77777777" w:rsidR="00A54717" w:rsidRPr="00331E3A" w:rsidRDefault="00A54717" w:rsidP="00A54717">
      <w:pPr>
        <w:pStyle w:val="NoSpacing"/>
        <w:rPr>
          <w:rFonts w:ascii="Times New Roman" w:hAnsi="Times New Roman" w:cs="Times New Roman"/>
          <w:sz w:val="24"/>
          <w:u w:val="single"/>
        </w:rPr>
      </w:pPr>
      <w:r>
        <w:rPr>
          <w:rFonts w:ascii="Times New Roman" w:hAnsi="Times New Roman" w:cs="Times New Roman"/>
          <w:sz w:val="24"/>
          <w:u w:val="single"/>
        </w:rPr>
        <w:t>FACTUAL BACKGROUND AND PROCEDURAL HISTORY</w:t>
      </w:r>
    </w:p>
    <w:p w14:paraId="100E6BE8" w14:textId="77777777" w:rsidR="00A54717" w:rsidRPr="00331E3A" w:rsidRDefault="00A54717" w:rsidP="00A54717">
      <w:pPr>
        <w:pStyle w:val="NoSpacing"/>
        <w:rPr>
          <w:rFonts w:ascii="Times New Roman" w:hAnsi="Times New Roman" w:cs="Times New Roman"/>
          <w:sz w:val="24"/>
        </w:rPr>
      </w:pPr>
    </w:p>
    <w:p w14:paraId="668F6449" w14:textId="384A8066" w:rsidR="00211F1A" w:rsidRDefault="00A54717" w:rsidP="00A54717">
      <w:pPr>
        <w:pStyle w:val="NoSpacing"/>
        <w:rPr>
          <w:rFonts w:ascii="Times New Roman" w:hAnsi="Times New Roman" w:cs="Times New Roman"/>
          <w:sz w:val="24"/>
        </w:rPr>
      </w:pPr>
      <w:r w:rsidRPr="00331E3A">
        <w:rPr>
          <w:rFonts w:ascii="Times New Roman" w:hAnsi="Times New Roman" w:cs="Times New Roman"/>
          <w:sz w:val="24"/>
        </w:rPr>
        <w:tab/>
      </w:r>
      <w:r>
        <w:rPr>
          <w:rFonts w:ascii="Times New Roman" w:hAnsi="Times New Roman" w:cs="Times New Roman"/>
          <w:sz w:val="24"/>
        </w:rPr>
        <w:t xml:space="preserve">On </w:t>
      </w:r>
      <w:r w:rsidR="00516F3D">
        <w:rPr>
          <w:rFonts w:ascii="Times New Roman" w:hAnsi="Times New Roman" w:cs="Times New Roman"/>
          <w:sz w:val="24"/>
        </w:rPr>
        <w:t>February 29, 2016,</w:t>
      </w:r>
      <w:r>
        <w:rPr>
          <w:rFonts w:ascii="Times New Roman" w:hAnsi="Times New Roman" w:cs="Times New Roman"/>
          <w:sz w:val="24"/>
        </w:rPr>
        <w:t xml:space="preserve"> the </w:t>
      </w:r>
      <w:r w:rsidR="00516F3D">
        <w:rPr>
          <w:rFonts w:ascii="Times New Roman" w:hAnsi="Times New Roman" w:cs="Times New Roman"/>
          <w:sz w:val="24"/>
        </w:rPr>
        <w:t>District</w:t>
      </w:r>
      <w:r>
        <w:rPr>
          <w:rFonts w:ascii="Times New Roman" w:hAnsi="Times New Roman" w:cs="Times New Roman"/>
          <w:sz w:val="24"/>
        </w:rPr>
        <w:t xml:space="preserve"> filed a Hearing Request with the Bureau of Special Education Appeals (“BSEA”) against the </w:t>
      </w:r>
      <w:r w:rsidR="00724588">
        <w:rPr>
          <w:rFonts w:ascii="Times New Roman" w:hAnsi="Times New Roman" w:cs="Times New Roman"/>
          <w:sz w:val="24"/>
        </w:rPr>
        <w:t xml:space="preserve">Parent. </w:t>
      </w:r>
      <w:r w:rsidR="00EA0403">
        <w:rPr>
          <w:rFonts w:ascii="Times New Roman" w:hAnsi="Times New Roman" w:cs="Times New Roman"/>
          <w:sz w:val="24"/>
        </w:rPr>
        <w:t>In it, t</w:t>
      </w:r>
      <w:r w:rsidR="00CA0FE3">
        <w:rPr>
          <w:rFonts w:ascii="Times New Roman" w:hAnsi="Times New Roman" w:cs="Times New Roman"/>
          <w:sz w:val="24"/>
        </w:rPr>
        <w:t xml:space="preserve">he </w:t>
      </w:r>
      <w:r w:rsidR="00EA0403">
        <w:rPr>
          <w:rFonts w:ascii="Times New Roman" w:hAnsi="Times New Roman" w:cs="Times New Roman"/>
          <w:sz w:val="24"/>
        </w:rPr>
        <w:t>District</w:t>
      </w:r>
      <w:r w:rsidR="00144327">
        <w:rPr>
          <w:rFonts w:ascii="Times New Roman" w:hAnsi="Times New Roman" w:cs="Times New Roman"/>
          <w:sz w:val="24"/>
        </w:rPr>
        <w:t xml:space="preserve"> provided</w:t>
      </w:r>
      <w:r w:rsidR="00EC105D">
        <w:rPr>
          <w:rFonts w:ascii="Times New Roman" w:hAnsi="Times New Roman" w:cs="Times New Roman"/>
          <w:sz w:val="24"/>
        </w:rPr>
        <w:t xml:space="preserve"> relevant</w:t>
      </w:r>
      <w:r w:rsidR="00516F3D">
        <w:rPr>
          <w:rFonts w:ascii="Times New Roman" w:hAnsi="Times New Roman" w:cs="Times New Roman"/>
          <w:sz w:val="24"/>
        </w:rPr>
        <w:t xml:space="preserve"> </w:t>
      </w:r>
      <w:r w:rsidR="00724588">
        <w:rPr>
          <w:rFonts w:ascii="Times New Roman" w:hAnsi="Times New Roman" w:cs="Times New Roman"/>
          <w:sz w:val="24"/>
        </w:rPr>
        <w:t xml:space="preserve">factual </w:t>
      </w:r>
      <w:r w:rsidR="00EC105D">
        <w:rPr>
          <w:rFonts w:ascii="Times New Roman" w:hAnsi="Times New Roman" w:cs="Times New Roman"/>
          <w:sz w:val="24"/>
        </w:rPr>
        <w:t xml:space="preserve">background and </w:t>
      </w:r>
      <w:r w:rsidR="00516F3D">
        <w:rPr>
          <w:rFonts w:ascii="Times New Roman" w:hAnsi="Times New Roman" w:cs="Times New Roman"/>
          <w:sz w:val="24"/>
        </w:rPr>
        <w:t>history</w:t>
      </w:r>
      <w:r w:rsidR="00724588">
        <w:rPr>
          <w:rFonts w:ascii="Times New Roman" w:hAnsi="Times New Roman" w:cs="Times New Roman"/>
          <w:sz w:val="24"/>
        </w:rPr>
        <w:t>,</w:t>
      </w:r>
      <w:r w:rsidR="00516F3D">
        <w:rPr>
          <w:rFonts w:ascii="Times New Roman" w:hAnsi="Times New Roman" w:cs="Times New Roman"/>
          <w:sz w:val="24"/>
        </w:rPr>
        <w:t xml:space="preserve"> </w:t>
      </w:r>
      <w:r w:rsidR="00EC105D">
        <w:rPr>
          <w:rFonts w:ascii="Times New Roman" w:hAnsi="Times New Roman" w:cs="Times New Roman"/>
          <w:sz w:val="24"/>
        </w:rPr>
        <w:t>and requested</w:t>
      </w:r>
      <w:r w:rsidR="00C2665E">
        <w:rPr>
          <w:rFonts w:ascii="Times New Roman" w:hAnsi="Times New Roman" w:cs="Times New Roman"/>
          <w:sz w:val="24"/>
        </w:rPr>
        <w:t xml:space="preserve"> that</w:t>
      </w:r>
      <w:r w:rsidR="00EC105D">
        <w:rPr>
          <w:rFonts w:ascii="Times New Roman" w:hAnsi="Times New Roman" w:cs="Times New Roman"/>
          <w:sz w:val="24"/>
        </w:rPr>
        <w:t xml:space="preserve"> the Hearing Officer issue an Order affirming that </w:t>
      </w:r>
      <w:r w:rsidR="00CA0FE3">
        <w:rPr>
          <w:rFonts w:ascii="Times New Roman" w:hAnsi="Times New Roman" w:cs="Times New Roman"/>
          <w:sz w:val="24"/>
        </w:rPr>
        <w:t xml:space="preserve">the </w:t>
      </w:r>
      <w:r w:rsidR="00EC105D">
        <w:rPr>
          <w:rFonts w:ascii="Times New Roman" w:hAnsi="Times New Roman" w:cs="Times New Roman"/>
          <w:sz w:val="24"/>
        </w:rPr>
        <w:t xml:space="preserve">District </w:t>
      </w:r>
      <w:r w:rsidR="00C2665E">
        <w:rPr>
          <w:rFonts w:ascii="Times New Roman" w:hAnsi="Times New Roman" w:cs="Times New Roman"/>
          <w:sz w:val="24"/>
        </w:rPr>
        <w:t xml:space="preserve">had </w:t>
      </w:r>
      <w:r w:rsidR="00EC105D">
        <w:rPr>
          <w:rFonts w:ascii="Times New Roman" w:hAnsi="Times New Roman" w:cs="Times New Roman"/>
          <w:sz w:val="24"/>
        </w:rPr>
        <w:t xml:space="preserve">complied with the substantive and procedural provisions of the IDEA. More specifically, </w:t>
      </w:r>
      <w:r w:rsidR="00CA0FE3">
        <w:rPr>
          <w:rFonts w:ascii="Times New Roman" w:hAnsi="Times New Roman" w:cs="Times New Roman"/>
          <w:sz w:val="24"/>
        </w:rPr>
        <w:t xml:space="preserve">the </w:t>
      </w:r>
      <w:r w:rsidR="00EC105D">
        <w:rPr>
          <w:rFonts w:ascii="Times New Roman" w:hAnsi="Times New Roman" w:cs="Times New Roman"/>
          <w:sz w:val="24"/>
        </w:rPr>
        <w:t>District requested an Order affirming that it</w:t>
      </w:r>
      <w:r w:rsidR="00D26B38">
        <w:rPr>
          <w:rFonts w:ascii="Times New Roman" w:hAnsi="Times New Roman" w:cs="Times New Roman"/>
          <w:sz w:val="24"/>
        </w:rPr>
        <w:t>s</w:t>
      </w:r>
      <w:r w:rsidR="00EC105D">
        <w:rPr>
          <w:rFonts w:ascii="Times New Roman" w:hAnsi="Times New Roman" w:cs="Times New Roman"/>
          <w:sz w:val="24"/>
        </w:rPr>
        <w:t xml:space="preserve"> proposed</w:t>
      </w:r>
      <w:r>
        <w:rPr>
          <w:rFonts w:ascii="Times New Roman" w:hAnsi="Times New Roman" w:cs="Times New Roman"/>
          <w:sz w:val="24"/>
        </w:rPr>
        <w:t xml:space="preserve"> Individualized Education Program</w:t>
      </w:r>
      <w:r w:rsidR="00EC105D">
        <w:rPr>
          <w:rFonts w:ascii="Times New Roman" w:hAnsi="Times New Roman" w:cs="Times New Roman"/>
          <w:sz w:val="24"/>
        </w:rPr>
        <w:t>s</w:t>
      </w:r>
      <w:r w:rsidR="00CA0FE3">
        <w:rPr>
          <w:rFonts w:ascii="Times New Roman" w:hAnsi="Times New Roman" w:cs="Times New Roman"/>
          <w:sz w:val="24"/>
        </w:rPr>
        <w:t xml:space="preserve"> (IEP</w:t>
      </w:r>
      <w:r>
        <w:rPr>
          <w:rFonts w:ascii="Times New Roman" w:hAnsi="Times New Roman" w:cs="Times New Roman"/>
          <w:sz w:val="24"/>
        </w:rPr>
        <w:t>)</w:t>
      </w:r>
      <w:r w:rsidR="00C2665E">
        <w:rPr>
          <w:rFonts w:ascii="Times New Roman" w:hAnsi="Times New Roman" w:cs="Times New Roman"/>
          <w:sz w:val="24"/>
        </w:rPr>
        <w:t>s</w:t>
      </w:r>
      <w:r w:rsidR="00026085">
        <w:rPr>
          <w:rStyle w:val="FootnoteReference"/>
          <w:rFonts w:ascii="Times New Roman" w:hAnsi="Times New Roman" w:cs="Times New Roman"/>
          <w:sz w:val="24"/>
        </w:rPr>
        <w:footnoteReference w:id="4"/>
      </w:r>
      <w:r w:rsidR="00EC105D">
        <w:rPr>
          <w:rFonts w:ascii="Times New Roman" w:hAnsi="Times New Roman" w:cs="Times New Roman"/>
          <w:sz w:val="24"/>
        </w:rPr>
        <w:t xml:space="preserve"> were</w:t>
      </w:r>
      <w:r>
        <w:rPr>
          <w:rFonts w:ascii="Times New Roman" w:hAnsi="Times New Roman" w:cs="Times New Roman"/>
          <w:sz w:val="24"/>
        </w:rPr>
        <w:t xml:space="preserve"> reasonably calculated to provide </w:t>
      </w:r>
      <w:r w:rsidR="00E45CCF">
        <w:rPr>
          <w:rFonts w:ascii="Times New Roman" w:hAnsi="Times New Roman" w:cs="Times New Roman"/>
          <w:sz w:val="24"/>
        </w:rPr>
        <w:t>Victoria</w:t>
      </w:r>
      <w:r>
        <w:rPr>
          <w:rFonts w:ascii="Times New Roman" w:hAnsi="Times New Roman" w:cs="Times New Roman"/>
          <w:sz w:val="24"/>
        </w:rPr>
        <w:t xml:space="preserve"> with a free, appropriate public </w:t>
      </w:r>
      <w:r>
        <w:rPr>
          <w:rFonts w:ascii="Times New Roman" w:hAnsi="Times New Roman" w:cs="Times New Roman"/>
          <w:sz w:val="24"/>
        </w:rPr>
        <w:lastRenderedPageBreak/>
        <w:t>education</w:t>
      </w:r>
      <w:r w:rsidR="00EC105D">
        <w:rPr>
          <w:rFonts w:ascii="Times New Roman" w:hAnsi="Times New Roman" w:cs="Times New Roman"/>
          <w:sz w:val="24"/>
        </w:rPr>
        <w:t xml:space="preserve"> </w:t>
      </w:r>
      <w:r w:rsidR="00FA417D">
        <w:rPr>
          <w:rFonts w:ascii="Times New Roman" w:hAnsi="Times New Roman" w:cs="Times New Roman"/>
          <w:sz w:val="24"/>
        </w:rPr>
        <w:t>in the least restrictive environment</w:t>
      </w:r>
      <w:r w:rsidR="00C2665E">
        <w:rPr>
          <w:rFonts w:ascii="Times New Roman" w:hAnsi="Times New Roman" w:cs="Times New Roman"/>
          <w:sz w:val="24"/>
        </w:rPr>
        <w:t xml:space="preserve"> (FAPE)</w:t>
      </w:r>
      <w:r w:rsidR="00EA0403">
        <w:rPr>
          <w:rFonts w:ascii="Times New Roman" w:hAnsi="Times New Roman" w:cs="Times New Roman"/>
          <w:sz w:val="24"/>
        </w:rPr>
        <w:t>.</w:t>
      </w:r>
      <w:r w:rsidR="00026085">
        <w:rPr>
          <w:rStyle w:val="FootnoteReference"/>
          <w:rFonts w:ascii="Times New Roman" w:hAnsi="Times New Roman" w:cs="Times New Roman"/>
          <w:sz w:val="24"/>
        </w:rPr>
        <w:footnoteReference w:id="5"/>
      </w:r>
      <w:r w:rsidR="00EA0403">
        <w:rPr>
          <w:rFonts w:ascii="Times New Roman" w:hAnsi="Times New Roman" w:cs="Times New Roman"/>
          <w:sz w:val="24"/>
        </w:rPr>
        <w:t xml:space="preserve"> Parent then filed a</w:t>
      </w:r>
      <w:r>
        <w:rPr>
          <w:rFonts w:ascii="Times New Roman" w:hAnsi="Times New Roman" w:cs="Times New Roman"/>
          <w:sz w:val="24"/>
        </w:rPr>
        <w:t xml:space="preserve"> Motion to Dismiss</w:t>
      </w:r>
      <w:r w:rsidR="006B67A6">
        <w:rPr>
          <w:rFonts w:ascii="Times New Roman" w:hAnsi="Times New Roman" w:cs="Times New Roman"/>
          <w:sz w:val="24"/>
        </w:rPr>
        <w:t>,</w:t>
      </w:r>
      <w:r w:rsidR="00D26B38">
        <w:rPr>
          <w:rStyle w:val="FootnoteReference"/>
          <w:rFonts w:ascii="Times New Roman" w:hAnsi="Times New Roman" w:cs="Times New Roman"/>
          <w:sz w:val="24"/>
        </w:rPr>
        <w:footnoteReference w:id="6"/>
      </w:r>
      <w:r w:rsidR="00026085">
        <w:rPr>
          <w:rFonts w:ascii="Times New Roman" w:hAnsi="Times New Roman" w:cs="Times New Roman"/>
          <w:sz w:val="24"/>
        </w:rPr>
        <w:t xml:space="preserve"> </w:t>
      </w:r>
      <w:r w:rsidR="00D26B38">
        <w:rPr>
          <w:rFonts w:ascii="Times New Roman" w:hAnsi="Times New Roman" w:cs="Times New Roman"/>
          <w:sz w:val="24"/>
        </w:rPr>
        <w:t xml:space="preserve">in which she argued </w:t>
      </w:r>
      <w:r w:rsidR="00144327">
        <w:rPr>
          <w:rFonts w:ascii="Times New Roman" w:hAnsi="Times New Roman" w:cs="Times New Roman"/>
          <w:sz w:val="24"/>
        </w:rPr>
        <w:t xml:space="preserve">first, </w:t>
      </w:r>
      <w:r w:rsidR="00D26B38">
        <w:rPr>
          <w:rFonts w:ascii="Times New Roman" w:hAnsi="Times New Roman" w:cs="Times New Roman"/>
          <w:sz w:val="24"/>
        </w:rPr>
        <w:t xml:space="preserve">that </w:t>
      </w:r>
      <w:r w:rsidR="00CA0FE3">
        <w:rPr>
          <w:rFonts w:ascii="Times New Roman" w:hAnsi="Times New Roman" w:cs="Times New Roman"/>
          <w:sz w:val="24"/>
        </w:rPr>
        <w:t xml:space="preserve">the </w:t>
      </w:r>
      <w:r w:rsidR="00D26B38">
        <w:rPr>
          <w:rFonts w:ascii="Times New Roman" w:hAnsi="Times New Roman" w:cs="Times New Roman"/>
          <w:sz w:val="24"/>
        </w:rPr>
        <w:t>District’s Hearing Request was fraudulent and made in bad faith,</w:t>
      </w:r>
      <w:r w:rsidR="00D26B38">
        <w:rPr>
          <w:rStyle w:val="FootnoteReference"/>
          <w:rFonts w:ascii="Times New Roman" w:hAnsi="Times New Roman" w:cs="Times New Roman"/>
          <w:sz w:val="24"/>
        </w:rPr>
        <w:footnoteReference w:id="7"/>
      </w:r>
      <w:r w:rsidR="00D26B38">
        <w:rPr>
          <w:rFonts w:ascii="Times New Roman" w:hAnsi="Times New Roman" w:cs="Times New Roman"/>
          <w:sz w:val="24"/>
        </w:rPr>
        <w:t xml:space="preserve"> and</w:t>
      </w:r>
      <w:r w:rsidR="00144327">
        <w:rPr>
          <w:rFonts w:ascii="Times New Roman" w:hAnsi="Times New Roman" w:cs="Times New Roman"/>
          <w:sz w:val="24"/>
        </w:rPr>
        <w:t xml:space="preserve"> second,</w:t>
      </w:r>
      <w:r w:rsidR="00D26B38">
        <w:rPr>
          <w:rFonts w:ascii="Times New Roman" w:hAnsi="Times New Roman" w:cs="Times New Roman"/>
          <w:sz w:val="24"/>
        </w:rPr>
        <w:t xml:space="preserve"> that the BSEA does not have jurisdictio</w:t>
      </w:r>
      <w:r w:rsidR="00997DB5">
        <w:rPr>
          <w:rFonts w:ascii="Times New Roman" w:hAnsi="Times New Roman" w:cs="Times New Roman"/>
          <w:sz w:val="24"/>
        </w:rPr>
        <w:t>n over the case</w:t>
      </w:r>
      <w:r w:rsidR="00144327">
        <w:rPr>
          <w:rFonts w:ascii="Times New Roman" w:hAnsi="Times New Roman" w:cs="Times New Roman"/>
          <w:sz w:val="24"/>
        </w:rPr>
        <w:t>,</w:t>
      </w:r>
      <w:r w:rsidR="00997DB5">
        <w:rPr>
          <w:rStyle w:val="FootnoteReference"/>
          <w:rFonts w:ascii="Times New Roman" w:hAnsi="Times New Roman" w:cs="Times New Roman"/>
          <w:sz w:val="24"/>
        </w:rPr>
        <w:footnoteReference w:id="8"/>
      </w:r>
      <w:r w:rsidR="00997DB5">
        <w:rPr>
          <w:rFonts w:ascii="Times New Roman" w:hAnsi="Times New Roman" w:cs="Times New Roman"/>
          <w:sz w:val="24"/>
        </w:rPr>
        <w:t xml:space="preserve"> as </w:t>
      </w:r>
      <w:r w:rsidR="00E45CCF">
        <w:rPr>
          <w:rFonts w:ascii="Times New Roman" w:hAnsi="Times New Roman" w:cs="Times New Roman"/>
          <w:sz w:val="24"/>
        </w:rPr>
        <w:t xml:space="preserve">Victoria </w:t>
      </w:r>
      <w:r w:rsidR="00997DB5">
        <w:rPr>
          <w:rFonts w:ascii="Times New Roman" w:hAnsi="Times New Roman" w:cs="Times New Roman"/>
          <w:sz w:val="24"/>
        </w:rPr>
        <w:t>is not</w:t>
      </w:r>
      <w:r w:rsidR="00D26B38">
        <w:rPr>
          <w:rFonts w:ascii="Times New Roman" w:hAnsi="Times New Roman" w:cs="Times New Roman"/>
          <w:sz w:val="24"/>
        </w:rPr>
        <w:t xml:space="preserve"> a</w:t>
      </w:r>
      <w:r w:rsidR="009257FB">
        <w:rPr>
          <w:rFonts w:ascii="Times New Roman" w:hAnsi="Times New Roman" w:cs="Times New Roman"/>
          <w:sz w:val="24"/>
        </w:rPr>
        <w:t xml:space="preserve"> student of </w:t>
      </w:r>
      <w:r w:rsidR="00CA0FE3">
        <w:rPr>
          <w:rFonts w:ascii="Times New Roman" w:hAnsi="Times New Roman" w:cs="Times New Roman"/>
          <w:sz w:val="24"/>
        </w:rPr>
        <w:t xml:space="preserve">the </w:t>
      </w:r>
      <w:r w:rsidR="009257FB">
        <w:rPr>
          <w:rFonts w:ascii="Times New Roman" w:hAnsi="Times New Roman" w:cs="Times New Roman"/>
          <w:sz w:val="24"/>
        </w:rPr>
        <w:t xml:space="preserve">District, nor is she </w:t>
      </w:r>
      <w:r w:rsidR="007930C9">
        <w:rPr>
          <w:rFonts w:ascii="Times New Roman" w:hAnsi="Times New Roman" w:cs="Times New Roman"/>
          <w:sz w:val="24"/>
        </w:rPr>
        <w:t>receiving special e</w:t>
      </w:r>
      <w:r w:rsidR="00CA0FE3">
        <w:rPr>
          <w:rFonts w:ascii="Times New Roman" w:hAnsi="Times New Roman" w:cs="Times New Roman"/>
          <w:sz w:val="24"/>
        </w:rPr>
        <w:t>ducation services</w:t>
      </w:r>
      <w:r w:rsidR="00D26B38">
        <w:rPr>
          <w:rFonts w:ascii="Times New Roman" w:hAnsi="Times New Roman" w:cs="Times New Roman"/>
          <w:sz w:val="24"/>
        </w:rPr>
        <w:t>.</w:t>
      </w:r>
      <w:r w:rsidR="00B42D12">
        <w:rPr>
          <w:rStyle w:val="FootnoteReference"/>
          <w:rFonts w:ascii="Times New Roman" w:hAnsi="Times New Roman" w:cs="Times New Roman"/>
          <w:sz w:val="24"/>
        </w:rPr>
        <w:footnoteReference w:id="9"/>
      </w:r>
      <w:r w:rsidR="00D26B38">
        <w:rPr>
          <w:rFonts w:ascii="Times New Roman" w:hAnsi="Times New Roman" w:cs="Times New Roman"/>
          <w:sz w:val="24"/>
        </w:rPr>
        <w:t xml:space="preserve"> </w:t>
      </w:r>
      <w:r w:rsidR="006F6966">
        <w:rPr>
          <w:rFonts w:ascii="Times New Roman" w:hAnsi="Times New Roman" w:cs="Times New Roman"/>
          <w:sz w:val="24"/>
        </w:rPr>
        <w:t xml:space="preserve">In its </w:t>
      </w:r>
      <w:r w:rsidR="004976A1">
        <w:rPr>
          <w:rFonts w:ascii="Times New Roman" w:hAnsi="Times New Roman" w:cs="Times New Roman"/>
          <w:sz w:val="24"/>
        </w:rPr>
        <w:t>O</w:t>
      </w:r>
      <w:r w:rsidR="00997DB5">
        <w:rPr>
          <w:rFonts w:ascii="Times New Roman" w:hAnsi="Times New Roman" w:cs="Times New Roman"/>
          <w:sz w:val="24"/>
        </w:rPr>
        <w:t>pposition</w:t>
      </w:r>
      <w:r w:rsidR="006F6966">
        <w:rPr>
          <w:rFonts w:ascii="Times New Roman" w:hAnsi="Times New Roman" w:cs="Times New Roman"/>
          <w:sz w:val="24"/>
        </w:rPr>
        <w:t>s</w:t>
      </w:r>
      <w:r w:rsidR="00997DB5">
        <w:rPr>
          <w:rFonts w:ascii="Times New Roman" w:hAnsi="Times New Roman" w:cs="Times New Roman"/>
          <w:sz w:val="24"/>
        </w:rPr>
        <w:t xml:space="preserve"> to Parent’s Motion to Dismiss,</w:t>
      </w:r>
      <w:r w:rsidR="006F6966">
        <w:rPr>
          <w:rFonts w:ascii="Times New Roman" w:hAnsi="Times New Roman" w:cs="Times New Roman"/>
          <w:sz w:val="24"/>
        </w:rPr>
        <w:t xml:space="preserve"> the District refut</w:t>
      </w:r>
      <w:r w:rsidR="00144327">
        <w:rPr>
          <w:rFonts w:ascii="Times New Roman" w:hAnsi="Times New Roman" w:cs="Times New Roman"/>
          <w:sz w:val="24"/>
        </w:rPr>
        <w:t>ed</w:t>
      </w:r>
      <w:r w:rsidR="00A5188A">
        <w:rPr>
          <w:rFonts w:ascii="Times New Roman" w:hAnsi="Times New Roman" w:cs="Times New Roman"/>
          <w:sz w:val="24"/>
        </w:rPr>
        <w:t xml:space="preserve"> Parent’s allegation that its Hearing Request was made in bad faith.</w:t>
      </w:r>
      <w:r w:rsidR="00A5188A">
        <w:rPr>
          <w:rStyle w:val="FootnoteReference"/>
          <w:rFonts w:ascii="Times New Roman" w:hAnsi="Times New Roman" w:cs="Times New Roman"/>
          <w:sz w:val="24"/>
        </w:rPr>
        <w:footnoteReference w:id="10"/>
      </w:r>
      <w:r w:rsidR="00A5188A">
        <w:rPr>
          <w:rFonts w:ascii="Times New Roman" w:hAnsi="Times New Roman" w:cs="Times New Roman"/>
          <w:sz w:val="24"/>
        </w:rPr>
        <w:t xml:space="preserve"> </w:t>
      </w:r>
      <w:r w:rsidR="00CA0FE3">
        <w:rPr>
          <w:rFonts w:ascii="Times New Roman" w:hAnsi="Times New Roman" w:cs="Times New Roman"/>
          <w:sz w:val="24"/>
        </w:rPr>
        <w:t xml:space="preserve">The </w:t>
      </w:r>
      <w:r w:rsidR="00144327">
        <w:rPr>
          <w:rFonts w:ascii="Times New Roman" w:hAnsi="Times New Roman" w:cs="Times New Roman"/>
          <w:sz w:val="24"/>
        </w:rPr>
        <w:t>District also argued</w:t>
      </w:r>
      <w:r w:rsidR="00A5188A">
        <w:rPr>
          <w:rFonts w:ascii="Times New Roman" w:hAnsi="Times New Roman" w:cs="Times New Roman"/>
          <w:sz w:val="24"/>
        </w:rPr>
        <w:t xml:space="preserve"> that Parent failed to state grounds for dismissal pursuant to </w:t>
      </w:r>
      <w:r w:rsidR="007930C9" w:rsidRPr="007930C9">
        <w:rPr>
          <w:rFonts w:ascii="Times New Roman" w:hAnsi="Times New Roman" w:cs="Times New Roman"/>
          <w:sz w:val="24"/>
        </w:rPr>
        <w:t xml:space="preserve">Rule 17B of the BSEA </w:t>
      </w:r>
      <w:r w:rsidR="007930C9" w:rsidRPr="007930C9">
        <w:rPr>
          <w:rFonts w:ascii="Times New Roman" w:hAnsi="Times New Roman" w:cs="Times New Roman"/>
          <w:i/>
          <w:sz w:val="24"/>
        </w:rPr>
        <w:t>Hearing Rules for Special Education Appeals</w:t>
      </w:r>
      <w:r w:rsidR="00A5188A" w:rsidRPr="007930C9">
        <w:rPr>
          <w:rFonts w:ascii="Times New Roman" w:hAnsi="Times New Roman" w:cs="Times New Roman"/>
          <w:sz w:val="24"/>
        </w:rPr>
        <w:t>,</w:t>
      </w:r>
      <w:r w:rsidR="007930C9">
        <w:rPr>
          <w:rFonts w:ascii="Times New Roman" w:hAnsi="Times New Roman" w:cs="Times New Roman"/>
          <w:sz w:val="24"/>
        </w:rPr>
        <w:t xml:space="preserve"> and that its</w:t>
      </w:r>
      <w:r w:rsidR="00A5188A">
        <w:rPr>
          <w:rFonts w:ascii="Times New Roman" w:hAnsi="Times New Roman" w:cs="Times New Roman"/>
          <w:sz w:val="24"/>
        </w:rPr>
        <w:t xml:space="preserve"> request asserts claims that are fully within the jurisdiction of the BSEA. Furthermore, </w:t>
      </w:r>
      <w:r w:rsidR="00CA0FE3">
        <w:rPr>
          <w:rFonts w:ascii="Times New Roman" w:hAnsi="Times New Roman" w:cs="Times New Roman"/>
          <w:sz w:val="24"/>
        </w:rPr>
        <w:t xml:space="preserve">the </w:t>
      </w:r>
      <w:r w:rsidR="00144327">
        <w:rPr>
          <w:rFonts w:ascii="Times New Roman" w:hAnsi="Times New Roman" w:cs="Times New Roman"/>
          <w:sz w:val="24"/>
        </w:rPr>
        <w:t>District acknowledged</w:t>
      </w:r>
      <w:r w:rsidR="00A5188A">
        <w:rPr>
          <w:rFonts w:ascii="Times New Roman" w:hAnsi="Times New Roman" w:cs="Times New Roman"/>
          <w:sz w:val="24"/>
        </w:rPr>
        <w:t xml:space="preserve"> that </w:t>
      </w:r>
      <w:r w:rsidR="00E45CCF">
        <w:rPr>
          <w:rFonts w:ascii="Times New Roman" w:hAnsi="Times New Roman" w:cs="Times New Roman"/>
          <w:sz w:val="24"/>
        </w:rPr>
        <w:t>Victoria</w:t>
      </w:r>
      <w:r w:rsidR="00A5188A">
        <w:rPr>
          <w:rFonts w:ascii="Times New Roman" w:hAnsi="Times New Roman" w:cs="Times New Roman"/>
          <w:sz w:val="24"/>
        </w:rPr>
        <w:t xml:space="preserve"> has not</w:t>
      </w:r>
      <w:r w:rsidR="00E124F8">
        <w:rPr>
          <w:rFonts w:ascii="Times New Roman" w:hAnsi="Times New Roman" w:cs="Times New Roman"/>
          <w:sz w:val="24"/>
        </w:rPr>
        <w:t xml:space="preserve"> attended District</w:t>
      </w:r>
      <w:r w:rsidR="00A5188A">
        <w:rPr>
          <w:rFonts w:ascii="Times New Roman" w:hAnsi="Times New Roman" w:cs="Times New Roman"/>
          <w:sz w:val="24"/>
        </w:rPr>
        <w:t xml:space="preserve"> High School since December 1, 2014,</w:t>
      </w:r>
      <w:r w:rsidR="00A5188A">
        <w:rPr>
          <w:rStyle w:val="FootnoteReference"/>
          <w:rFonts w:ascii="Times New Roman" w:hAnsi="Times New Roman" w:cs="Times New Roman"/>
          <w:sz w:val="24"/>
        </w:rPr>
        <w:footnoteReference w:id="11"/>
      </w:r>
      <w:r w:rsidR="00A5188A">
        <w:rPr>
          <w:rFonts w:ascii="Times New Roman" w:hAnsi="Times New Roman" w:cs="Times New Roman"/>
          <w:sz w:val="24"/>
        </w:rPr>
        <w:t xml:space="preserve"> but asserts that Parent did not withdraw consent for special education eligibility and decline special education and related services until March 10, 2016.</w:t>
      </w:r>
    </w:p>
    <w:p w14:paraId="7F20C7AB" w14:textId="77777777" w:rsidR="00211F1A" w:rsidRDefault="00211F1A" w:rsidP="00A54717">
      <w:pPr>
        <w:pStyle w:val="NoSpacing"/>
        <w:rPr>
          <w:rFonts w:ascii="Times New Roman" w:hAnsi="Times New Roman" w:cs="Times New Roman"/>
          <w:sz w:val="24"/>
        </w:rPr>
      </w:pPr>
    </w:p>
    <w:p w14:paraId="1FE6D9AC" w14:textId="6FD102B5" w:rsidR="00A54717" w:rsidRDefault="00A5188A" w:rsidP="00A54717">
      <w:pPr>
        <w:pStyle w:val="NoSpacing"/>
        <w:rPr>
          <w:rFonts w:ascii="Times New Roman" w:hAnsi="Times New Roman" w:cs="Times New Roman"/>
          <w:sz w:val="24"/>
        </w:rPr>
      </w:pPr>
      <w:r>
        <w:rPr>
          <w:rFonts w:ascii="Times New Roman" w:hAnsi="Times New Roman" w:cs="Times New Roman"/>
          <w:sz w:val="24"/>
        </w:rPr>
        <w:tab/>
      </w:r>
      <w:r w:rsidR="009257FB">
        <w:rPr>
          <w:rFonts w:ascii="Times New Roman" w:hAnsi="Times New Roman" w:cs="Times New Roman"/>
          <w:sz w:val="24"/>
        </w:rPr>
        <w:t>Parent</w:t>
      </w:r>
      <w:r>
        <w:rPr>
          <w:rFonts w:ascii="Times New Roman" w:hAnsi="Times New Roman" w:cs="Times New Roman"/>
          <w:sz w:val="24"/>
        </w:rPr>
        <w:t xml:space="preserve"> also</w:t>
      </w:r>
      <w:r w:rsidR="00026085">
        <w:rPr>
          <w:rFonts w:ascii="Times New Roman" w:hAnsi="Times New Roman" w:cs="Times New Roman"/>
          <w:sz w:val="24"/>
        </w:rPr>
        <w:t xml:space="preserve"> </w:t>
      </w:r>
      <w:r w:rsidR="009257FB">
        <w:rPr>
          <w:rFonts w:ascii="Times New Roman" w:hAnsi="Times New Roman" w:cs="Times New Roman"/>
          <w:sz w:val="24"/>
        </w:rPr>
        <w:t xml:space="preserve">filed </w:t>
      </w:r>
      <w:r w:rsidR="0079147C">
        <w:rPr>
          <w:rFonts w:ascii="Times New Roman" w:hAnsi="Times New Roman" w:cs="Times New Roman"/>
          <w:sz w:val="24"/>
        </w:rPr>
        <w:t xml:space="preserve">a </w:t>
      </w:r>
      <w:r w:rsidR="00026085">
        <w:rPr>
          <w:rFonts w:ascii="Times New Roman" w:hAnsi="Times New Roman" w:cs="Times New Roman"/>
          <w:sz w:val="24"/>
        </w:rPr>
        <w:t>Motio</w:t>
      </w:r>
      <w:r>
        <w:rPr>
          <w:rFonts w:ascii="Times New Roman" w:hAnsi="Times New Roman" w:cs="Times New Roman"/>
          <w:sz w:val="24"/>
        </w:rPr>
        <w:t xml:space="preserve">n to </w:t>
      </w:r>
      <w:r w:rsidR="008A5A8B">
        <w:rPr>
          <w:rFonts w:ascii="Times New Roman" w:hAnsi="Times New Roman" w:cs="Times New Roman"/>
          <w:sz w:val="24"/>
        </w:rPr>
        <w:t>Disqualify</w:t>
      </w:r>
      <w:r>
        <w:rPr>
          <w:rFonts w:ascii="Times New Roman" w:hAnsi="Times New Roman" w:cs="Times New Roman"/>
          <w:sz w:val="24"/>
        </w:rPr>
        <w:t>,</w:t>
      </w:r>
      <w:r w:rsidR="00D26B38">
        <w:rPr>
          <w:rStyle w:val="FootnoteReference"/>
          <w:rFonts w:ascii="Times New Roman" w:hAnsi="Times New Roman" w:cs="Times New Roman"/>
          <w:sz w:val="24"/>
        </w:rPr>
        <w:footnoteReference w:id="12"/>
      </w:r>
      <w:r>
        <w:rPr>
          <w:rFonts w:ascii="Times New Roman" w:hAnsi="Times New Roman" w:cs="Times New Roman"/>
          <w:sz w:val="24"/>
        </w:rPr>
        <w:t xml:space="preserve"> in which </w:t>
      </w:r>
      <w:r w:rsidR="004976A1">
        <w:rPr>
          <w:rFonts w:ascii="Times New Roman" w:hAnsi="Times New Roman" w:cs="Times New Roman"/>
          <w:sz w:val="24"/>
        </w:rPr>
        <w:t xml:space="preserve">she </w:t>
      </w:r>
      <w:r w:rsidR="00CA0FE3">
        <w:rPr>
          <w:rFonts w:ascii="Times New Roman" w:hAnsi="Times New Roman" w:cs="Times New Roman"/>
          <w:sz w:val="24"/>
        </w:rPr>
        <w:t xml:space="preserve">alleged </w:t>
      </w:r>
      <w:r w:rsidR="006F6966">
        <w:rPr>
          <w:rFonts w:ascii="Times New Roman" w:hAnsi="Times New Roman" w:cs="Times New Roman"/>
          <w:sz w:val="24"/>
        </w:rPr>
        <w:t xml:space="preserve">that the </w:t>
      </w:r>
      <w:r w:rsidR="0079147C">
        <w:rPr>
          <w:rFonts w:ascii="Times New Roman" w:hAnsi="Times New Roman" w:cs="Times New Roman"/>
          <w:sz w:val="24"/>
        </w:rPr>
        <w:t xml:space="preserve">District’s attorney </w:t>
      </w:r>
      <w:r w:rsidR="00CA0FE3">
        <w:rPr>
          <w:rFonts w:ascii="Times New Roman" w:hAnsi="Times New Roman" w:cs="Times New Roman"/>
          <w:sz w:val="24"/>
        </w:rPr>
        <w:t>had engaged</w:t>
      </w:r>
      <w:r w:rsidR="0079147C">
        <w:rPr>
          <w:rFonts w:ascii="Times New Roman" w:hAnsi="Times New Roman" w:cs="Times New Roman"/>
          <w:sz w:val="24"/>
        </w:rPr>
        <w:t xml:space="preserve"> in </w:t>
      </w:r>
      <w:r w:rsidR="004976A1">
        <w:rPr>
          <w:rFonts w:ascii="Times New Roman" w:hAnsi="Times New Roman" w:cs="Times New Roman"/>
          <w:sz w:val="24"/>
        </w:rPr>
        <w:t>unethical behavior.</w:t>
      </w:r>
      <w:r w:rsidR="004976A1">
        <w:rPr>
          <w:rStyle w:val="FootnoteReference"/>
          <w:rFonts w:ascii="Times New Roman" w:hAnsi="Times New Roman" w:cs="Times New Roman"/>
          <w:sz w:val="24"/>
        </w:rPr>
        <w:footnoteReference w:id="13"/>
      </w:r>
      <w:r w:rsidR="004976A1">
        <w:rPr>
          <w:rFonts w:ascii="Times New Roman" w:hAnsi="Times New Roman" w:cs="Times New Roman"/>
          <w:sz w:val="24"/>
        </w:rPr>
        <w:t xml:space="preserve"> </w:t>
      </w:r>
      <w:r w:rsidR="0079147C">
        <w:rPr>
          <w:rFonts w:ascii="Times New Roman" w:hAnsi="Times New Roman" w:cs="Times New Roman"/>
          <w:sz w:val="24"/>
        </w:rPr>
        <w:t xml:space="preserve">Parent states that </w:t>
      </w:r>
      <w:r w:rsidR="00325E2F">
        <w:rPr>
          <w:rFonts w:ascii="Times New Roman" w:hAnsi="Times New Roman" w:cs="Times New Roman"/>
          <w:sz w:val="24"/>
        </w:rPr>
        <w:t xml:space="preserve">because of this conduct, she </w:t>
      </w:r>
      <w:r w:rsidR="0079147C">
        <w:rPr>
          <w:rFonts w:ascii="Times New Roman" w:hAnsi="Times New Roman" w:cs="Times New Roman"/>
          <w:sz w:val="24"/>
        </w:rPr>
        <w:t>fear</w:t>
      </w:r>
      <w:r w:rsidR="00325E2F">
        <w:rPr>
          <w:rFonts w:ascii="Times New Roman" w:hAnsi="Times New Roman" w:cs="Times New Roman"/>
          <w:sz w:val="24"/>
        </w:rPr>
        <w:t>s being</w:t>
      </w:r>
      <w:r w:rsidR="0079147C">
        <w:rPr>
          <w:rFonts w:ascii="Times New Roman" w:hAnsi="Times New Roman" w:cs="Times New Roman"/>
          <w:sz w:val="24"/>
        </w:rPr>
        <w:t xml:space="preserve"> in the same room </w:t>
      </w:r>
      <w:r w:rsidR="00CA0FE3">
        <w:rPr>
          <w:rFonts w:ascii="Times New Roman" w:hAnsi="Times New Roman" w:cs="Times New Roman"/>
          <w:sz w:val="24"/>
        </w:rPr>
        <w:t>as the</w:t>
      </w:r>
      <w:r w:rsidR="0079147C">
        <w:rPr>
          <w:rFonts w:ascii="Times New Roman" w:hAnsi="Times New Roman" w:cs="Times New Roman"/>
          <w:sz w:val="24"/>
        </w:rPr>
        <w:t xml:space="preserve"> District’s attorney. </w:t>
      </w:r>
      <w:r w:rsidR="007930C9">
        <w:rPr>
          <w:rFonts w:ascii="Times New Roman" w:hAnsi="Times New Roman" w:cs="Times New Roman"/>
          <w:sz w:val="24"/>
        </w:rPr>
        <w:t>I</w:t>
      </w:r>
      <w:r w:rsidR="00CA0FE3">
        <w:rPr>
          <w:rFonts w:ascii="Times New Roman" w:hAnsi="Times New Roman" w:cs="Times New Roman"/>
          <w:sz w:val="24"/>
        </w:rPr>
        <w:t>n its</w:t>
      </w:r>
      <w:r w:rsidR="006B43A1">
        <w:rPr>
          <w:rFonts w:ascii="Times New Roman" w:hAnsi="Times New Roman" w:cs="Times New Roman"/>
          <w:sz w:val="24"/>
        </w:rPr>
        <w:t xml:space="preserve"> </w:t>
      </w:r>
      <w:r w:rsidR="00236579">
        <w:rPr>
          <w:rFonts w:ascii="Times New Roman" w:hAnsi="Times New Roman" w:cs="Times New Roman"/>
          <w:sz w:val="24"/>
        </w:rPr>
        <w:t xml:space="preserve">Opposition to Parent’s Motion to Disqualify, </w:t>
      </w:r>
      <w:r w:rsidR="007930C9">
        <w:rPr>
          <w:rFonts w:ascii="Times New Roman" w:hAnsi="Times New Roman" w:cs="Times New Roman"/>
          <w:sz w:val="24"/>
        </w:rPr>
        <w:t xml:space="preserve">the District </w:t>
      </w:r>
      <w:r w:rsidR="00CA0FE3">
        <w:rPr>
          <w:rFonts w:ascii="Times New Roman" w:hAnsi="Times New Roman" w:cs="Times New Roman"/>
          <w:sz w:val="24"/>
        </w:rPr>
        <w:t>asserted</w:t>
      </w:r>
      <w:r w:rsidR="009B3807">
        <w:rPr>
          <w:rFonts w:ascii="Times New Roman" w:hAnsi="Times New Roman" w:cs="Times New Roman"/>
          <w:sz w:val="24"/>
        </w:rPr>
        <w:t xml:space="preserve"> that</w:t>
      </w:r>
      <w:r w:rsidR="00236579">
        <w:rPr>
          <w:rFonts w:ascii="Times New Roman" w:hAnsi="Times New Roman" w:cs="Times New Roman"/>
          <w:sz w:val="24"/>
        </w:rPr>
        <w:t xml:space="preserve"> the law recognizes the right of a party to select counsel of its choosing, and </w:t>
      </w:r>
      <w:r w:rsidR="009B3807">
        <w:rPr>
          <w:rFonts w:ascii="Times New Roman" w:hAnsi="Times New Roman" w:cs="Times New Roman"/>
          <w:sz w:val="24"/>
        </w:rPr>
        <w:lastRenderedPageBreak/>
        <w:t>that the reasons Parent relies on in her Motion to Disqualify are without merit.</w:t>
      </w:r>
      <w:r w:rsidR="009B3807">
        <w:rPr>
          <w:rStyle w:val="FootnoteReference"/>
          <w:rFonts w:ascii="Times New Roman" w:hAnsi="Times New Roman" w:cs="Times New Roman"/>
          <w:sz w:val="24"/>
        </w:rPr>
        <w:footnoteReference w:id="14"/>
      </w:r>
      <w:r w:rsidR="008A5A8B">
        <w:rPr>
          <w:rFonts w:ascii="Times New Roman" w:hAnsi="Times New Roman" w:cs="Times New Roman"/>
          <w:sz w:val="24"/>
        </w:rPr>
        <w:t xml:space="preserve"> </w:t>
      </w:r>
      <w:r w:rsidR="007930C9">
        <w:rPr>
          <w:rFonts w:ascii="Times New Roman" w:hAnsi="Times New Roman" w:cs="Times New Roman"/>
          <w:sz w:val="24"/>
        </w:rPr>
        <w:t>T</w:t>
      </w:r>
      <w:r w:rsidR="00CA0FE3">
        <w:rPr>
          <w:rFonts w:ascii="Times New Roman" w:hAnsi="Times New Roman" w:cs="Times New Roman"/>
          <w:sz w:val="24"/>
        </w:rPr>
        <w:t xml:space="preserve">he </w:t>
      </w:r>
      <w:r w:rsidR="0079147C">
        <w:rPr>
          <w:rFonts w:ascii="Times New Roman" w:hAnsi="Times New Roman" w:cs="Times New Roman"/>
          <w:sz w:val="24"/>
        </w:rPr>
        <w:t xml:space="preserve">District contends that </w:t>
      </w:r>
      <w:r w:rsidR="00CA0FE3">
        <w:rPr>
          <w:rFonts w:ascii="Times New Roman" w:hAnsi="Times New Roman" w:cs="Times New Roman"/>
          <w:sz w:val="24"/>
        </w:rPr>
        <w:t xml:space="preserve">its </w:t>
      </w:r>
      <w:r w:rsidR="0079147C">
        <w:rPr>
          <w:rFonts w:ascii="Times New Roman" w:hAnsi="Times New Roman" w:cs="Times New Roman"/>
          <w:sz w:val="24"/>
        </w:rPr>
        <w:t>attorney did not act unethic</w:t>
      </w:r>
      <w:r w:rsidR="008A5A8B">
        <w:rPr>
          <w:rFonts w:ascii="Times New Roman" w:hAnsi="Times New Roman" w:cs="Times New Roman"/>
          <w:sz w:val="24"/>
        </w:rPr>
        <w:t>al</w:t>
      </w:r>
      <w:r w:rsidR="007930C9">
        <w:rPr>
          <w:rFonts w:ascii="Times New Roman" w:hAnsi="Times New Roman" w:cs="Times New Roman"/>
          <w:sz w:val="24"/>
        </w:rPr>
        <w:t>ly</w:t>
      </w:r>
      <w:r w:rsidR="008A5A8B">
        <w:rPr>
          <w:rFonts w:ascii="Times New Roman" w:hAnsi="Times New Roman" w:cs="Times New Roman"/>
          <w:sz w:val="24"/>
        </w:rPr>
        <w:t xml:space="preserve"> and, furthermore, </w:t>
      </w:r>
      <w:r w:rsidR="00CA0FE3">
        <w:rPr>
          <w:rFonts w:ascii="Times New Roman" w:hAnsi="Times New Roman" w:cs="Times New Roman"/>
          <w:sz w:val="24"/>
        </w:rPr>
        <w:t xml:space="preserve">that </w:t>
      </w:r>
      <w:r w:rsidR="008A5A8B">
        <w:rPr>
          <w:rFonts w:ascii="Times New Roman" w:hAnsi="Times New Roman" w:cs="Times New Roman"/>
          <w:sz w:val="24"/>
        </w:rPr>
        <w:t>Parent lacks</w:t>
      </w:r>
      <w:r w:rsidR="0079147C">
        <w:rPr>
          <w:rFonts w:ascii="Times New Roman" w:hAnsi="Times New Roman" w:cs="Times New Roman"/>
          <w:sz w:val="24"/>
        </w:rPr>
        <w:t xml:space="preserve"> standing</w:t>
      </w:r>
      <w:r w:rsidR="00FA417D">
        <w:rPr>
          <w:rFonts w:ascii="Times New Roman" w:hAnsi="Times New Roman" w:cs="Times New Roman"/>
          <w:sz w:val="24"/>
        </w:rPr>
        <w:t xml:space="preserve"> to move to disqualify the District’s</w:t>
      </w:r>
      <w:r w:rsidR="00744417">
        <w:rPr>
          <w:rFonts w:ascii="Times New Roman" w:hAnsi="Times New Roman" w:cs="Times New Roman"/>
          <w:sz w:val="24"/>
        </w:rPr>
        <w:t xml:space="preserve"> attorney</w:t>
      </w:r>
      <w:r w:rsidR="008A5A8B">
        <w:rPr>
          <w:rFonts w:ascii="Times New Roman" w:hAnsi="Times New Roman" w:cs="Times New Roman"/>
          <w:sz w:val="24"/>
        </w:rPr>
        <w:t>.</w:t>
      </w:r>
    </w:p>
    <w:p w14:paraId="13CD03B3" w14:textId="77777777" w:rsidR="00FC33AD" w:rsidRDefault="00FC33AD" w:rsidP="00A54717">
      <w:pPr>
        <w:pStyle w:val="NoSpacing"/>
        <w:rPr>
          <w:rFonts w:ascii="Times New Roman" w:hAnsi="Times New Roman" w:cs="Times New Roman"/>
          <w:sz w:val="24"/>
          <w:u w:val="single"/>
        </w:rPr>
      </w:pPr>
    </w:p>
    <w:p w14:paraId="3B139E07" w14:textId="77777777" w:rsidR="00FC33AD" w:rsidRDefault="00FC33AD" w:rsidP="00A54717">
      <w:pPr>
        <w:pStyle w:val="NoSpacing"/>
        <w:rPr>
          <w:rFonts w:ascii="Times New Roman" w:hAnsi="Times New Roman" w:cs="Times New Roman"/>
          <w:sz w:val="24"/>
          <w:u w:val="single"/>
        </w:rPr>
      </w:pPr>
    </w:p>
    <w:p w14:paraId="7AA24EA0" w14:textId="77777777" w:rsidR="00FC33AD" w:rsidRDefault="00FC33AD" w:rsidP="00A54717">
      <w:pPr>
        <w:pStyle w:val="NoSpacing"/>
        <w:rPr>
          <w:rFonts w:ascii="Times New Roman" w:hAnsi="Times New Roman" w:cs="Times New Roman"/>
          <w:sz w:val="24"/>
          <w:u w:val="single"/>
        </w:rPr>
      </w:pPr>
    </w:p>
    <w:p w14:paraId="11B08CDC" w14:textId="77777777" w:rsidR="00A54717" w:rsidRPr="00331E3A" w:rsidRDefault="00A54717" w:rsidP="00A54717">
      <w:pPr>
        <w:pStyle w:val="NoSpacing"/>
        <w:rPr>
          <w:rFonts w:ascii="Times New Roman" w:hAnsi="Times New Roman" w:cs="Times New Roman"/>
          <w:sz w:val="24"/>
          <w:u w:val="single"/>
        </w:rPr>
      </w:pPr>
      <w:r>
        <w:rPr>
          <w:rFonts w:ascii="Times New Roman" w:hAnsi="Times New Roman" w:cs="Times New Roman"/>
          <w:sz w:val="24"/>
          <w:u w:val="single"/>
        </w:rPr>
        <w:t>DISCUSSION</w:t>
      </w:r>
    </w:p>
    <w:p w14:paraId="3D1883A7" w14:textId="77777777" w:rsidR="00A54717" w:rsidRPr="00025D32" w:rsidRDefault="00A54717" w:rsidP="00A54717">
      <w:pPr>
        <w:pStyle w:val="NoSpacing"/>
        <w:rPr>
          <w:rFonts w:ascii="Times New Roman" w:hAnsi="Times New Roman" w:cs="Times New Roman"/>
          <w:sz w:val="24"/>
          <w:u w:val="single"/>
        </w:rPr>
      </w:pPr>
    </w:p>
    <w:p w14:paraId="76F2B470" w14:textId="06CFD4A2" w:rsidR="00842EAB" w:rsidRDefault="00842EAB" w:rsidP="00842EAB">
      <w:pPr>
        <w:pStyle w:val="ListParagraph"/>
        <w:numPr>
          <w:ilvl w:val="0"/>
          <w:numId w:val="1"/>
        </w:numPr>
        <w:rPr>
          <w:rFonts w:cs="Times New Roman"/>
          <w:u w:val="single"/>
        </w:rPr>
      </w:pPr>
      <w:r>
        <w:rPr>
          <w:rFonts w:cs="Times New Roman"/>
          <w:u w:val="single"/>
        </w:rPr>
        <w:t>Motion to Dismiss</w:t>
      </w:r>
      <w:r w:rsidR="00CC2A45">
        <w:rPr>
          <w:rFonts w:cs="Times New Roman"/>
          <w:u w:val="single"/>
        </w:rPr>
        <w:t xml:space="preserve"> </w:t>
      </w:r>
    </w:p>
    <w:p w14:paraId="51C49991" w14:textId="77777777" w:rsidR="00FC33AD" w:rsidRPr="00B03C41" w:rsidRDefault="00FC33AD" w:rsidP="00FC33AD">
      <w:pPr>
        <w:ind w:firstLine="360"/>
        <w:rPr>
          <w:rFonts w:cs="Times New Roman"/>
        </w:rPr>
      </w:pPr>
      <w:r>
        <w:rPr>
          <w:rFonts w:cs="Times New Roman"/>
        </w:rPr>
        <w:t>The outcome of Parent’s Motion to Dismiss is governed by the application of the legal standard by which a Motion to Dismiss is evaluated, as well as regulations concerning BSEA jurisdiction.</w:t>
      </w:r>
      <w:r w:rsidRPr="006C26CF">
        <w:rPr>
          <w:rFonts w:cs="Times New Roman"/>
          <w:color w:val="000000" w:themeColor="text1"/>
        </w:rPr>
        <w:t xml:space="preserve"> </w:t>
      </w:r>
    </w:p>
    <w:p w14:paraId="7E44235E" w14:textId="77777777" w:rsidR="00FC33AD" w:rsidRDefault="00FC33AD" w:rsidP="00FC33AD">
      <w:pPr>
        <w:pStyle w:val="ListParagraph"/>
        <w:numPr>
          <w:ilvl w:val="0"/>
          <w:numId w:val="2"/>
        </w:numPr>
        <w:rPr>
          <w:rFonts w:cs="Times New Roman"/>
          <w:u w:val="single"/>
        </w:rPr>
      </w:pPr>
      <w:r>
        <w:rPr>
          <w:rFonts w:cs="Times New Roman"/>
          <w:u w:val="single"/>
        </w:rPr>
        <w:t xml:space="preserve">Legal </w:t>
      </w:r>
      <w:r w:rsidRPr="00323143">
        <w:rPr>
          <w:rFonts w:cs="Times New Roman"/>
          <w:u w:val="single"/>
        </w:rPr>
        <w:t>Standard for Ruling on Motion to Dismiss</w:t>
      </w:r>
    </w:p>
    <w:p w14:paraId="170DC93C" w14:textId="6FED52EA" w:rsidR="00FC33AD" w:rsidRPr="00842EAB" w:rsidRDefault="00FC33AD" w:rsidP="00FC33AD">
      <w:pPr>
        <w:ind w:firstLine="360"/>
        <w:rPr>
          <w:rFonts w:cs="Times New Roman"/>
        </w:rPr>
      </w:pPr>
      <w:r w:rsidRPr="00842EAB">
        <w:rPr>
          <w:rFonts w:cs="Times New Roman"/>
        </w:rPr>
        <w:t xml:space="preserve">Pursuant to the </w:t>
      </w:r>
      <w:r w:rsidRPr="00842EAB">
        <w:rPr>
          <w:rFonts w:cs="Times New Roman"/>
          <w:i/>
        </w:rPr>
        <w:t>Standard Adjudicatory Rules of Practice and Procedure</w:t>
      </w:r>
      <w:r w:rsidRPr="00842EAB">
        <w:rPr>
          <w:rFonts w:cs="Times New Roman"/>
        </w:rPr>
        <w:t xml:space="preserve">, 801 CMR 1.01(7)(g)(3) and Rule 17B of the BSEA </w:t>
      </w:r>
      <w:r w:rsidRPr="00842EAB">
        <w:rPr>
          <w:rFonts w:cs="Times New Roman"/>
          <w:i/>
        </w:rPr>
        <w:t>Hearing Rules for Special Education Appeals</w:t>
      </w:r>
      <w:r w:rsidRPr="00842EAB">
        <w:rPr>
          <w:rFonts w:cs="Times New Roman"/>
        </w:rPr>
        <w:t>, a hearing officer may allow a motion to dismiss if the party requesting the appeal fails to state a claim o</w:t>
      </w:r>
      <w:r w:rsidR="00FA417D">
        <w:rPr>
          <w:rFonts w:cs="Times New Roman"/>
        </w:rPr>
        <w:t xml:space="preserve">n which relief can be granted. </w:t>
      </w:r>
      <w:r w:rsidRPr="00842EAB">
        <w:rPr>
          <w:rFonts w:cs="Times New Roman"/>
        </w:rPr>
        <w:t>This rule is analogous to Rule 12(b)(6) of the Federal Rules of Civil Procedure and as such hearing officers have generally used the</w:t>
      </w:r>
      <w:r w:rsidR="001C0327">
        <w:rPr>
          <w:rFonts w:cs="Times New Roman"/>
        </w:rPr>
        <w:t xml:space="preserve"> same standard</w:t>
      </w:r>
      <w:r w:rsidRPr="00842EAB">
        <w:rPr>
          <w:rFonts w:cs="Times New Roman"/>
        </w:rPr>
        <w:t xml:space="preserve"> as the courts in deciding motions to dismiss</w:t>
      </w:r>
      <w:r w:rsidR="00FA417D">
        <w:rPr>
          <w:rFonts w:cs="Times New Roman"/>
        </w:rPr>
        <w:t xml:space="preserve"> for failure to state a claim. </w:t>
      </w:r>
      <w:r w:rsidRPr="00842EAB">
        <w:rPr>
          <w:rFonts w:cs="Times New Roman"/>
        </w:rPr>
        <w:t>Specifically, what is required to survive a motion to dismiss “are factual ‘allegations plausibly suggesting (not merely consistent with)’ an entitlement to relief.”</w:t>
      </w:r>
      <w:r w:rsidRPr="000173EF">
        <w:rPr>
          <w:rStyle w:val="FootnoteReference"/>
          <w:rFonts w:cs="Times New Roman"/>
        </w:rPr>
        <w:footnoteReference w:id="15"/>
      </w:r>
      <w:r w:rsidRPr="00842EAB">
        <w:rPr>
          <w:rFonts w:cs="Times New Roman"/>
        </w:rPr>
        <w:t xml:space="preserve"> In evaluating the complaint, the hearing officer must take as true “the allegations of the complaint, as well as such inferences as may be drawn therefrom in the plaintiff’s favor.”</w:t>
      </w:r>
      <w:r w:rsidRPr="000173EF">
        <w:rPr>
          <w:rStyle w:val="FootnoteReference"/>
          <w:rFonts w:cs="Times New Roman"/>
        </w:rPr>
        <w:footnoteReference w:id="16"/>
      </w:r>
      <w:r w:rsidRPr="00842EAB">
        <w:rPr>
          <w:rFonts w:cs="Times New Roman"/>
        </w:rPr>
        <w:t xml:space="preserve"> These “[f]actual allegations must be enough to raise a right to relief above the speculative level . . . [based] on the assumption that all the allegations in the complaint are true (even if doubtful in fact). . . .”</w:t>
      </w:r>
      <w:r w:rsidRPr="000173EF">
        <w:rPr>
          <w:rStyle w:val="FootnoteReference"/>
          <w:rFonts w:cs="Times New Roman"/>
        </w:rPr>
        <w:footnoteReference w:id="17"/>
      </w:r>
      <w:r w:rsidRPr="00842EAB">
        <w:rPr>
          <w:rFonts w:cs="Times New Roman"/>
        </w:rPr>
        <w:t xml:space="preserve"> </w:t>
      </w:r>
    </w:p>
    <w:p w14:paraId="4505488A" w14:textId="76BCAF98" w:rsidR="00FC33AD" w:rsidRPr="00842EAB" w:rsidRDefault="00FC33AD" w:rsidP="00FC33AD">
      <w:pPr>
        <w:ind w:firstLine="360"/>
        <w:rPr>
          <w:rFonts w:cs="Times New Roman"/>
        </w:rPr>
      </w:pPr>
      <w:r w:rsidRPr="00842EAB">
        <w:rPr>
          <w:rFonts w:cs="Times New Roman"/>
        </w:rPr>
        <w:t>The BSEA has jurisdiction over requests for hearing filed by a “parent or school district . . . on any matter concerning the eligibility, evaluation, placement, IEP, provision of special education in accordance with state</w:t>
      </w:r>
      <w:r>
        <w:rPr>
          <w:rStyle w:val="FootnoteReference"/>
          <w:rFonts w:cs="Times New Roman"/>
        </w:rPr>
        <w:footnoteReference w:id="18"/>
      </w:r>
      <w:r w:rsidRPr="00842EAB">
        <w:rPr>
          <w:rFonts w:cs="Times New Roman"/>
        </w:rPr>
        <w:t xml:space="preserve"> and federal law,</w:t>
      </w:r>
      <w:r>
        <w:rPr>
          <w:rStyle w:val="FootnoteReference"/>
          <w:rFonts w:cs="Times New Roman"/>
        </w:rPr>
        <w:footnoteReference w:id="19"/>
      </w:r>
      <w:r w:rsidRPr="00842EAB">
        <w:rPr>
          <w:rFonts w:cs="Times New Roman"/>
        </w:rPr>
        <w:t xml:space="preserve"> or procedural protections of state and federal law for students with disabilities. A parent of a student with a disability may also request </w:t>
      </w:r>
      <w:r w:rsidRPr="00842EAB">
        <w:rPr>
          <w:rFonts w:cs="Times New Roman"/>
        </w:rPr>
        <w:lastRenderedPageBreak/>
        <w:t>a hearing on any issue involving the denial of the free appropriate public education guaranteed by Section 504 of the Rehabilitation Act of 1973. . . .”</w:t>
      </w:r>
      <w:r>
        <w:rPr>
          <w:rStyle w:val="FootnoteReference"/>
          <w:rFonts w:cs="Times New Roman"/>
        </w:rPr>
        <w:footnoteReference w:id="20"/>
      </w:r>
      <w:r w:rsidRPr="00842EAB">
        <w:rPr>
          <w:rFonts w:cs="Times New Roman"/>
        </w:rPr>
        <w:t xml:space="preserve"> </w:t>
      </w:r>
    </w:p>
    <w:p w14:paraId="55A95334" w14:textId="3A75DC69" w:rsidR="00FC33AD" w:rsidRDefault="00FC33AD" w:rsidP="00FC33AD">
      <w:pPr>
        <w:pStyle w:val="ListParagraph"/>
        <w:numPr>
          <w:ilvl w:val="0"/>
          <w:numId w:val="2"/>
        </w:numPr>
        <w:rPr>
          <w:rFonts w:cs="Times New Roman"/>
          <w:u w:val="single"/>
        </w:rPr>
      </w:pPr>
      <w:r>
        <w:rPr>
          <w:rFonts w:cs="Times New Roman"/>
          <w:u w:val="single"/>
        </w:rPr>
        <w:t xml:space="preserve">Application of Legal Standard </w:t>
      </w:r>
    </w:p>
    <w:p w14:paraId="5BE9E5E1" w14:textId="2A40133D" w:rsidR="00FC33AD" w:rsidRPr="00CC2A45" w:rsidRDefault="00FC33AD" w:rsidP="00FC33AD">
      <w:pPr>
        <w:ind w:firstLine="720"/>
        <w:rPr>
          <w:rFonts w:cs="Times New Roman"/>
          <w:u w:val="single"/>
        </w:rPr>
      </w:pPr>
      <w:r w:rsidRPr="00CC2A45">
        <w:rPr>
          <w:rFonts w:cs="Times New Roman"/>
        </w:rPr>
        <w:t xml:space="preserve">To survive a motion to dismiss, </w:t>
      </w:r>
      <w:r w:rsidR="008C39E4">
        <w:rPr>
          <w:rFonts w:cs="Times New Roman"/>
        </w:rPr>
        <w:t xml:space="preserve">the </w:t>
      </w:r>
      <w:r w:rsidRPr="00CC2A45">
        <w:rPr>
          <w:rFonts w:cs="Times New Roman"/>
        </w:rPr>
        <w:t xml:space="preserve">District need only </w:t>
      </w:r>
      <w:r w:rsidR="008C39E4">
        <w:rPr>
          <w:rFonts w:cs="Times New Roman"/>
        </w:rPr>
        <w:t>assert</w:t>
      </w:r>
      <w:r w:rsidRPr="00CC2A45">
        <w:rPr>
          <w:rFonts w:cs="Times New Roman"/>
        </w:rPr>
        <w:t xml:space="preserve"> “factual allegations plausibly suggesting . . . an entitlement to relief.”</w:t>
      </w:r>
      <w:r w:rsidRPr="000173EF">
        <w:rPr>
          <w:rStyle w:val="FootnoteReference"/>
          <w:rFonts w:cs="Times New Roman"/>
        </w:rPr>
        <w:footnoteReference w:id="21"/>
      </w:r>
      <w:r w:rsidRPr="00CC2A45">
        <w:rPr>
          <w:rFonts w:cs="Times New Roman"/>
        </w:rPr>
        <w:t xml:space="preserve"> In determining whether it has m</w:t>
      </w:r>
      <w:r w:rsidR="00D73075">
        <w:rPr>
          <w:rFonts w:cs="Times New Roman"/>
        </w:rPr>
        <w:t>et this burden I must take the District’s</w:t>
      </w:r>
      <w:r w:rsidRPr="00CC2A45">
        <w:rPr>
          <w:rFonts w:cs="Times New Roman"/>
        </w:rPr>
        <w:t xml:space="preserve"> allegations as true, as well as any inferences that may be drawn from them, even if the allegations are doubtful in fact.</w:t>
      </w:r>
      <w:r>
        <w:rPr>
          <w:rStyle w:val="FootnoteReference"/>
          <w:rFonts w:cs="Times New Roman"/>
        </w:rPr>
        <w:footnoteReference w:id="22"/>
      </w:r>
      <w:r w:rsidRPr="00CC2A45">
        <w:rPr>
          <w:rFonts w:cs="Times New Roman"/>
        </w:rPr>
        <w:t xml:space="preserve"> </w:t>
      </w:r>
      <w:r w:rsidR="008C39E4">
        <w:rPr>
          <w:rFonts w:cs="Times New Roman"/>
        </w:rPr>
        <w:t xml:space="preserve">The </w:t>
      </w:r>
      <w:r w:rsidR="008C39E4">
        <w:rPr>
          <w:rFonts w:cs="Times New Roman"/>
          <w:color w:val="000000"/>
          <w:shd w:val="clear" w:color="auto" w:fill="FFFFFF"/>
        </w:rPr>
        <w:t>District r</w:t>
      </w:r>
      <w:r w:rsidRPr="00CC2A45">
        <w:rPr>
          <w:rFonts w:cs="Times New Roman"/>
          <w:color w:val="000000"/>
          <w:shd w:val="clear" w:color="auto" w:fill="FFFFFF"/>
        </w:rPr>
        <w:t>equest</w:t>
      </w:r>
      <w:r w:rsidR="008C39E4">
        <w:rPr>
          <w:rFonts w:cs="Times New Roman"/>
          <w:color w:val="000000"/>
          <w:shd w:val="clear" w:color="auto" w:fill="FFFFFF"/>
        </w:rPr>
        <w:t xml:space="preserve">s </w:t>
      </w:r>
      <w:r w:rsidRPr="00CC2A45">
        <w:rPr>
          <w:rFonts w:cs="Times New Roman"/>
          <w:color w:val="000000"/>
          <w:shd w:val="clear" w:color="auto" w:fill="FFFFFF"/>
        </w:rPr>
        <w:t xml:space="preserve">a finding that </w:t>
      </w:r>
      <w:r w:rsidRPr="00CC2A45">
        <w:rPr>
          <w:rFonts w:cs="Times New Roman"/>
        </w:rPr>
        <w:t xml:space="preserve">it proposed </w:t>
      </w:r>
      <w:r>
        <w:rPr>
          <w:rFonts w:cs="Times New Roman"/>
        </w:rPr>
        <w:t>IEPs</w:t>
      </w:r>
      <w:r w:rsidR="00D73075">
        <w:rPr>
          <w:rFonts w:cs="Times New Roman"/>
        </w:rPr>
        <w:t xml:space="preserve"> for 2015-16 and 2016</w:t>
      </w:r>
      <w:r>
        <w:rPr>
          <w:rStyle w:val="FootnoteReference"/>
          <w:rFonts w:cs="Times New Roman"/>
        </w:rPr>
        <w:footnoteReference w:id="23"/>
      </w:r>
      <w:r w:rsidRPr="00CC2A45">
        <w:rPr>
          <w:rFonts w:cs="Times New Roman"/>
        </w:rPr>
        <w:t xml:space="preserve"> </w:t>
      </w:r>
      <w:r w:rsidR="00A00F58">
        <w:rPr>
          <w:rFonts w:cs="Times New Roman"/>
        </w:rPr>
        <w:t xml:space="preserve">are </w:t>
      </w:r>
      <w:r w:rsidRPr="00CC2A45">
        <w:rPr>
          <w:rFonts w:cs="Times New Roman"/>
        </w:rPr>
        <w:t xml:space="preserve">reasonably calculated to provide </w:t>
      </w:r>
      <w:r>
        <w:rPr>
          <w:rFonts w:cs="Times New Roman"/>
        </w:rPr>
        <w:t xml:space="preserve">Victoria </w:t>
      </w:r>
      <w:r w:rsidRPr="00CC2A45">
        <w:rPr>
          <w:rFonts w:cs="Times New Roman"/>
        </w:rPr>
        <w:t>with</w:t>
      </w:r>
      <w:r w:rsidR="008C39E4">
        <w:rPr>
          <w:rFonts w:cs="Times New Roman"/>
        </w:rPr>
        <w:t xml:space="preserve"> FAPE</w:t>
      </w:r>
      <w:r w:rsidRPr="00CC2A45">
        <w:rPr>
          <w:rFonts w:cs="Times New Roman"/>
        </w:rPr>
        <w:t xml:space="preserve">. To support its request, </w:t>
      </w:r>
      <w:r w:rsidR="00A52470">
        <w:rPr>
          <w:rFonts w:cs="Times New Roman"/>
        </w:rPr>
        <w:t xml:space="preserve">the </w:t>
      </w:r>
      <w:r w:rsidRPr="00CC2A45">
        <w:rPr>
          <w:rFonts w:cs="Times New Roman"/>
        </w:rPr>
        <w:t>District alleges that it att</w:t>
      </w:r>
      <w:r w:rsidR="00A00F58">
        <w:rPr>
          <w:rFonts w:cs="Times New Roman"/>
        </w:rPr>
        <w:t>empted to reevaluate</w:t>
      </w:r>
      <w:r w:rsidRPr="00CC2A45">
        <w:rPr>
          <w:rFonts w:cs="Times New Roman"/>
        </w:rPr>
        <w:t xml:space="preserve"> </w:t>
      </w:r>
      <w:r>
        <w:rPr>
          <w:rFonts w:cs="Times New Roman"/>
        </w:rPr>
        <w:t>Victoria</w:t>
      </w:r>
      <w:r w:rsidRPr="00CC2A45">
        <w:rPr>
          <w:rFonts w:cs="Times New Roman"/>
        </w:rPr>
        <w:t xml:space="preserve">, proposed new IEPs, and offered tutoring to </w:t>
      </w:r>
      <w:r>
        <w:rPr>
          <w:rFonts w:cs="Times New Roman"/>
        </w:rPr>
        <w:t>Victoria</w:t>
      </w:r>
      <w:r w:rsidRPr="00CC2A45">
        <w:rPr>
          <w:rFonts w:cs="Times New Roman"/>
        </w:rPr>
        <w:t xml:space="preserve"> when Parent did not consent to or accept any of the District’s efforts or proposals.</w:t>
      </w:r>
      <w:r w:rsidR="00A52470">
        <w:rPr>
          <w:rFonts w:cs="Times New Roman"/>
        </w:rPr>
        <w:t xml:space="preserve"> The</w:t>
      </w:r>
      <w:r w:rsidRPr="00CC2A45">
        <w:rPr>
          <w:rFonts w:cs="Times New Roman"/>
        </w:rPr>
        <w:t xml:space="preserve"> District also contends that it made agreements with Parent to pay for a p</w:t>
      </w:r>
      <w:r w:rsidR="00422F70">
        <w:rPr>
          <w:rFonts w:cs="Times New Roman"/>
        </w:rPr>
        <w:t>ortion of the cost of</w:t>
      </w:r>
      <w:r w:rsidRPr="00CC2A45">
        <w:rPr>
          <w:rFonts w:cs="Times New Roman"/>
        </w:rPr>
        <w:t xml:space="preserve"> </w:t>
      </w:r>
      <w:r>
        <w:rPr>
          <w:rFonts w:cs="Times New Roman"/>
        </w:rPr>
        <w:t>Victoria</w:t>
      </w:r>
      <w:r w:rsidRPr="00CC2A45">
        <w:rPr>
          <w:rFonts w:cs="Times New Roman"/>
        </w:rPr>
        <w:t>’s dual enrollment program at Bri</w:t>
      </w:r>
      <w:r w:rsidR="00D73075">
        <w:rPr>
          <w:rFonts w:cs="Times New Roman"/>
        </w:rPr>
        <w:t xml:space="preserve">stol Community College, which demonstrates that it </w:t>
      </w:r>
      <w:r w:rsidRPr="00CC2A45">
        <w:rPr>
          <w:rFonts w:cs="Times New Roman"/>
        </w:rPr>
        <w:t xml:space="preserve">made efforts to provide </w:t>
      </w:r>
      <w:r>
        <w:rPr>
          <w:rFonts w:cs="Times New Roman"/>
        </w:rPr>
        <w:t xml:space="preserve">Victoria </w:t>
      </w:r>
      <w:r w:rsidRPr="00CC2A45">
        <w:rPr>
          <w:rFonts w:cs="Times New Roman"/>
        </w:rPr>
        <w:t xml:space="preserve">with FAPE, even after Parent unilaterally removed </w:t>
      </w:r>
      <w:r>
        <w:rPr>
          <w:rFonts w:cs="Times New Roman"/>
        </w:rPr>
        <w:t xml:space="preserve">Victoria </w:t>
      </w:r>
      <w:r w:rsidRPr="00CC2A45">
        <w:rPr>
          <w:rFonts w:cs="Times New Roman"/>
        </w:rPr>
        <w:t xml:space="preserve">from school. </w:t>
      </w:r>
      <w:r w:rsidRPr="00CC2A45">
        <w:rPr>
          <w:rFonts w:cs="Times New Roman"/>
          <w:color w:val="000000"/>
          <w:shd w:val="clear" w:color="auto" w:fill="FFFFFF"/>
        </w:rPr>
        <w:t xml:space="preserve">Although Parent asserts that </w:t>
      </w:r>
      <w:r w:rsidR="00422F70">
        <w:rPr>
          <w:rFonts w:cs="Times New Roman"/>
          <w:color w:val="000000"/>
          <w:shd w:val="clear" w:color="auto" w:fill="FFFFFF"/>
        </w:rPr>
        <w:t xml:space="preserve">the </w:t>
      </w:r>
      <w:r w:rsidRPr="00CC2A45">
        <w:rPr>
          <w:rFonts w:cs="Times New Roman"/>
          <w:color w:val="000000"/>
          <w:shd w:val="clear" w:color="auto" w:fill="FFFFFF"/>
        </w:rPr>
        <w:t>District’s reque</w:t>
      </w:r>
      <w:r w:rsidR="00A52470">
        <w:rPr>
          <w:rFonts w:cs="Times New Roman"/>
          <w:color w:val="000000"/>
          <w:shd w:val="clear" w:color="auto" w:fill="FFFFFF"/>
        </w:rPr>
        <w:t xml:space="preserve">st for hearing was fraudulent, at this stage I must </w:t>
      </w:r>
      <w:r w:rsidRPr="00CC2A45">
        <w:rPr>
          <w:rFonts w:cs="Times New Roman"/>
          <w:color w:val="000000"/>
          <w:shd w:val="clear" w:color="auto" w:fill="FFFFFF"/>
        </w:rPr>
        <w:t xml:space="preserve">take </w:t>
      </w:r>
      <w:r w:rsidR="00D73075">
        <w:rPr>
          <w:rFonts w:cs="Times New Roman"/>
          <w:color w:val="000000"/>
          <w:shd w:val="clear" w:color="auto" w:fill="FFFFFF"/>
        </w:rPr>
        <w:t xml:space="preserve">the </w:t>
      </w:r>
      <w:r w:rsidRPr="00CC2A45">
        <w:rPr>
          <w:rFonts w:cs="Times New Roman"/>
          <w:color w:val="000000"/>
          <w:shd w:val="clear" w:color="auto" w:fill="FFFFFF"/>
        </w:rPr>
        <w:t>District’s allegations as true.</w:t>
      </w:r>
      <w:r>
        <w:rPr>
          <w:rStyle w:val="FootnoteReference"/>
          <w:rFonts w:cs="Times New Roman"/>
          <w:color w:val="000000"/>
          <w:shd w:val="clear" w:color="auto" w:fill="FFFFFF"/>
        </w:rPr>
        <w:footnoteReference w:id="24"/>
      </w:r>
      <w:r w:rsidRPr="00CC2A45">
        <w:rPr>
          <w:rFonts w:cs="Times New Roman"/>
          <w:color w:val="000000"/>
          <w:shd w:val="clear" w:color="auto" w:fill="FFFFFF"/>
        </w:rPr>
        <w:t xml:space="preserve"> As such, I find that </w:t>
      </w:r>
      <w:r w:rsidR="006B67A6">
        <w:rPr>
          <w:rFonts w:cs="Times New Roman"/>
          <w:color w:val="000000"/>
          <w:shd w:val="clear" w:color="auto" w:fill="FFFFFF"/>
        </w:rPr>
        <w:t xml:space="preserve">the </w:t>
      </w:r>
      <w:r w:rsidRPr="00CC2A45">
        <w:rPr>
          <w:rFonts w:cs="Times New Roman"/>
          <w:color w:val="000000"/>
          <w:shd w:val="clear" w:color="auto" w:fill="FFFFFF"/>
        </w:rPr>
        <w:t>District’s factual allegations do plausibly suggest an entitlement to</w:t>
      </w:r>
      <w:r w:rsidR="00422F70">
        <w:rPr>
          <w:rFonts w:cs="Times New Roman"/>
          <w:color w:val="000000"/>
          <w:shd w:val="clear" w:color="auto" w:fill="FFFFFF"/>
        </w:rPr>
        <w:t xml:space="preserve"> the</w:t>
      </w:r>
      <w:r w:rsidRPr="00CC2A45">
        <w:rPr>
          <w:rFonts w:cs="Times New Roman"/>
          <w:color w:val="000000"/>
          <w:shd w:val="clear" w:color="auto" w:fill="FFFFFF"/>
        </w:rPr>
        <w:t xml:space="preserve"> relief</w:t>
      </w:r>
      <w:r w:rsidR="00422F70">
        <w:rPr>
          <w:rFonts w:cs="Times New Roman"/>
          <w:color w:val="000000"/>
          <w:shd w:val="clear" w:color="auto" w:fill="FFFFFF"/>
        </w:rPr>
        <w:t xml:space="preserve"> it seeks</w:t>
      </w:r>
      <w:r w:rsidRPr="00CC2A45">
        <w:rPr>
          <w:rFonts w:cs="Times New Roman"/>
          <w:color w:val="000000"/>
          <w:shd w:val="clear" w:color="auto" w:fill="FFFFFF"/>
        </w:rPr>
        <w:t xml:space="preserve">. </w:t>
      </w:r>
    </w:p>
    <w:p w14:paraId="3724C979" w14:textId="7AE684EA" w:rsidR="00FC33AD" w:rsidRDefault="00A52470" w:rsidP="00FC33AD">
      <w:pPr>
        <w:ind w:firstLine="720"/>
        <w:rPr>
          <w:rFonts w:cs="Times New Roman"/>
          <w:color w:val="000000" w:themeColor="text1"/>
        </w:rPr>
      </w:pPr>
      <w:r>
        <w:rPr>
          <w:rFonts w:cs="Times New Roman"/>
          <w:color w:val="000000"/>
          <w:shd w:val="clear" w:color="auto" w:fill="FFFFFF"/>
        </w:rPr>
        <w:t xml:space="preserve">The </w:t>
      </w:r>
      <w:r w:rsidR="00FC33AD" w:rsidRPr="00CC2A45">
        <w:rPr>
          <w:rFonts w:cs="Times New Roman"/>
          <w:color w:val="000000"/>
          <w:shd w:val="clear" w:color="auto" w:fill="FFFFFF"/>
        </w:rPr>
        <w:t xml:space="preserve">Parent asserts that </w:t>
      </w:r>
      <w:r w:rsidR="00A00F58">
        <w:rPr>
          <w:rFonts w:cs="Times New Roman"/>
          <w:color w:val="000000"/>
          <w:shd w:val="clear" w:color="auto" w:fill="FFFFFF"/>
        </w:rPr>
        <w:t xml:space="preserve">the </w:t>
      </w:r>
      <w:r w:rsidR="00FC33AD" w:rsidRPr="00CC2A45">
        <w:rPr>
          <w:rFonts w:cs="Times New Roman"/>
          <w:color w:val="000000"/>
          <w:shd w:val="clear" w:color="auto" w:fill="FFFFFF"/>
        </w:rPr>
        <w:t xml:space="preserve">BSEA does not have jurisdiction over this case because </w:t>
      </w:r>
      <w:r w:rsidR="00FC33AD">
        <w:rPr>
          <w:rFonts w:cs="Times New Roman"/>
        </w:rPr>
        <w:t>Victoria</w:t>
      </w:r>
      <w:r w:rsidR="00FC33AD" w:rsidRPr="00CC2A45">
        <w:rPr>
          <w:rFonts w:cs="Times New Roman"/>
          <w:color w:val="000000"/>
          <w:shd w:val="clear" w:color="auto" w:fill="FFFFFF"/>
        </w:rPr>
        <w:t xml:space="preserve"> is not a s</w:t>
      </w:r>
      <w:r w:rsidR="00E124F8">
        <w:rPr>
          <w:rFonts w:cs="Times New Roman"/>
          <w:color w:val="000000"/>
          <w:shd w:val="clear" w:color="auto" w:fill="FFFFFF"/>
        </w:rPr>
        <w:t>tudent at District</w:t>
      </w:r>
      <w:r w:rsidR="00FC33AD" w:rsidRPr="00CC2A45">
        <w:rPr>
          <w:rFonts w:cs="Times New Roman"/>
          <w:color w:val="000000"/>
          <w:shd w:val="clear" w:color="auto" w:fill="FFFFFF"/>
        </w:rPr>
        <w:t xml:space="preserve"> High School, nor is she a special education student.</w:t>
      </w:r>
      <w:r w:rsidR="00FC33AD">
        <w:rPr>
          <w:rStyle w:val="FootnoteReference"/>
          <w:rFonts w:cs="Times New Roman"/>
        </w:rPr>
        <w:footnoteReference w:id="25"/>
      </w:r>
      <w:r w:rsidR="00FC33AD" w:rsidRPr="00CC2A45">
        <w:rPr>
          <w:rFonts w:cs="Times New Roman"/>
          <w:color w:val="000000"/>
          <w:shd w:val="clear" w:color="auto" w:fill="FFFFFF"/>
        </w:rPr>
        <w:t xml:space="preserve"> However,</w:t>
      </w:r>
      <w:r w:rsidR="00FC33AD" w:rsidRPr="00CC2A45">
        <w:rPr>
          <w:rFonts w:cs="Times New Roman"/>
        </w:rPr>
        <w:t xml:space="preserve"> the BSEA does have jurisdiction over this matter, as </w:t>
      </w:r>
      <w:r>
        <w:rPr>
          <w:rFonts w:cs="Times New Roman"/>
        </w:rPr>
        <w:t xml:space="preserve">the </w:t>
      </w:r>
      <w:r w:rsidR="00FC33AD" w:rsidRPr="00CC2A45">
        <w:rPr>
          <w:rFonts w:cs="Times New Roman"/>
        </w:rPr>
        <w:t xml:space="preserve">District filed a request for a hearing regarding a matter concerning the adequacy of </w:t>
      </w:r>
      <w:r w:rsidR="00FC33AD">
        <w:rPr>
          <w:rFonts w:cs="Times New Roman"/>
        </w:rPr>
        <w:t>Victoria’</w:t>
      </w:r>
      <w:r w:rsidR="00D73075">
        <w:rPr>
          <w:rFonts w:cs="Times New Roman"/>
        </w:rPr>
        <w:t>s proposed</w:t>
      </w:r>
      <w:r w:rsidR="00FC33AD" w:rsidRPr="00CC2A45">
        <w:rPr>
          <w:rFonts w:cs="Times New Roman"/>
        </w:rPr>
        <w:t xml:space="preserve"> IEP</w:t>
      </w:r>
      <w:r w:rsidR="00D73075">
        <w:rPr>
          <w:rFonts w:cs="Times New Roman"/>
        </w:rPr>
        <w:t>s</w:t>
      </w:r>
      <w:r w:rsidR="00FC33AD" w:rsidRPr="00CC2A45">
        <w:rPr>
          <w:rFonts w:cs="Times New Roman"/>
        </w:rPr>
        <w:t xml:space="preserve">. </w:t>
      </w:r>
      <w:r w:rsidR="00FC33AD" w:rsidRPr="00CC2A45">
        <w:rPr>
          <w:rFonts w:cs="Times New Roman"/>
          <w:color w:val="000000" w:themeColor="text1"/>
        </w:rPr>
        <w:t>I ca</w:t>
      </w:r>
      <w:r w:rsidR="00823CAF">
        <w:rPr>
          <w:rFonts w:cs="Times New Roman"/>
          <w:color w:val="000000" w:themeColor="text1"/>
        </w:rPr>
        <w:t>nnot determine at this time whether</w:t>
      </w:r>
      <w:r w:rsidR="00FC33AD" w:rsidRPr="00CC2A45">
        <w:rPr>
          <w:rFonts w:cs="Times New Roman"/>
          <w:color w:val="000000" w:themeColor="text1"/>
        </w:rPr>
        <w:t xml:space="preserve"> </w:t>
      </w:r>
      <w:r w:rsidR="00FC33AD">
        <w:rPr>
          <w:rFonts w:cs="Times New Roman"/>
        </w:rPr>
        <w:t>Victoria</w:t>
      </w:r>
      <w:r w:rsidR="00FC33AD" w:rsidRPr="00CC2A45">
        <w:rPr>
          <w:rFonts w:cs="Times New Roman"/>
          <w:color w:val="000000" w:themeColor="text1"/>
        </w:rPr>
        <w:t xml:space="preserve"> was a </w:t>
      </w:r>
      <w:r w:rsidR="00E124F8">
        <w:rPr>
          <w:rFonts w:cs="Times New Roman"/>
          <w:color w:val="000000" w:themeColor="text1"/>
        </w:rPr>
        <w:t>student at District</w:t>
      </w:r>
      <w:r w:rsidR="00FC33AD" w:rsidRPr="00CC2A45">
        <w:rPr>
          <w:rFonts w:cs="Times New Roman"/>
          <w:color w:val="000000" w:themeColor="text1"/>
        </w:rPr>
        <w:t xml:space="preserve"> High School for purposes of BSEA jurisdiction</w:t>
      </w:r>
      <w:r w:rsidR="00A00F58">
        <w:rPr>
          <w:rFonts w:cs="Times New Roman"/>
          <w:color w:val="000000" w:themeColor="text1"/>
        </w:rPr>
        <w:t>, as further information is needed regarding the circumstances of her withdrawal</w:t>
      </w:r>
      <w:r w:rsidR="00FC33AD" w:rsidRPr="00CC2A45">
        <w:rPr>
          <w:rFonts w:cs="Times New Roman"/>
          <w:color w:val="000000" w:themeColor="text1"/>
        </w:rPr>
        <w:t xml:space="preserve">. </w:t>
      </w:r>
      <w:r w:rsidR="00583F81">
        <w:rPr>
          <w:rFonts w:cs="Times New Roman"/>
          <w:color w:val="000000" w:themeColor="text1"/>
        </w:rPr>
        <w:t>This is a factual issue to be determined based on the evidence offered at Hearing.</w:t>
      </w:r>
    </w:p>
    <w:p w14:paraId="1624520E" w14:textId="77777777" w:rsidR="00FC33AD" w:rsidRDefault="00FC33AD" w:rsidP="00FC33AD">
      <w:pPr>
        <w:pStyle w:val="ListParagraph"/>
        <w:rPr>
          <w:rFonts w:cs="Times New Roman"/>
          <w:u w:val="single"/>
        </w:rPr>
      </w:pPr>
    </w:p>
    <w:p w14:paraId="2CCC6DF3" w14:textId="4DDDDAAA" w:rsidR="00FC33AD" w:rsidRDefault="00FC33AD" w:rsidP="00FC33AD">
      <w:pPr>
        <w:pStyle w:val="ListParagraph"/>
        <w:numPr>
          <w:ilvl w:val="0"/>
          <w:numId w:val="1"/>
        </w:numPr>
        <w:rPr>
          <w:rFonts w:cs="Times New Roman"/>
          <w:u w:val="single"/>
        </w:rPr>
      </w:pPr>
      <w:r>
        <w:rPr>
          <w:rFonts w:cs="Times New Roman"/>
          <w:u w:val="single"/>
        </w:rPr>
        <w:t xml:space="preserve">Motion to Disqualify Legal Counsel </w:t>
      </w:r>
    </w:p>
    <w:p w14:paraId="531A7E8E" w14:textId="77777777" w:rsidR="00FC33AD" w:rsidRPr="00FC33AD" w:rsidRDefault="00FC33AD" w:rsidP="00FC33AD">
      <w:pPr>
        <w:pStyle w:val="ListParagraph"/>
        <w:rPr>
          <w:rFonts w:cs="Times New Roman"/>
          <w:u w:val="single"/>
        </w:rPr>
      </w:pPr>
    </w:p>
    <w:p w14:paraId="31D9A7C5" w14:textId="6589FD99" w:rsidR="00A54717" w:rsidRDefault="00CC2A45" w:rsidP="00FC33AD">
      <w:pPr>
        <w:pStyle w:val="ListParagraph"/>
        <w:numPr>
          <w:ilvl w:val="0"/>
          <w:numId w:val="6"/>
        </w:numPr>
        <w:rPr>
          <w:rFonts w:cs="Times New Roman"/>
          <w:u w:val="single"/>
        </w:rPr>
      </w:pPr>
      <w:r w:rsidRPr="00FC33AD">
        <w:rPr>
          <w:rFonts w:cs="Times New Roman"/>
          <w:u w:val="single"/>
        </w:rPr>
        <w:t xml:space="preserve">Legal Standard for Ruling on Motion to Disqualify </w:t>
      </w:r>
    </w:p>
    <w:p w14:paraId="4FC73FF4" w14:textId="316552C8" w:rsidR="006B67A6" w:rsidRPr="006B67A6" w:rsidRDefault="006B67A6" w:rsidP="006B67A6">
      <w:pPr>
        <w:ind w:firstLine="720"/>
        <w:rPr>
          <w:rFonts w:cs="Times New Roman"/>
        </w:rPr>
      </w:pPr>
      <w:proofErr w:type="gramStart"/>
      <w:r w:rsidRPr="006B67A6">
        <w:rPr>
          <w:rFonts w:cs="Times New Roman"/>
        </w:rPr>
        <w:t>The decision whether to disqualify an attorney “ordinarily turns on the peculiar factual situation of the case.”</w:t>
      </w:r>
      <w:proofErr w:type="gramEnd"/>
      <w:r>
        <w:rPr>
          <w:rStyle w:val="FootnoteReference"/>
          <w:rFonts w:cs="Times New Roman"/>
        </w:rPr>
        <w:footnoteReference w:id="26"/>
      </w:r>
      <w:r w:rsidRPr="006B67A6">
        <w:rPr>
          <w:rFonts w:cs="Times New Roman"/>
        </w:rPr>
        <w:t xml:space="preserve"> “A party generally enjoys the right to the counsel of his or her choice,”</w:t>
      </w:r>
      <w:r>
        <w:rPr>
          <w:rStyle w:val="FootnoteReference"/>
          <w:rFonts w:cs="Times New Roman"/>
        </w:rPr>
        <w:footnoteReference w:id="27"/>
      </w:r>
      <w:r w:rsidRPr="006B67A6">
        <w:rPr>
          <w:rFonts w:cs="Times New Roman"/>
        </w:rPr>
        <w:t xml:space="preserve"> </w:t>
      </w:r>
      <w:r w:rsidRPr="006B67A6">
        <w:rPr>
          <w:rFonts w:cs="Times New Roman"/>
        </w:rPr>
        <w:lastRenderedPageBreak/>
        <w:t>and the courts have made it clear that the relationship between a lawyer and client is one that should not be lightly interrupted.</w:t>
      </w:r>
      <w:r>
        <w:rPr>
          <w:rStyle w:val="FootnoteReference"/>
          <w:rFonts w:cs="Times New Roman"/>
        </w:rPr>
        <w:footnoteReference w:id="28"/>
      </w:r>
      <w:r w:rsidRPr="006B67A6">
        <w:rPr>
          <w:rFonts w:cs="Times New Roman"/>
        </w:rPr>
        <w:t xml:space="preserve"> Therefore, the burden rests on the party seeking disqualification to establish the need to interfere wit</w:t>
      </w:r>
      <w:r w:rsidR="00422F70">
        <w:rPr>
          <w:rFonts w:cs="Times New Roman"/>
        </w:rPr>
        <w:t>h this</w:t>
      </w:r>
      <w:r w:rsidRPr="006B67A6">
        <w:rPr>
          <w:rFonts w:cs="Times New Roman"/>
        </w:rPr>
        <w:t xml:space="preserve"> relationship.</w:t>
      </w:r>
      <w:r>
        <w:rPr>
          <w:rStyle w:val="FootnoteReference"/>
          <w:rFonts w:cs="Times New Roman"/>
        </w:rPr>
        <w:footnoteReference w:id="29"/>
      </w:r>
      <w:r w:rsidRPr="006B67A6">
        <w:rPr>
          <w:rFonts w:cs="Times New Roman"/>
        </w:rPr>
        <w:t xml:space="preserve"> </w:t>
      </w:r>
    </w:p>
    <w:p w14:paraId="29ED6250" w14:textId="07A882B5" w:rsidR="006B67A6" w:rsidRPr="006B67A6" w:rsidRDefault="006B67A6" w:rsidP="006B67A6">
      <w:pPr>
        <w:ind w:firstLine="720"/>
        <w:rPr>
          <w:rFonts w:cs="Times New Roman"/>
        </w:rPr>
      </w:pPr>
      <w:r w:rsidRPr="006B67A6">
        <w:rPr>
          <w:rFonts w:cs="Times New Roman"/>
        </w:rPr>
        <w:t>Al</w:t>
      </w:r>
      <w:r w:rsidR="00422F70">
        <w:rPr>
          <w:rFonts w:cs="Times New Roman"/>
        </w:rPr>
        <w:t xml:space="preserve">though circumstances exist where it may be an appropriate measure, </w:t>
      </w:r>
      <w:r w:rsidRPr="006B67A6">
        <w:rPr>
          <w:rFonts w:cs="Times New Roman"/>
        </w:rPr>
        <w:t>the</w:t>
      </w:r>
      <w:r w:rsidR="00422F70">
        <w:rPr>
          <w:rFonts w:cs="Times New Roman"/>
        </w:rPr>
        <w:t xml:space="preserve"> authority to disqualify legal counsel</w:t>
      </w:r>
      <w:r w:rsidRPr="006B67A6">
        <w:rPr>
          <w:rFonts w:cs="Times New Roman"/>
        </w:rPr>
        <w:t xml:space="preserve"> “should be exercised sparingly and only in the most exceptional circumstances.”</w:t>
      </w:r>
      <w:r>
        <w:rPr>
          <w:rStyle w:val="FootnoteReference"/>
          <w:rFonts w:cs="Times New Roman"/>
        </w:rPr>
        <w:footnoteReference w:id="30"/>
      </w:r>
      <w:r w:rsidRPr="006B67A6">
        <w:rPr>
          <w:rFonts w:cs="Times New Roman"/>
        </w:rPr>
        <w:t xml:space="preserve"> </w:t>
      </w:r>
      <w:r w:rsidR="00647523">
        <w:rPr>
          <w:rFonts w:cs="Times New Roman"/>
        </w:rPr>
        <w:t>Courts</w:t>
      </w:r>
      <w:r w:rsidRPr="006B67A6">
        <w:rPr>
          <w:rFonts w:cs="Times New Roman"/>
        </w:rPr>
        <w:t xml:space="preserve"> have recognized that</w:t>
      </w:r>
      <w:r w:rsidR="0071350B">
        <w:rPr>
          <w:rFonts w:cs="Times New Roman"/>
        </w:rPr>
        <w:t xml:space="preserve"> a party may have standing to move for disqualification of opposing counsel where a fiduciary duty ran from that counsel to the moving party (i.e. a </w:t>
      </w:r>
      <w:r w:rsidRPr="006B67A6">
        <w:rPr>
          <w:rFonts w:cs="Times New Roman"/>
        </w:rPr>
        <w:t xml:space="preserve">current </w:t>
      </w:r>
      <w:r w:rsidR="0071350B">
        <w:rPr>
          <w:rFonts w:cs="Times New Roman"/>
        </w:rPr>
        <w:t>or former client)</w:t>
      </w:r>
      <w:r w:rsidRPr="006B67A6">
        <w:rPr>
          <w:rFonts w:cs="Times New Roman"/>
        </w:rPr>
        <w:t>,</w:t>
      </w:r>
      <w:r>
        <w:rPr>
          <w:rStyle w:val="FootnoteReference"/>
          <w:rFonts w:cs="Times New Roman"/>
        </w:rPr>
        <w:footnoteReference w:id="31"/>
      </w:r>
      <w:r w:rsidR="0071350B">
        <w:rPr>
          <w:rFonts w:cs="Times New Roman"/>
        </w:rPr>
        <w:t xml:space="preserve"> as, for example, </w:t>
      </w:r>
      <w:r w:rsidRPr="006B67A6">
        <w:rPr>
          <w:rFonts w:cs="Times New Roman"/>
        </w:rPr>
        <w:t>confidences may exist fro</w:t>
      </w:r>
      <w:r w:rsidR="0071350B">
        <w:rPr>
          <w:rFonts w:cs="Times New Roman"/>
        </w:rPr>
        <w:t>m the first representation that</w:t>
      </w:r>
      <w:r w:rsidRPr="006B67A6">
        <w:rPr>
          <w:rFonts w:cs="Times New Roman"/>
        </w:rPr>
        <w:t xml:space="preserve"> would be relevant to the second. However, even in these</w:t>
      </w:r>
      <w:r w:rsidR="00422F70">
        <w:rPr>
          <w:rFonts w:cs="Times New Roman"/>
        </w:rPr>
        <w:t xml:space="preserve"> circumstances,</w:t>
      </w:r>
      <w:r w:rsidRPr="006B67A6">
        <w:rPr>
          <w:rFonts w:cs="Times New Roman"/>
        </w:rPr>
        <w:t xml:space="preserve"> </w:t>
      </w:r>
      <w:r w:rsidRPr="00CC2A45">
        <w:t>“</w:t>
      </w:r>
      <w:r w:rsidRPr="006B67A6">
        <w:rPr>
          <w:rFonts w:cs="Times New Roman"/>
        </w:rPr>
        <w:t>disqualification is a drastic measure which courts should hesitate to impose except when absolutely necessary.”</w:t>
      </w:r>
      <w:r w:rsidRPr="008F19EA">
        <w:rPr>
          <w:rStyle w:val="FootnoteReference"/>
          <w:rFonts w:cs="Times New Roman"/>
        </w:rPr>
        <w:footnoteReference w:id="32"/>
      </w:r>
      <w:r w:rsidRPr="006B67A6">
        <w:rPr>
          <w:rFonts w:cs="Times New Roman"/>
        </w:rPr>
        <w:t xml:space="preserve"> Furthermore, courts are reluctant to disqualify an attorney for </w:t>
      </w:r>
      <w:r w:rsidR="00422F70">
        <w:rPr>
          <w:rFonts w:cs="Times New Roman"/>
        </w:rPr>
        <w:t xml:space="preserve">alleged </w:t>
      </w:r>
      <w:r w:rsidRPr="006B67A6">
        <w:rPr>
          <w:rFonts w:cs="Times New Roman"/>
        </w:rPr>
        <w:t>ethical violations when the moving party is using disqualification as a tactical weapon.</w:t>
      </w:r>
      <w:r>
        <w:rPr>
          <w:rStyle w:val="FootnoteReference"/>
          <w:rFonts w:cs="Times New Roman"/>
        </w:rPr>
        <w:footnoteReference w:id="33"/>
      </w:r>
    </w:p>
    <w:p w14:paraId="12E15568" w14:textId="3FC2F48E" w:rsidR="006B67A6" w:rsidRPr="006B67A6" w:rsidRDefault="006B67A6" w:rsidP="006B67A6">
      <w:pPr>
        <w:ind w:firstLine="720"/>
        <w:rPr>
          <w:rFonts w:cs="Times New Roman"/>
        </w:rPr>
      </w:pPr>
      <w:r w:rsidRPr="006B67A6">
        <w:rPr>
          <w:rFonts w:cs="Times New Roman"/>
        </w:rPr>
        <w:t>Legal counsel may also be disqualified where counsel is likely to participate as a witness, “and could give testimony on behalf of his client on other than formal or uncontested matters.”</w:t>
      </w:r>
      <w:r>
        <w:rPr>
          <w:rStyle w:val="FootnoteReference"/>
          <w:rFonts w:cs="Times New Roman"/>
        </w:rPr>
        <w:footnoteReference w:id="34"/>
      </w:r>
      <w:r w:rsidRPr="006B67A6">
        <w:rPr>
          <w:rFonts w:cs="Times New Roman"/>
        </w:rPr>
        <w:t xml:space="preserve"> In such a case, the court is instructed to </w:t>
      </w:r>
      <w:r w:rsidRPr="006B67A6">
        <w:rPr>
          <w:rFonts w:cs="Times New Roman"/>
          <w:color w:val="212121"/>
        </w:rPr>
        <w:t xml:space="preserve">look to whether the attorney is likely to “withhold crucial testimony from his client because he prefers to continue as counsel,” to </w:t>
      </w:r>
      <w:r w:rsidR="00D73075">
        <w:rPr>
          <w:rFonts w:cs="Times New Roman"/>
        </w:rPr>
        <w:t>determine whether</w:t>
      </w:r>
      <w:r w:rsidRPr="006B67A6">
        <w:rPr>
          <w:rFonts w:cs="Times New Roman"/>
        </w:rPr>
        <w:t xml:space="preserve"> “continued participation as counsel taints the legal system or the trial of </w:t>
      </w:r>
      <w:r w:rsidR="0071350B">
        <w:rPr>
          <w:rFonts w:cs="Times New Roman"/>
        </w:rPr>
        <w:t xml:space="preserve">the </w:t>
      </w:r>
      <w:r w:rsidRPr="006B67A6">
        <w:rPr>
          <w:rFonts w:cs="Times New Roman"/>
        </w:rPr>
        <w:t>cause before it.”</w:t>
      </w:r>
      <w:r>
        <w:rPr>
          <w:rStyle w:val="FootnoteReference"/>
          <w:rFonts w:cs="Times New Roman"/>
        </w:rPr>
        <w:footnoteReference w:id="35"/>
      </w:r>
    </w:p>
    <w:p w14:paraId="316D7D8D" w14:textId="77777777" w:rsidR="006B67A6" w:rsidRDefault="006B67A6" w:rsidP="006B67A6">
      <w:pPr>
        <w:pStyle w:val="ListParagraph"/>
        <w:ind w:left="1080"/>
        <w:rPr>
          <w:rFonts w:cs="Times New Roman"/>
          <w:u w:val="single"/>
        </w:rPr>
      </w:pPr>
    </w:p>
    <w:p w14:paraId="4D9EFB22" w14:textId="352500A3" w:rsidR="006B67A6" w:rsidRPr="00FC33AD" w:rsidRDefault="006B67A6" w:rsidP="00FC33AD">
      <w:pPr>
        <w:pStyle w:val="ListParagraph"/>
        <w:numPr>
          <w:ilvl w:val="0"/>
          <w:numId w:val="6"/>
        </w:numPr>
        <w:rPr>
          <w:rFonts w:cs="Times New Roman"/>
          <w:u w:val="single"/>
        </w:rPr>
      </w:pPr>
      <w:r>
        <w:rPr>
          <w:rFonts w:cs="Times New Roman"/>
          <w:u w:val="single"/>
        </w:rPr>
        <w:t>Application of Legal Standard</w:t>
      </w:r>
    </w:p>
    <w:p w14:paraId="34657D20" w14:textId="405984A0" w:rsidR="00034F5F" w:rsidRDefault="00A8368A" w:rsidP="006B67A6">
      <w:pPr>
        <w:ind w:firstLine="720"/>
        <w:rPr>
          <w:rFonts w:cs="Times New Roman"/>
          <w:color w:val="000000" w:themeColor="text1"/>
          <w:shd w:val="clear" w:color="auto" w:fill="FFFFFF"/>
        </w:rPr>
      </w:pPr>
      <w:r>
        <w:rPr>
          <w:rFonts w:cs="Times New Roman"/>
          <w:color w:val="000000" w:themeColor="text1"/>
          <w:shd w:val="clear" w:color="auto" w:fill="FFFFFF"/>
        </w:rPr>
        <w:t xml:space="preserve">The </w:t>
      </w:r>
      <w:r w:rsidR="00BF5E9D">
        <w:rPr>
          <w:rFonts w:cs="Times New Roman"/>
          <w:color w:val="000000" w:themeColor="text1"/>
          <w:shd w:val="clear" w:color="auto" w:fill="FFFFFF"/>
        </w:rPr>
        <w:t>Parent moves to disqualify</w:t>
      </w:r>
      <w:r w:rsidR="0071350B">
        <w:rPr>
          <w:rFonts w:cs="Times New Roman"/>
          <w:color w:val="000000" w:themeColor="text1"/>
          <w:shd w:val="clear" w:color="auto" w:fill="FFFFFF"/>
        </w:rPr>
        <w:t xml:space="preserve"> the District’s legal counsel</w:t>
      </w:r>
      <w:r w:rsidR="00BF5E9D">
        <w:rPr>
          <w:rFonts w:cs="Times New Roman"/>
          <w:color w:val="000000" w:themeColor="text1"/>
          <w:shd w:val="clear" w:color="auto" w:fill="FFFFFF"/>
        </w:rPr>
        <w:t xml:space="preserve"> based on allegations of unethical behavior and the possibility of District’s a</w:t>
      </w:r>
      <w:r w:rsidR="00583F81">
        <w:rPr>
          <w:rFonts w:cs="Times New Roman"/>
          <w:color w:val="000000" w:themeColor="text1"/>
          <w:shd w:val="clear" w:color="auto" w:fill="FFFFFF"/>
        </w:rPr>
        <w:t xml:space="preserve">ttorney being called </w:t>
      </w:r>
      <w:r w:rsidR="00BF5E9D">
        <w:rPr>
          <w:rFonts w:cs="Times New Roman"/>
          <w:color w:val="000000" w:themeColor="text1"/>
          <w:shd w:val="clear" w:color="auto" w:fill="FFFFFF"/>
        </w:rPr>
        <w:t>as a witness</w:t>
      </w:r>
      <w:r w:rsidR="00583F81">
        <w:rPr>
          <w:rFonts w:cs="Times New Roman"/>
          <w:color w:val="000000" w:themeColor="text1"/>
          <w:shd w:val="clear" w:color="auto" w:fill="FFFFFF"/>
        </w:rPr>
        <w:t xml:space="preserve"> in the matter</w:t>
      </w:r>
      <w:r w:rsidR="00BF5E9D">
        <w:rPr>
          <w:rFonts w:cs="Times New Roman"/>
          <w:color w:val="000000" w:themeColor="text1"/>
          <w:shd w:val="clear" w:color="auto" w:fill="FFFFFF"/>
        </w:rPr>
        <w:t>. In determining whether it is necessary to disqualify legal coun</w:t>
      </w:r>
      <w:r w:rsidR="00034F5F">
        <w:rPr>
          <w:rFonts w:cs="Times New Roman"/>
          <w:color w:val="000000" w:themeColor="text1"/>
          <w:shd w:val="clear" w:color="auto" w:fill="FFFFFF"/>
        </w:rPr>
        <w:t>sel, I must</w:t>
      </w:r>
      <w:r w:rsidR="00BF5E9D">
        <w:rPr>
          <w:rFonts w:cs="Times New Roman"/>
          <w:color w:val="000000" w:themeColor="text1"/>
          <w:shd w:val="clear" w:color="auto" w:fill="FFFFFF"/>
        </w:rPr>
        <w:t xml:space="preserve"> ana</w:t>
      </w:r>
      <w:r>
        <w:rPr>
          <w:rFonts w:cs="Times New Roman"/>
          <w:color w:val="000000" w:themeColor="text1"/>
          <w:shd w:val="clear" w:color="auto" w:fill="FFFFFF"/>
        </w:rPr>
        <w:t>lyze the particular facts of the</w:t>
      </w:r>
      <w:r w:rsidR="00BF5E9D">
        <w:rPr>
          <w:rFonts w:cs="Times New Roman"/>
          <w:color w:val="000000" w:themeColor="text1"/>
          <w:shd w:val="clear" w:color="auto" w:fill="FFFFFF"/>
        </w:rPr>
        <w:t xml:space="preserve"> case at hand.</w:t>
      </w:r>
      <w:r w:rsidR="00BF5E9D">
        <w:rPr>
          <w:rStyle w:val="FootnoteReference"/>
          <w:rFonts w:cs="Times New Roman"/>
          <w:color w:val="000000" w:themeColor="text1"/>
          <w:shd w:val="clear" w:color="auto" w:fill="FFFFFF"/>
        </w:rPr>
        <w:footnoteReference w:id="36"/>
      </w:r>
      <w:r w:rsidR="00BF5E9D">
        <w:rPr>
          <w:rFonts w:cs="Times New Roman"/>
          <w:color w:val="000000" w:themeColor="text1"/>
          <w:shd w:val="clear" w:color="auto" w:fill="FFFFFF"/>
        </w:rPr>
        <w:t xml:space="preserve"> </w:t>
      </w:r>
      <w:r>
        <w:rPr>
          <w:rFonts w:cs="Times New Roman"/>
          <w:color w:val="000000" w:themeColor="text1"/>
          <w:shd w:val="clear" w:color="auto" w:fill="FFFFFF"/>
        </w:rPr>
        <w:t xml:space="preserve">The </w:t>
      </w:r>
      <w:r w:rsidR="00BF5E9D">
        <w:rPr>
          <w:rFonts w:cs="Times New Roman"/>
          <w:color w:val="000000" w:themeColor="text1"/>
          <w:shd w:val="clear" w:color="auto" w:fill="FFFFFF"/>
        </w:rPr>
        <w:t>District enjoys the right to the counsel of its choice, so the burden rests on Parent to establis</w:t>
      </w:r>
      <w:r w:rsidR="0071350B">
        <w:rPr>
          <w:rFonts w:cs="Times New Roman"/>
          <w:color w:val="000000" w:themeColor="text1"/>
          <w:shd w:val="clear" w:color="auto" w:fill="FFFFFF"/>
        </w:rPr>
        <w:t>h the need to interfere with this</w:t>
      </w:r>
      <w:r w:rsidR="00BF5E9D">
        <w:rPr>
          <w:rFonts w:cs="Times New Roman"/>
          <w:color w:val="000000" w:themeColor="text1"/>
          <w:shd w:val="clear" w:color="auto" w:fill="FFFFFF"/>
        </w:rPr>
        <w:t xml:space="preserve"> relationship.</w:t>
      </w:r>
      <w:r>
        <w:rPr>
          <w:rStyle w:val="FootnoteReference"/>
          <w:rFonts w:cs="Times New Roman"/>
          <w:color w:val="000000" w:themeColor="text1"/>
          <w:shd w:val="clear" w:color="auto" w:fill="FFFFFF"/>
        </w:rPr>
        <w:footnoteReference w:id="37"/>
      </w:r>
      <w:r w:rsidR="0071350B">
        <w:rPr>
          <w:rFonts w:cs="Times New Roman"/>
          <w:color w:val="000000" w:themeColor="text1"/>
          <w:shd w:val="clear" w:color="auto" w:fill="FFFFFF"/>
        </w:rPr>
        <w:t xml:space="preserve"> Parent </w:t>
      </w:r>
      <w:r w:rsidR="0071350B">
        <w:rPr>
          <w:rFonts w:cs="Times New Roman"/>
          <w:color w:val="000000" w:themeColor="text1"/>
          <w:shd w:val="clear" w:color="auto" w:fill="FFFFFF"/>
        </w:rPr>
        <w:lastRenderedPageBreak/>
        <w:t>contend</w:t>
      </w:r>
      <w:r w:rsidR="00BF5E9D">
        <w:rPr>
          <w:rFonts w:cs="Times New Roman"/>
          <w:color w:val="000000" w:themeColor="text1"/>
          <w:shd w:val="clear" w:color="auto" w:fill="FFFFFF"/>
        </w:rPr>
        <w:t>s</w:t>
      </w:r>
      <w:r w:rsidR="00B875C6">
        <w:rPr>
          <w:rFonts w:cs="Times New Roman"/>
          <w:color w:val="000000" w:themeColor="text1"/>
          <w:shd w:val="clear" w:color="auto" w:fill="FFFFFF"/>
        </w:rPr>
        <w:t xml:space="preserve"> that the</w:t>
      </w:r>
      <w:r w:rsidR="00BF5E9D">
        <w:rPr>
          <w:rFonts w:cs="Times New Roman"/>
          <w:color w:val="000000" w:themeColor="text1"/>
          <w:shd w:val="clear" w:color="auto" w:fill="FFFFFF"/>
        </w:rPr>
        <w:t xml:space="preserve"> District’s attorney ha</w:t>
      </w:r>
      <w:r w:rsidR="00B875C6">
        <w:rPr>
          <w:rFonts w:cs="Times New Roman"/>
          <w:color w:val="000000" w:themeColor="text1"/>
          <w:shd w:val="clear" w:color="auto" w:fill="FFFFFF"/>
        </w:rPr>
        <w:t xml:space="preserve">s engaged in unethical behavior. </w:t>
      </w:r>
      <w:r w:rsidR="00BF5E9D">
        <w:rPr>
          <w:rFonts w:cs="Times New Roman"/>
          <w:color w:val="000000" w:themeColor="text1"/>
          <w:shd w:val="clear" w:color="auto" w:fill="FFFFFF"/>
        </w:rPr>
        <w:t>Parent does not</w:t>
      </w:r>
      <w:r w:rsidR="00B875C6">
        <w:rPr>
          <w:rFonts w:cs="Times New Roman"/>
          <w:color w:val="000000" w:themeColor="text1"/>
          <w:shd w:val="clear" w:color="auto" w:fill="FFFFFF"/>
        </w:rPr>
        <w:t>, however,</w:t>
      </w:r>
      <w:r w:rsidR="00BF5E9D">
        <w:rPr>
          <w:rFonts w:cs="Times New Roman"/>
          <w:color w:val="000000" w:themeColor="text1"/>
          <w:shd w:val="clear" w:color="auto" w:fill="FFFFFF"/>
        </w:rPr>
        <w:t xml:space="preserve"> establish any grounds for such an allegation, as </w:t>
      </w:r>
      <w:r w:rsidR="00133634">
        <w:rPr>
          <w:rFonts w:cs="Times New Roman"/>
          <w:color w:val="000000" w:themeColor="text1"/>
          <w:shd w:val="clear" w:color="auto" w:fill="FFFFFF"/>
        </w:rPr>
        <w:t>the attorney’s behavior described in Parent’s motion either lack</w:t>
      </w:r>
      <w:r w:rsidR="00B875C6">
        <w:rPr>
          <w:rFonts w:cs="Times New Roman"/>
          <w:color w:val="000000" w:themeColor="text1"/>
          <w:shd w:val="clear" w:color="auto" w:fill="FFFFFF"/>
        </w:rPr>
        <w:t>s</w:t>
      </w:r>
      <w:r w:rsidR="00466950">
        <w:rPr>
          <w:rFonts w:cs="Times New Roman"/>
          <w:color w:val="000000" w:themeColor="text1"/>
          <w:shd w:val="clear" w:color="auto" w:fill="FFFFFF"/>
        </w:rPr>
        <w:t xml:space="preserve"> factual proof</w:t>
      </w:r>
      <w:r w:rsidR="00133634">
        <w:rPr>
          <w:rFonts w:cs="Times New Roman"/>
          <w:color w:val="000000" w:themeColor="text1"/>
          <w:shd w:val="clear" w:color="auto" w:fill="FFFFFF"/>
        </w:rPr>
        <w:t xml:space="preserve"> or </w:t>
      </w:r>
      <w:r w:rsidR="00B875C6">
        <w:rPr>
          <w:rFonts w:cs="Times New Roman"/>
          <w:color w:val="000000" w:themeColor="text1"/>
          <w:shd w:val="clear" w:color="auto" w:fill="FFFFFF"/>
        </w:rPr>
        <w:t>is classified as legal strategy.</w:t>
      </w:r>
      <w:r w:rsidR="00466950">
        <w:rPr>
          <w:rFonts w:cs="Times New Roman"/>
          <w:color w:val="000000" w:themeColor="text1"/>
          <w:shd w:val="clear" w:color="auto" w:fill="FFFFFF"/>
        </w:rPr>
        <w:t xml:space="preserve"> Furthermore, courts</w:t>
      </w:r>
      <w:r w:rsidR="00B11EA1">
        <w:rPr>
          <w:rFonts w:cs="Times New Roman"/>
          <w:color w:val="000000" w:themeColor="text1"/>
          <w:shd w:val="clear" w:color="auto" w:fill="FFFFFF"/>
        </w:rPr>
        <w:t xml:space="preserve"> are reluctant to grant motions to disqualify based on assertions of ethical </w:t>
      </w:r>
      <w:proofErr w:type="gramStart"/>
      <w:r w:rsidR="00B11EA1">
        <w:rPr>
          <w:rFonts w:cs="Times New Roman"/>
          <w:color w:val="000000" w:themeColor="text1"/>
          <w:shd w:val="clear" w:color="auto" w:fill="FFFFFF"/>
        </w:rPr>
        <w:t>violations,</w:t>
      </w:r>
      <w:proofErr w:type="gramEnd"/>
      <w:r w:rsidR="00B11EA1">
        <w:rPr>
          <w:rFonts w:cs="Times New Roman"/>
          <w:color w:val="000000" w:themeColor="text1"/>
          <w:shd w:val="clear" w:color="auto" w:fill="FFFFFF"/>
        </w:rPr>
        <w:t xml:space="preserve"> as such motions may be tactically motivated</w:t>
      </w:r>
      <w:r w:rsidR="00034F5F">
        <w:rPr>
          <w:rFonts w:cs="Times New Roman"/>
          <w:color w:val="000000" w:themeColor="text1"/>
          <w:shd w:val="clear" w:color="auto" w:fill="FFFFFF"/>
        </w:rPr>
        <w:t>.</w:t>
      </w:r>
      <w:r w:rsidR="00133634">
        <w:rPr>
          <w:rStyle w:val="FootnoteReference"/>
          <w:rFonts w:cs="Times New Roman"/>
          <w:color w:val="000000" w:themeColor="text1"/>
          <w:shd w:val="clear" w:color="auto" w:fill="FFFFFF"/>
        </w:rPr>
        <w:footnoteReference w:id="38"/>
      </w:r>
      <w:r w:rsidR="00133634">
        <w:rPr>
          <w:rFonts w:cs="Times New Roman"/>
          <w:color w:val="000000" w:themeColor="text1"/>
          <w:shd w:val="clear" w:color="auto" w:fill="FFFFFF"/>
        </w:rPr>
        <w:t xml:space="preserve"> </w:t>
      </w:r>
    </w:p>
    <w:p w14:paraId="15AF36B4" w14:textId="435E3988" w:rsidR="00A54717" w:rsidRPr="006C26CF" w:rsidRDefault="00133634" w:rsidP="006C26CF">
      <w:pPr>
        <w:ind w:firstLine="720"/>
        <w:rPr>
          <w:rFonts w:cs="Times New Roman"/>
          <w:color w:val="000000" w:themeColor="text1"/>
          <w:shd w:val="clear" w:color="auto" w:fill="FFFFFF"/>
        </w:rPr>
      </w:pPr>
      <w:r>
        <w:rPr>
          <w:rFonts w:cs="Times New Roman"/>
          <w:color w:val="000000" w:themeColor="text1"/>
          <w:shd w:val="clear" w:color="auto" w:fill="FFFFFF"/>
        </w:rPr>
        <w:t xml:space="preserve">There are some instances where a former client has grounds to disqualify opposing party’s legal counsel, but Parent has not given any reason for me to believe that she is a former client of </w:t>
      </w:r>
      <w:r w:rsidR="00B11EA1">
        <w:rPr>
          <w:rFonts w:cs="Times New Roman"/>
          <w:color w:val="000000" w:themeColor="text1"/>
          <w:shd w:val="clear" w:color="auto" w:fill="FFFFFF"/>
        </w:rPr>
        <w:t xml:space="preserve">the </w:t>
      </w:r>
      <w:r>
        <w:rPr>
          <w:rFonts w:cs="Times New Roman"/>
          <w:color w:val="000000" w:themeColor="text1"/>
          <w:shd w:val="clear" w:color="auto" w:fill="FFFFFF"/>
        </w:rPr>
        <w:t>Distr</w:t>
      </w:r>
      <w:r w:rsidR="00A00F58">
        <w:rPr>
          <w:rFonts w:cs="Times New Roman"/>
          <w:color w:val="000000" w:themeColor="text1"/>
          <w:shd w:val="clear" w:color="auto" w:fill="FFFFFF"/>
        </w:rPr>
        <w:t xml:space="preserve">ict’s attorney or a former client </w:t>
      </w:r>
      <w:r>
        <w:rPr>
          <w:rFonts w:cs="Times New Roman"/>
          <w:color w:val="000000" w:themeColor="text1"/>
          <w:shd w:val="clear" w:color="auto" w:fill="FFFFFF"/>
        </w:rPr>
        <w:t xml:space="preserve">of any member of </w:t>
      </w:r>
      <w:r w:rsidR="00B11EA1">
        <w:rPr>
          <w:rFonts w:cs="Times New Roman"/>
          <w:color w:val="000000" w:themeColor="text1"/>
          <w:shd w:val="clear" w:color="auto" w:fill="FFFFFF"/>
        </w:rPr>
        <w:t xml:space="preserve">the </w:t>
      </w:r>
      <w:r>
        <w:rPr>
          <w:rFonts w:cs="Times New Roman"/>
          <w:color w:val="000000" w:themeColor="text1"/>
          <w:shd w:val="clear" w:color="auto" w:fill="FFFFFF"/>
        </w:rPr>
        <w:t xml:space="preserve">District’s attorney’s firm. Parent also asserts that </w:t>
      </w:r>
      <w:r w:rsidR="00B11EA1">
        <w:rPr>
          <w:rFonts w:cs="Times New Roman"/>
          <w:color w:val="000000" w:themeColor="text1"/>
          <w:shd w:val="clear" w:color="auto" w:fill="FFFFFF"/>
        </w:rPr>
        <w:t xml:space="preserve">the </w:t>
      </w:r>
      <w:r>
        <w:rPr>
          <w:rFonts w:cs="Times New Roman"/>
          <w:color w:val="000000" w:themeColor="text1"/>
          <w:shd w:val="clear" w:color="auto" w:fill="FFFFFF"/>
        </w:rPr>
        <w:t xml:space="preserve">District’s attorney should be disqualified because she is likely to be called as a witness in the case. However, because the disqualification of legal counsel is such a drastic measure, taking such action is only warranted if “the continued participation as counsel taints the legal system or the trial of </w:t>
      </w:r>
      <w:r w:rsidR="00647523">
        <w:rPr>
          <w:rFonts w:cs="Times New Roman"/>
          <w:color w:val="000000" w:themeColor="text1"/>
          <w:shd w:val="clear" w:color="auto" w:fill="FFFFFF"/>
        </w:rPr>
        <w:t xml:space="preserve">the </w:t>
      </w:r>
      <w:r>
        <w:rPr>
          <w:rFonts w:cs="Times New Roman"/>
          <w:color w:val="000000" w:themeColor="text1"/>
          <w:shd w:val="clear" w:color="auto" w:fill="FFFFFF"/>
        </w:rPr>
        <w:t>cause before it.”</w:t>
      </w:r>
      <w:r>
        <w:rPr>
          <w:rStyle w:val="FootnoteReference"/>
          <w:rFonts w:cs="Times New Roman"/>
          <w:color w:val="000000" w:themeColor="text1"/>
          <w:shd w:val="clear" w:color="auto" w:fill="FFFFFF"/>
        </w:rPr>
        <w:footnoteReference w:id="39"/>
      </w:r>
      <w:r>
        <w:rPr>
          <w:rFonts w:cs="Times New Roman"/>
          <w:color w:val="000000" w:themeColor="text1"/>
          <w:shd w:val="clear" w:color="auto" w:fill="FFFFFF"/>
        </w:rPr>
        <w:t xml:space="preserve"> I find that I do not need to determine whether the continued participation of</w:t>
      </w:r>
      <w:r w:rsidR="00B11EA1">
        <w:rPr>
          <w:rFonts w:cs="Times New Roman"/>
          <w:color w:val="000000" w:themeColor="text1"/>
          <w:shd w:val="clear" w:color="auto" w:fill="FFFFFF"/>
        </w:rPr>
        <w:t xml:space="preserve"> the</w:t>
      </w:r>
      <w:r>
        <w:rPr>
          <w:rFonts w:cs="Times New Roman"/>
          <w:color w:val="000000" w:themeColor="text1"/>
          <w:shd w:val="clear" w:color="auto" w:fill="FFFFFF"/>
        </w:rPr>
        <w:t xml:space="preserve"> District’s attorney would taint the legal </w:t>
      </w:r>
      <w:r w:rsidR="00034F5F">
        <w:rPr>
          <w:rFonts w:cs="Times New Roman"/>
          <w:color w:val="000000" w:themeColor="text1"/>
          <w:shd w:val="clear" w:color="auto" w:fill="FFFFFF"/>
        </w:rPr>
        <w:t>system</w:t>
      </w:r>
      <w:r>
        <w:rPr>
          <w:rFonts w:cs="Times New Roman"/>
          <w:color w:val="000000" w:themeColor="text1"/>
          <w:shd w:val="clear" w:color="auto" w:fill="FFFFFF"/>
        </w:rPr>
        <w:t xml:space="preserve"> because </w:t>
      </w:r>
      <w:r w:rsidR="006C26CF">
        <w:rPr>
          <w:rFonts w:cs="Times New Roman"/>
          <w:color w:val="000000" w:themeColor="text1"/>
          <w:shd w:val="clear" w:color="auto" w:fill="FFFFFF"/>
        </w:rPr>
        <w:t xml:space="preserve">the legal matter </w:t>
      </w:r>
      <w:r w:rsidR="00647523">
        <w:rPr>
          <w:rFonts w:cs="Times New Roman"/>
          <w:color w:val="000000" w:themeColor="text1"/>
          <w:shd w:val="clear" w:color="auto" w:fill="FFFFFF"/>
        </w:rPr>
        <w:t>in which</w:t>
      </w:r>
      <w:r w:rsidR="006C26CF">
        <w:rPr>
          <w:rFonts w:cs="Times New Roman"/>
          <w:color w:val="000000" w:themeColor="text1"/>
          <w:shd w:val="clear" w:color="auto" w:fill="FFFFFF"/>
        </w:rPr>
        <w:t xml:space="preserve"> Parent contends </w:t>
      </w:r>
      <w:r w:rsidR="00B11EA1">
        <w:rPr>
          <w:rFonts w:cs="Times New Roman"/>
          <w:color w:val="000000" w:themeColor="text1"/>
          <w:shd w:val="clear" w:color="auto" w:fill="FFFFFF"/>
        </w:rPr>
        <w:t xml:space="preserve">the </w:t>
      </w:r>
      <w:r w:rsidR="006C26CF">
        <w:rPr>
          <w:rFonts w:cs="Times New Roman"/>
          <w:color w:val="000000" w:themeColor="text1"/>
          <w:shd w:val="clear" w:color="auto" w:fill="FFFFFF"/>
        </w:rPr>
        <w:t xml:space="preserve">District’s attorney would be called as a witness </w:t>
      </w:r>
      <w:r w:rsidR="00647523">
        <w:rPr>
          <w:rFonts w:cs="Times New Roman"/>
          <w:color w:val="000000" w:themeColor="text1"/>
          <w:shd w:val="clear" w:color="auto" w:fill="FFFFFF"/>
        </w:rPr>
        <w:t>is different from</w:t>
      </w:r>
      <w:r w:rsidR="006C26CF">
        <w:rPr>
          <w:rFonts w:cs="Times New Roman"/>
          <w:color w:val="000000" w:themeColor="text1"/>
          <w:shd w:val="clear" w:color="auto" w:fill="FFFFFF"/>
        </w:rPr>
        <w:t xml:space="preserve"> this legal matter, and if it were to be heard, it would no</w:t>
      </w:r>
      <w:r w:rsidR="005011B4">
        <w:rPr>
          <w:rFonts w:cs="Times New Roman"/>
          <w:color w:val="000000" w:themeColor="text1"/>
          <w:shd w:val="clear" w:color="auto" w:fill="FFFFFF"/>
        </w:rPr>
        <w:t xml:space="preserve">t be heard at BSEA. </w:t>
      </w:r>
      <w:r w:rsidR="006C26CF">
        <w:rPr>
          <w:rFonts w:cs="Times New Roman"/>
          <w:color w:val="000000" w:themeColor="text1"/>
          <w:shd w:val="clear" w:color="auto" w:fill="FFFFFF"/>
        </w:rPr>
        <w:t>Parent has not met her burden to establis</w:t>
      </w:r>
      <w:r w:rsidR="00A00F58">
        <w:rPr>
          <w:rFonts w:cs="Times New Roman"/>
          <w:color w:val="000000" w:themeColor="text1"/>
          <w:shd w:val="clear" w:color="auto" w:fill="FFFFFF"/>
        </w:rPr>
        <w:t xml:space="preserve">h that disqualification of the </w:t>
      </w:r>
      <w:r w:rsidR="006C26CF">
        <w:rPr>
          <w:rFonts w:cs="Times New Roman"/>
          <w:color w:val="000000" w:themeColor="text1"/>
          <w:shd w:val="clear" w:color="auto" w:fill="FFFFFF"/>
        </w:rPr>
        <w:t>District’s legal counsel</w:t>
      </w:r>
      <w:r w:rsidR="00A00F58">
        <w:rPr>
          <w:rFonts w:cs="Times New Roman"/>
          <w:color w:val="000000" w:themeColor="text1"/>
          <w:shd w:val="clear" w:color="auto" w:fill="FFFFFF"/>
        </w:rPr>
        <w:t xml:space="preserve"> is necessary or appropriate</w:t>
      </w:r>
      <w:r w:rsidR="006C26CF">
        <w:rPr>
          <w:rFonts w:cs="Times New Roman"/>
          <w:color w:val="000000" w:themeColor="text1"/>
          <w:shd w:val="clear" w:color="auto" w:fill="FFFFFF"/>
        </w:rPr>
        <w:t xml:space="preserve">. </w:t>
      </w:r>
    </w:p>
    <w:p w14:paraId="7DD26204" w14:textId="77777777" w:rsidR="00A54717" w:rsidRDefault="00A54717" w:rsidP="00A54717">
      <w:pPr>
        <w:spacing w:before="200"/>
        <w:ind w:firstLine="216"/>
        <w:rPr>
          <w:rFonts w:cs="Times New Roman"/>
          <w:color w:val="000000"/>
          <w:shd w:val="clear" w:color="auto" w:fill="FFFFFF"/>
        </w:rPr>
      </w:pPr>
    </w:p>
    <w:p w14:paraId="0B07305D" w14:textId="77777777" w:rsidR="00A54717" w:rsidRPr="006C26CF" w:rsidRDefault="00A54717" w:rsidP="00A54717">
      <w:pPr>
        <w:spacing w:before="200"/>
        <w:rPr>
          <w:rFonts w:cs="Times New Roman"/>
          <w:color w:val="000000" w:themeColor="text1"/>
          <w:u w:val="single"/>
          <w:shd w:val="clear" w:color="auto" w:fill="FFFFFF"/>
        </w:rPr>
      </w:pPr>
      <w:r w:rsidRPr="006C26CF">
        <w:rPr>
          <w:rFonts w:cs="Times New Roman"/>
          <w:color w:val="000000" w:themeColor="text1"/>
          <w:u w:val="single"/>
          <w:shd w:val="clear" w:color="auto" w:fill="FFFFFF"/>
        </w:rPr>
        <w:t>CONCLUSION</w:t>
      </w:r>
    </w:p>
    <w:p w14:paraId="36B65F4B" w14:textId="600EBD29" w:rsidR="006C26CF" w:rsidRDefault="00A54717" w:rsidP="006C26CF">
      <w:pPr>
        <w:ind w:firstLine="216"/>
        <w:rPr>
          <w:rFonts w:cs="Times New Roman"/>
          <w:color w:val="000000"/>
          <w:shd w:val="clear" w:color="auto" w:fill="FFFFFF"/>
        </w:rPr>
      </w:pPr>
      <w:r>
        <w:rPr>
          <w:rFonts w:cs="Times New Roman"/>
        </w:rPr>
        <w:t xml:space="preserve">Upon consideration of </w:t>
      </w:r>
      <w:r w:rsidR="006C26CF">
        <w:rPr>
          <w:rFonts w:cs="Times New Roman"/>
        </w:rPr>
        <w:t>Parent’s</w:t>
      </w:r>
      <w:r>
        <w:rPr>
          <w:rFonts w:cs="Times New Roman"/>
        </w:rPr>
        <w:t xml:space="preserve"> Motion to </w:t>
      </w:r>
      <w:r w:rsidR="006C26CF">
        <w:rPr>
          <w:rFonts w:cs="Times New Roman"/>
          <w:color w:val="000000"/>
          <w:shd w:val="clear" w:color="auto" w:fill="FFFFFF"/>
        </w:rPr>
        <w:t xml:space="preserve">Dismiss </w:t>
      </w:r>
      <w:r w:rsidR="005011B4">
        <w:rPr>
          <w:rFonts w:cs="Times New Roman"/>
          <w:color w:val="000000"/>
          <w:shd w:val="clear" w:color="auto" w:fill="FFFFFF"/>
        </w:rPr>
        <w:t xml:space="preserve">the </w:t>
      </w:r>
      <w:r w:rsidR="006C26CF">
        <w:rPr>
          <w:rFonts w:cs="Times New Roman"/>
          <w:color w:val="000000"/>
          <w:shd w:val="clear" w:color="auto" w:fill="FFFFFF"/>
        </w:rPr>
        <w:t xml:space="preserve">District’s Hearing Request and </w:t>
      </w:r>
      <w:r w:rsidR="005011B4">
        <w:rPr>
          <w:rFonts w:cs="Times New Roman"/>
          <w:color w:val="000000"/>
          <w:shd w:val="clear" w:color="auto" w:fill="FFFFFF"/>
        </w:rPr>
        <w:t xml:space="preserve">the </w:t>
      </w:r>
      <w:r w:rsidR="006C26CF">
        <w:rPr>
          <w:rFonts w:cs="Times New Roman"/>
          <w:color w:val="000000"/>
          <w:shd w:val="clear" w:color="auto" w:fill="FFFFFF"/>
        </w:rPr>
        <w:t xml:space="preserve">District’s </w:t>
      </w:r>
      <w:r>
        <w:rPr>
          <w:rFonts w:cs="Times New Roman"/>
          <w:color w:val="000000"/>
          <w:shd w:val="clear" w:color="auto" w:fill="FFFFFF"/>
        </w:rPr>
        <w:t xml:space="preserve">Opposition thereto, </w:t>
      </w:r>
      <w:r w:rsidR="00B11EA1">
        <w:rPr>
          <w:rFonts w:cs="Times New Roman"/>
        </w:rPr>
        <w:t>I</w:t>
      </w:r>
      <w:r>
        <w:rPr>
          <w:rFonts w:cs="Times New Roman"/>
        </w:rPr>
        <w:t xml:space="preserve"> find that </w:t>
      </w:r>
      <w:r w:rsidR="006C26CF">
        <w:rPr>
          <w:rFonts w:cs="Times New Roman"/>
        </w:rPr>
        <w:t xml:space="preserve">District’s request for hearing </w:t>
      </w:r>
      <w:r w:rsidR="00B11EA1">
        <w:rPr>
          <w:rFonts w:cs="Times New Roman"/>
        </w:rPr>
        <w:t xml:space="preserve">is properly before me. </w:t>
      </w:r>
      <w:r w:rsidR="006C26CF">
        <w:rPr>
          <w:rFonts w:cs="Times New Roman"/>
          <w:color w:val="000000"/>
          <w:shd w:val="clear" w:color="auto" w:fill="FFFFFF"/>
        </w:rPr>
        <w:t>Parent</w:t>
      </w:r>
      <w:r>
        <w:rPr>
          <w:rFonts w:cs="Times New Roman"/>
          <w:color w:val="000000"/>
          <w:shd w:val="clear" w:color="auto" w:fill="FFFFFF"/>
        </w:rPr>
        <w:t>’s Motion to Dismiss is DENIED. Should this case proc</w:t>
      </w:r>
      <w:r w:rsidR="006C26CF">
        <w:rPr>
          <w:rFonts w:cs="Times New Roman"/>
          <w:color w:val="000000"/>
          <w:shd w:val="clear" w:color="auto" w:fill="FFFFFF"/>
        </w:rPr>
        <w:t xml:space="preserve">eed to Hearing, </w:t>
      </w:r>
      <w:r w:rsidR="00B11EA1">
        <w:rPr>
          <w:rFonts w:cs="Times New Roman"/>
          <w:color w:val="000000"/>
          <w:shd w:val="clear" w:color="auto" w:fill="FFFFFF"/>
        </w:rPr>
        <w:t xml:space="preserve">the </w:t>
      </w:r>
      <w:r w:rsidR="006C26CF">
        <w:rPr>
          <w:rFonts w:cs="Times New Roman"/>
          <w:color w:val="000000"/>
          <w:shd w:val="clear" w:color="auto" w:fill="FFFFFF"/>
        </w:rPr>
        <w:t>District</w:t>
      </w:r>
      <w:r>
        <w:rPr>
          <w:rFonts w:cs="Times New Roman"/>
          <w:color w:val="000000"/>
          <w:shd w:val="clear" w:color="auto" w:fill="FFFFFF"/>
        </w:rPr>
        <w:t xml:space="preserve"> will have the burden of establishing that </w:t>
      </w:r>
      <w:r w:rsidR="006C26CF">
        <w:rPr>
          <w:rFonts w:cs="Times New Roman"/>
          <w:color w:val="000000"/>
          <w:shd w:val="clear" w:color="auto" w:fill="FFFFFF"/>
        </w:rPr>
        <w:t xml:space="preserve">it acted in accordance </w:t>
      </w:r>
      <w:r w:rsidR="00A00F58">
        <w:rPr>
          <w:rFonts w:cs="Times New Roman"/>
          <w:color w:val="000000"/>
          <w:shd w:val="clear" w:color="auto" w:fill="FFFFFF"/>
        </w:rPr>
        <w:t>with</w:t>
      </w:r>
      <w:r w:rsidR="006C26CF">
        <w:rPr>
          <w:rFonts w:cs="Times New Roman"/>
          <w:color w:val="000000"/>
          <w:shd w:val="clear" w:color="auto" w:fill="FFFFFF"/>
        </w:rPr>
        <w:t xml:space="preserve"> the law and offered FAPE to </w:t>
      </w:r>
      <w:r w:rsidR="00E45CCF">
        <w:rPr>
          <w:rFonts w:cs="Times New Roman"/>
        </w:rPr>
        <w:t xml:space="preserve">Victoria </w:t>
      </w:r>
      <w:r w:rsidR="006C26CF">
        <w:rPr>
          <w:rFonts w:cs="Times New Roman"/>
          <w:color w:val="000000"/>
          <w:shd w:val="clear" w:color="auto" w:fill="FFFFFF"/>
        </w:rPr>
        <w:t>through its propo</w:t>
      </w:r>
      <w:r w:rsidR="00963707">
        <w:rPr>
          <w:rFonts w:cs="Times New Roman"/>
          <w:color w:val="000000"/>
          <w:shd w:val="clear" w:color="auto" w:fill="FFFFFF"/>
        </w:rPr>
        <w:t>sed IEP</w:t>
      </w:r>
      <w:r w:rsidR="006C26CF">
        <w:rPr>
          <w:rFonts w:cs="Times New Roman"/>
          <w:color w:val="000000"/>
          <w:shd w:val="clear" w:color="auto" w:fill="FFFFFF"/>
        </w:rPr>
        <w:t xml:space="preserve">s. </w:t>
      </w:r>
    </w:p>
    <w:p w14:paraId="67962BEE" w14:textId="307BC64E" w:rsidR="006B67A6" w:rsidRDefault="006C26CF" w:rsidP="00647523">
      <w:pPr>
        <w:ind w:firstLine="216"/>
        <w:rPr>
          <w:rFonts w:cs="Times New Roman"/>
          <w:color w:val="000000"/>
          <w:shd w:val="clear" w:color="auto" w:fill="FFFFFF"/>
        </w:rPr>
      </w:pPr>
      <w:r>
        <w:rPr>
          <w:rFonts w:cs="Times New Roman"/>
          <w:color w:val="000000"/>
          <w:shd w:val="clear" w:color="auto" w:fill="FFFFFF"/>
        </w:rPr>
        <w:t xml:space="preserve">With respect to Parent’s Motion to Disqualify and </w:t>
      </w:r>
      <w:r w:rsidR="005011B4">
        <w:rPr>
          <w:rFonts w:cs="Times New Roman"/>
          <w:color w:val="000000"/>
          <w:shd w:val="clear" w:color="auto" w:fill="FFFFFF"/>
        </w:rPr>
        <w:t xml:space="preserve">the </w:t>
      </w:r>
      <w:r>
        <w:rPr>
          <w:rFonts w:cs="Times New Roman"/>
          <w:color w:val="000000"/>
          <w:shd w:val="clear" w:color="auto" w:fill="FFFFFF"/>
        </w:rPr>
        <w:t xml:space="preserve">District’s Opposition thereto, I find that it is </w:t>
      </w:r>
      <w:r w:rsidR="00B11EA1">
        <w:rPr>
          <w:rFonts w:cs="Times New Roman"/>
          <w:color w:val="000000"/>
          <w:shd w:val="clear" w:color="auto" w:fill="FFFFFF"/>
        </w:rPr>
        <w:t xml:space="preserve">not </w:t>
      </w:r>
      <w:r>
        <w:rPr>
          <w:rFonts w:cs="Times New Roman"/>
          <w:color w:val="000000"/>
          <w:shd w:val="clear" w:color="auto" w:fill="FFFFFF"/>
        </w:rPr>
        <w:t xml:space="preserve">necessary to disqualify </w:t>
      </w:r>
      <w:r w:rsidR="00B11EA1">
        <w:rPr>
          <w:rFonts w:cs="Times New Roman"/>
          <w:color w:val="000000"/>
          <w:shd w:val="clear" w:color="auto" w:fill="FFFFFF"/>
        </w:rPr>
        <w:t xml:space="preserve">the </w:t>
      </w:r>
      <w:r>
        <w:rPr>
          <w:rFonts w:cs="Times New Roman"/>
          <w:color w:val="000000"/>
          <w:shd w:val="clear" w:color="auto" w:fill="FFFFFF"/>
        </w:rPr>
        <w:t xml:space="preserve">District’s attorney. Parent’s Motion to Disqualify Legal Counsel is DENIED. </w:t>
      </w:r>
    </w:p>
    <w:p w14:paraId="2AA236CD" w14:textId="77777777" w:rsidR="00647523" w:rsidRDefault="00647523" w:rsidP="00647523">
      <w:pPr>
        <w:ind w:firstLine="216"/>
        <w:rPr>
          <w:rFonts w:cs="Times New Roman"/>
          <w:color w:val="000000"/>
          <w:shd w:val="clear" w:color="auto" w:fill="FFFFFF"/>
        </w:rPr>
      </w:pPr>
    </w:p>
    <w:p w14:paraId="431DEB76" w14:textId="77777777" w:rsidR="00A00F58" w:rsidRDefault="00A00F58" w:rsidP="00647523">
      <w:pPr>
        <w:ind w:firstLine="216"/>
        <w:rPr>
          <w:rFonts w:cs="Times New Roman"/>
          <w:color w:val="000000"/>
          <w:shd w:val="clear" w:color="auto" w:fill="FFFFFF"/>
        </w:rPr>
      </w:pPr>
    </w:p>
    <w:p w14:paraId="7E4D1ED9" w14:textId="2F91B872" w:rsidR="00A54717" w:rsidRPr="00E45CCF" w:rsidRDefault="00A54717" w:rsidP="00E45CCF">
      <w:pPr>
        <w:ind w:firstLine="216"/>
        <w:rPr>
          <w:rFonts w:cs="Times New Roman"/>
          <w:color w:val="000000"/>
          <w:shd w:val="clear" w:color="auto" w:fill="FFFFFF"/>
        </w:rPr>
      </w:pPr>
      <w:r w:rsidRPr="001F21FA">
        <w:rPr>
          <w:rFonts w:cs="Times New Roman"/>
          <w:b/>
          <w:color w:val="000000" w:themeColor="text1"/>
        </w:rPr>
        <w:t>ORDER</w:t>
      </w:r>
    </w:p>
    <w:p w14:paraId="4ADE2998" w14:textId="7B9C21BB" w:rsidR="00A54717" w:rsidRDefault="00A54717" w:rsidP="00647523">
      <w:pPr>
        <w:rPr>
          <w:rFonts w:cs="Times New Roman"/>
          <w:color w:val="000000" w:themeColor="text1"/>
        </w:rPr>
      </w:pPr>
      <w:r w:rsidRPr="001F21FA">
        <w:rPr>
          <w:rFonts w:cs="Times New Roman"/>
          <w:b/>
          <w:color w:val="000000" w:themeColor="text1"/>
        </w:rPr>
        <w:tab/>
      </w:r>
      <w:r w:rsidR="006C26CF">
        <w:rPr>
          <w:rFonts w:cs="Times New Roman"/>
          <w:color w:val="000000" w:themeColor="text1"/>
        </w:rPr>
        <w:t>Parent’s</w:t>
      </w:r>
      <w:r w:rsidRPr="001F21FA">
        <w:rPr>
          <w:rFonts w:cs="Times New Roman"/>
          <w:color w:val="000000" w:themeColor="text1"/>
        </w:rPr>
        <w:t xml:space="preserve"> Motion</w:t>
      </w:r>
      <w:r w:rsidR="006C26CF">
        <w:rPr>
          <w:rFonts w:cs="Times New Roman"/>
          <w:color w:val="000000" w:themeColor="text1"/>
        </w:rPr>
        <w:t>s</w:t>
      </w:r>
      <w:r w:rsidRPr="001F21FA">
        <w:rPr>
          <w:rFonts w:cs="Times New Roman"/>
          <w:color w:val="000000" w:themeColor="text1"/>
        </w:rPr>
        <w:t xml:space="preserve"> to Dismiss</w:t>
      </w:r>
      <w:r w:rsidR="005011B4">
        <w:rPr>
          <w:rFonts w:cs="Times New Roman"/>
          <w:color w:val="000000" w:themeColor="text1"/>
        </w:rPr>
        <w:t xml:space="preserve"> the</w:t>
      </w:r>
      <w:r w:rsidRPr="001F21FA">
        <w:rPr>
          <w:rFonts w:cs="Times New Roman"/>
          <w:color w:val="000000" w:themeColor="text1"/>
        </w:rPr>
        <w:t xml:space="preserve"> </w:t>
      </w:r>
      <w:r w:rsidR="006C26CF">
        <w:rPr>
          <w:rFonts w:cs="Times New Roman"/>
          <w:color w:val="000000" w:themeColor="text1"/>
        </w:rPr>
        <w:t>District’s</w:t>
      </w:r>
      <w:r w:rsidRPr="001F21FA">
        <w:rPr>
          <w:rFonts w:cs="Times New Roman"/>
          <w:color w:val="000000" w:themeColor="text1"/>
        </w:rPr>
        <w:t xml:space="preserve"> Hearing Request </w:t>
      </w:r>
      <w:r w:rsidR="006C26CF">
        <w:rPr>
          <w:rFonts w:cs="Times New Roman"/>
          <w:color w:val="000000" w:themeColor="text1"/>
        </w:rPr>
        <w:t xml:space="preserve">and to </w:t>
      </w:r>
      <w:proofErr w:type="gramStart"/>
      <w:r w:rsidR="006C26CF">
        <w:rPr>
          <w:rFonts w:cs="Times New Roman"/>
          <w:color w:val="000000" w:themeColor="text1"/>
        </w:rPr>
        <w:t>Disqualify</w:t>
      </w:r>
      <w:proofErr w:type="gramEnd"/>
      <w:r w:rsidR="005011B4">
        <w:rPr>
          <w:rFonts w:cs="Times New Roman"/>
          <w:color w:val="000000" w:themeColor="text1"/>
        </w:rPr>
        <w:t xml:space="preserve"> the</w:t>
      </w:r>
      <w:r w:rsidR="006C26CF">
        <w:rPr>
          <w:rFonts w:cs="Times New Roman"/>
          <w:color w:val="000000" w:themeColor="text1"/>
        </w:rPr>
        <w:t xml:space="preserve"> District’s Legal Counsel are</w:t>
      </w:r>
      <w:r w:rsidRPr="001F21FA">
        <w:rPr>
          <w:rFonts w:cs="Times New Roman"/>
          <w:color w:val="000000" w:themeColor="text1"/>
        </w:rPr>
        <w:t xml:space="preserve"> hereby DENIED.</w:t>
      </w:r>
    </w:p>
    <w:p w14:paraId="62C426A6" w14:textId="4EA75D23" w:rsidR="00647523" w:rsidRPr="00647523" w:rsidRDefault="00647523" w:rsidP="00647523">
      <w:pPr>
        <w:rPr>
          <w:rFonts w:cs="Times New Roman"/>
          <w:color w:val="000000" w:themeColor="text1"/>
        </w:rPr>
      </w:pPr>
      <w:r>
        <w:rPr>
          <w:rFonts w:cs="Times New Roman"/>
          <w:color w:val="000000" w:themeColor="text1"/>
        </w:rPr>
        <w:lastRenderedPageBreak/>
        <w:tab/>
        <w:t>Parent is hereby directed to either coop</w:t>
      </w:r>
      <w:r w:rsidR="00A00F58">
        <w:rPr>
          <w:rFonts w:cs="Times New Roman"/>
          <w:color w:val="000000" w:themeColor="text1"/>
        </w:rPr>
        <w:t>erate with the scheduling of a conference c</w:t>
      </w:r>
      <w:r>
        <w:rPr>
          <w:rFonts w:cs="Times New Roman"/>
          <w:color w:val="000000" w:themeColor="text1"/>
        </w:rPr>
        <w:t>all to discuss the status of the ca</w:t>
      </w:r>
      <w:r w:rsidR="00A00F58">
        <w:rPr>
          <w:rFonts w:cs="Times New Roman"/>
          <w:color w:val="000000" w:themeColor="text1"/>
        </w:rPr>
        <w:t>se, or produce a letter from a d</w:t>
      </w:r>
      <w:r>
        <w:rPr>
          <w:rFonts w:cs="Times New Roman"/>
          <w:color w:val="000000" w:themeColor="text1"/>
        </w:rPr>
        <w:t xml:space="preserve">octor stating that she is currently unable to participate in these proceedings and stating when she </w:t>
      </w:r>
      <w:r w:rsidR="00A00F58">
        <w:rPr>
          <w:rFonts w:cs="Times New Roman"/>
          <w:color w:val="000000" w:themeColor="text1"/>
        </w:rPr>
        <w:t>is expected</w:t>
      </w:r>
      <w:r>
        <w:rPr>
          <w:rFonts w:cs="Times New Roman"/>
          <w:color w:val="000000" w:themeColor="text1"/>
        </w:rPr>
        <w:t xml:space="preserve"> to be able to do so.</w:t>
      </w:r>
    </w:p>
    <w:p w14:paraId="47EE98F1" w14:textId="77777777" w:rsidR="00A54717" w:rsidRPr="001F21FA" w:rsidRDefault="00A54717" w:rsidP="00A54717">
      <w:pPr>
        <w:pStyle w:val="ListParagraph"/>
        <w:ind w:left="1080"/>
        <w:rPr>
          <w:rFonts w:cs="Times New Roman"/>
          <w:b/>
          <w:color w:val="000000" w:themeColor="text1"/>
        </w:rPr>
      </w:pPr>
    </w:p>
    <w:p w14:paraId="276E1E88" w14:textId="77777777" w:rsidR="00A54717" w:rsidRPr="001F21FA" w:rsidRDefault="00A54717" w:rsidP="00A54717">
      <w:pPr>
        <w:pStyle w:val="ListParagraph"/>
        <w:ind w:left="1080"/>
        <w:rPr>
          <w:rFonts w:cs="Times New Roman"/>
          <w:b/>
          <w:color w:val="000000" w:themeColor="text1"/>
        </w:rPr>
      </w:pPr>
    </w:p>
    <w:p w14:paraId="46961E19" w14:textId="6214E6DC" w:rsidR="00A54717" w:rsidRPr="001F21FA" w:rsidRDefault="00A54717" w:rsidP="00A54717">
      <w:pPr>
        <w:rPr>
          <w:rFonts w:cs="Times New Roman"/>
          <w:color w:val="000000" w:themeColor="text1"/>
        </w:rPr>
      </w:pPr>
      <w:r w:rsidRPr="001F21FA">
        <w:rPr>
          <w:rFonts w:cs="Times New Roman"/>
          <w:color w:val="000000" w:themeColor="text1"/>
        </w:rPr>
        <w:t>By the Hearing Officer:</w:t>
      </w:r>
      <w:r w:rsidR="005011B4">
        <w:rPr>
          <w:rStyle w:val="FootnoteReference"/>
          <w:rFonts w:cs="Times New Roman"/>
          <w:color w:val="000000" w:themeColor="text1"/>
        </w:rPr>
        <w:footnoteReference w:id="40"/>
      </w:r>
    </w:p>
    <w:p w14:paraId="080D84FE" w14:textId="77777777" w:rsidR="00A54717" w:rsidRPr="001F21FA" w:rsidRDefault="00A54717" w:rsidP="00A54717">
      <w:pPr>
        <w:rPr>
          <w:rFonts w:cs="Times New Roman"/>
          <w:color w:val="000000" w:themeColor="text1"/>
        </w:rPr>
      </w:pPr>
    </w:p>
    <w:p w14:paraId="09B3CAEF" w14:textId="77777777" w:rsidR="00A54717" w:rsidRPr="001F21FA" w:rsidRDefault="00A54717" w:rsidP="00A54717">
      <w:pPr>
        <w:spacing w:after="0" w:line="240" w:lineRule="auto"/>
        <w:rPr>
          <w:rFonts w:cs="Times New Roman"/>
          <w:color w:val="000000" w:themeColor="text1"/>
        </w:rPr>
      </w:pPr>
      <w:r w:rsidRPr="001F21FA">
        <w:rPr>
          <w:rFonts w:cs="Times New Roman"/>
          <w:color w:val="000000" w:themeColor="text1"/>
        </w:rPr>
        <w:t>__________________________</w:t>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r w:rsidRPr="001F21FA">
        <w:rPr>
          <w:rFonts w:cs="Times New Roman"/>
          <w:color w:val="000000" w:themeColor="text1"/>
        </w:rPr>
        <w:tab/>
      </w:r>
    </w:p>
    <w:p w14:paraId="517CF150" w14:textId="77777777" w:rsidR="00A54717" w:rsidRPr="001F21FA" w:rsidRDefault="00A54717" w:rsidP="00A54717">
      <w:pPr>
        <w:spacing w:after="0" w:line="240" w:lineRule="auto"/>
        <w:rPr>
          <w:rFonts w:cs="Times New Roman"/>
          <w:color w:val="000000" w:themeColor="text1"/>
        </w:rPr>
      </w:pPr>
      <w:r w:rsidRPr="001F21FA">
        <w:rPr>
          <w:rFonts w:cs="Times New Roman"/>
          <w:color w:val="000000" w:themeColor="text1"/>
        </w:rPr>
        <w:t>Amy M. Reichbach</w:t>
      </w:r>
    </w:p>
    <w:p w14:paraId="2DCE0643" w14:textId="36CBCCC8" w:rsidR="00A4704A" w:rsidRDefault="00A00F58" w:rsidP="00647523">
      <w:pPr>
        <w:spacing w:after="0" w:line="240" w:lineRule="auto"/>
      </w:pPr>
      <w:r>
        <w:rPr>
          <w:rFonts w:cs="Times New Roman"/>
          <w:color w:val="000000" w:themeColor="text1"/>
        </w:rPr>
        <w:t>Dated: June 27</w:t>
      </w:r>
      <w:r w:rsidR="00647523">
        <w:rPr>
          <w:rFonts w:cs="Times New Roman"/>
          <w:color w:val="000000" w:themeColor="text1"/>
        </w:rPr>
        <w:t>, 2016</w:t>
      </w:r>
    </w:p>
    <w:sectPr w:rsidR="00A4704A" w:rsidSect="00F64C8A">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79F07" w14:textId="77777777" w:rsidR="006829EB" w:rsidRDefault="006829EB" w:rsidP="00A54717">
      <w:pPr>
        <w:spacing w:after="0" w:line="240" w:lineRule="auto"/>
      </w:pPr>
      <w:r>
        <w:separator/>
      </w:r>
    </w:p>
  </w:endnote>
  <w:endnote w:type="continuationSeparator" w:id="0">
    <w:p w14:paraId="2579D290" w14:textId="77777777" w:rsidR="006829EB" w:rsidRDefault="006829EB" w:rsidP="00A5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0025510" w14:textId="7B9A8429" w:rsidR="00F64C8A" w:rsidRDefault="00647523" w:rsidP="00647523">
        <w:pPr>
          <w:pStyle w:val="Footer"/>
          <w:tabs>
            <w:tab w:val="left" w:pos="2760"/>
          </w:tabs>
        </w:pPr>
        <w:r>
          <w:tab/>
        </w:r>
        <w:r>
          <w:tab/>
        </w:r>
        <w:r w:rsidR="0023068C">
          <w:fldChar w:fldCharType="begin"/>
        </w:r>
        <w:r w:rsidR="0023068C">
          <w:instrText xml:space="preserve"> PAGE   \* MERGEFORMAT </w:instrText>
        </w:r>
        <w:r w:rsidR="0023068C">
          <w:fldChar w:fldCharType="separate"/>
        </w:r>
        <w:r w:rsidR="00E322AD">
          <w:rPr>
            <w:noProof/>
          </w:rPr>
          <w:t>2</w:t>
        </w:r>
        <w:r w:rsidR="0023068C">
          <w:rPr>
            <w:noProof/>
          </w:rPr>
          <w:fldChar w:fldCharType="end"/>
        </w:r>
      </w:p>
    </w:sdtContent>
  </w:sdt>
  <w:p w14:paraId="54862BD1" w14:textId="77777777" w:rsidR="00F64C8A" w:rsidRDefault="00F64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68959" w14:textId="77777777" w:rsidR="006829EB" w:rsidRDefault="006829EB" w:rsidP="00A54717">
      <w:pPr>
        <w:spacing w:after="0" w:line="240" w:lineRule="auto"/>
      </w:pPr>
      <w:r>
        <w:separator/>
      </w:r>
    </w:p>
  </w:footnote>
  <w:footnote w:type="continuationSeparator" w:id="0">
    <w:p w14:paraId="210AB026" w14:textId="77777777" w:rsidR="006829EB" w:rsidRDefault="006829EB" w:rsidP="00A54717">
      <w:pPr>
        <w:spacing w:after="0" w:line="240" w:lineRule="auto"/>
      </w:pPr>
      <w:r>
        <w:continuationSeparator/>
      </w:r>
    </w:p>
  </w:footnote>
  <w:footnote w:id="1">
    <w:p w14:paraId="2AACA2EA" w14:textId="236039BD" w:rsidR="00156906" w:rsidRPr="00AA317F" w:rsidRDefault="00156906">
      <w:pPr>
        <w:pStyle w:val="FootnoteText"/>
        <w:rPr>
          <w:sz w:val="20"/>
          <w:szCs w:val="20"/>
        </w:rPr>
      </w:pPr>
      <w:r w:rsidRPr="00AA317F">
        <w:rPr>
          <w:rStyle w:val="FootnoteReference"/>
          <w:sz w:val="20"/>
          <w:szCs w:val="20"/>
        </w:rPr>
        <w:footnoteRef/>
      </w:r>
      <w:r w:rsidRPr="00AA317F">
        <w:rPr>
          <w:sz w:val="20"/>
          <w:szCs w:val="20"/>
        </w:rPr>
        <w:t xml:space="preserve"> </w:t>
      </w:r>
      <w:r w:rsidR="00C2665E" w:rsidRPr="00AA317F">
        <w:rPr>
          <w:sz w:val="20"/>
          <w:szCs w:val="20"/>
        </w:rPr>
        <w:t xml:space="preserve">“Victoria” is a pseudonym chosen by the Hearing Officer to protect the privacy of the Student in the documents available to the public. </w:t>
      </w:r>
    </w:p>
  </w:footnote>
  <w:footnote w:id="2">
    <w:p w14:paraId="7F99CEB7" w14:textId="198D3F7E" w:rsidR="00E124F8" w:rsidRPr="00E124F8" w:rsidRDefault="00E124F8">
      <w:pPr>
        <w:pStyle w:val="FootnoteText"/>
        <w:rPr>
          <w:sz w:val="20"/>
          <w:szCs w:val="20"/>
        </w:rPr>
      </w:pPr>
      <w:r w:rsidRPr="00E124F8">
        <w:rPr>
          <w:rStyle w:val="FootnoteReference"/>
          <w:sz w:val="20"/>
          <w:szCs w:val="20"/>
        </w:rPr>
        <w:footnoteRef/>
      </w:r>
      <w:r w:rsidRPr="00E124F8">
        <w:rPr>
          <w:sz w:val="20"/>
          <w:szCs w:val="20"/>
        </w:rPr>
        <w:t xml:space="preserve"> The District is referred to only as “the District</w:t>
      </w:r>
      <w:r>
        <w:rPr>
          <w:sz w:val="20"/>
          <w:szCs w:val="20"/>
        </w:rPr>
        <w:t>” to preserve the anonymity of its Counsel.</w:t>
      </w:r>
    </w:p>
  </w:footnote>
  <w:footnote w:id="3">
    <w:p w14:paraId="04F58206" w14:textId="508497D0" w:rsidR="00A54717" w:rsidRPr="00AA317F" w:rsidRDefault="00A54717" w:rsidP="00A54717">
      <w:pPr>
        <w:pStyle w:val="FootnoteText"/>
        <w:rPr>
          <w:rFonts w:cs="Times New Roman"/>
          <w:sz w:val="20"/>
          <w:szCs w:val="20"/>
        </w:rPr>
      </w:pPr>
      <w:r w:rsidRPr="00AA317F">
        <w:rPr>
          <w:rStyle w:val="FootnoteReference"/>
          <w:rFonts w:cs="Times New Roman"/>
          <w:color w:val="000000" w:themeColor="text1"/>
          <w:sz w:val="20"/>
          <w:szCs w:val="20"/>
        </w:rPr>
        <w:footnoteRef/>
      </w:r>
      <w:r w:rsidR="005C38B0">
        <w:rPr>
          <w:rFonts w:cs="Times New Roman"/>
          <w:color w:val="000000" w:themeColor="text1"/>
          <w:sz w:val="20"/>
          <w:szCs w:val="20"/>
        </w:rPr>
        <w:t xml:space="preserve"> A conference c</w:t>
      </w:r>
      <w:r w:rsidRPr="00AA317F">
        <w:rPr>
          <w:rFonts w:cs="Times New Roman"/>
          <w:color w:val="000000" w:themeColor="text1"/>
          <w:sz w:val="20"/>
          <w:szCs w:val="20"/>
        </w:rPr>
        <w:t>all was held</w:t>
      </w:r>
      <w:r w:rsidR="00CC2A45" w:rsidRPr="00AA317F">
        <w:rPr>
          <w:rFonts w:cs="Times New Roman"/>
          <w:color w:val="000000" w:themeColor="text1"/>
          <w:sz w:val="20"/>
          <w:szCs w:val="20"/>
        </w:rPr>
        <w:t xml:space="preserve"> in this matter on April 1, 2016</w:t>
      </w:r>
      <w:r w:rsidR="00EA0403">
        <w:rPr>
          <w:rFonts w:cs="Times New Roman"/>
          <w:color w:val="000000" w:themeColor="text1"/>
          <w:sz w:val="20"/>
          <w:szCs w:val="20"/>
        </w:rPr>
        <w:t>, during which the p</w:t>
      </w:r>
      <w:r w:rsidR="006F6966">
        <w:rPr>
          <w:rFonts w:cs="Times New Roman"/>
          <w:color w:val="000000" w:themeColor="text1"/>
          <w:sz w:val="20"/>
          <w:szCs w:val="20"/>
        </w:rPr>
        <w:t>arties agreed to meet to discuss</w:t>
      </w:r>
      <w:r w:rsidR="00EA0403">
        <w:rPr>
          <w:rFonts w:cs="Times New Roman"/>
          <w:color w:val="000000" w:themeColor="text1"/>
          <w:sz w:val="20"/>
          <w:szCs w:val="20"/>
        </w:rPr>
        <w:t xml:space="preserve"> the Motions and other matters at a Pre-Hearing Conference </w:t>
      </w:r>
      <w:r w:rsidR="00144327">
        <w:rPr>
          <w:rFonts w:cs="Times New Roman"/>
          <w:color w:val="000000" w:themeColor="text1"/>
          <w:sz w:val="20"/>
          <w:szCs w:val="20"/>
        </w:rPr>
        <w:t xml:space="preserve">(PHC) </w:t>
      </w:r>
      <w:r w:rsidR="00EA0403">
        <w:rPr>
          <w:rFonts w:cs="Times New Roman"/>
          <w:color w:val="000000" w:themeColor="text1"/>
          <w:sz w:val="20"/>
          <w:szCs w:val="20"/>
        </w:rPr>
        <w:t>on April 9, 2016. Parent subsequently contacted the BSEA to indicate that she could not attend the Pre-Hearing Conference due to her health. She continues to file letters requesting that the matter be dismissed and/or that the District’s attorney be recused, but she did not request a hearing on her Motions, and she continues to assert that she is unable to participate in a Pre-Hearing Conference or a conference call. The District has never reques</w:t>
      </w:r>
      <w:r w:rsidR="006F6966">
        <w:rPr>
          <w:rFonts w:cs="Times New Roman"/>
          <w:color w:val="000000" w:themeColor="text1"/>
          <w:sz w:val="20"/>
          <w:szCs w:val="20"/>
        </w:rPr>
        <w:t>ted a hearing on either Motion.</w:t>
      </w:r>
    </w:p>
  </w:footnote>
  <w:footnote w:id="4">
    <w:p w14:paraId="5989C4AB" w14:textId="0ABECF14" w:rsidR="00026085" w:rsidRPr="00AA317F" w:rsidRDefault="00026085">
      <w:pPr>
        <w:pStyle w:val="FootnoteText"/>
        <w:rPr>
          <w:rFonts w:cs="Times New Roman"/>
          <w:sz w:val="20"/>
          <w:szCs w:val="20"/>
        </w:rPr>
      </w:pPr>
      <w:r w:rsidRPr="00AA317F">
        <w:rPr>
          <w:rStyle w:val="FootnoteReference"/>
          <w:rFonts w:cs="Times New Roman"/>
          <w:sz w:val="20"/>
          <w:szCs w:val="20"/>
        </w:rPr>
        <w:footnoteRef/>
      </w:r>
      <w:r w:rsidRPr="00AA317F">
        <w:rPr>
          <w:rFonts w:cs="Times New Roman"/>
          <w:sz w:val="20"/>
          <w:szCs w:val="20"/>
        </w:rPr>
        <w:t xml:space="preserve"> T</w:t>
      </w:r>
      <w:r w:rsidR="00211F1A">
        <w:rPr>
          <w:rFonts w:cs="Times New Roman"/>
          <w:sz w:val="20"/>
          <w:szCs w:val="20"/>
        </w:rPr>
        <w:t xml:space="preserve">he District proposed an IEP </w:t>
      </w:r>
      <w:r w:rsidRPr="00AA317F">
        <w:rPr>
          <w:rFonts w:cs="Times New Roman"/>
          <w:sz w:val="20"/>
          <w:szCs w:val="20"/>
        </w:rPr>
        <w:t>for the period of January 8, 2015 through January 7, 2016</w:t>
      </w:r>
      <w:r w:rsidR="00C2665E" w:rsidRPr="00AA317F">
        <w:rPr>
          <w:rFonts w:cs="Times New Roman"/>
          <w:sz w:val="20"/>
          <w:szCs w:val="20"/>
        </w:rPr>
        <w:t xml:space="preserve"> (2015-16 IEP)</w:t>
      </w:r>
      <w:r w:rsidRPr="00AA317F">
        <w:rPr>
          <w:rFonts w:cs="Times New Roman"/>
          <w:sz w:val="20"/>
          <w:szCs w:val="20"/>
        </w:rPr>
        <w:t>, and for the period of January 7, 2016 through June 4, 2016</w:t>
      </w:r>
      <w:r w:rsidR="00C2665E" w:rsidRPr="00AA317F">
        <w:rPr>
          <w:rFonts w:cs="Times New Roman"/>
          <w:sz w:val="20"/>
          <w:szCs w:val="20"/>
        </w:rPr>
        <w:t xml:space="preserve"> (2016 IEP)</w:t>
      </w:r>
      <w:r w:rsidRPr="00AA317F">
        <w:rPr>
          <w:rFonts w:cs="Times New Roman"/>
          <w:sz w:val="20"/>
          <w:szCs w:val="20"/>
        </w:rPr>
        <w:t>.</w:t>
      </w:r>
    </w:p>
  </w:footnote>
  <w:footnote w:id="5">
    <w:p w14:paraId="154ABF92" w14:textId="691ED999" w:rsidR="00026085" w:rsidRPr="00AA317F" w:rsidRDefault="00026085">
      <w:pPr>
        <w:pStyle w:val="FootnoteText"/>
        <w:rPr>
          <w:sz w:val="20"/>
          <w:szCs w:val="20"/>
        </w:rPr>
      </w:pPr>
      <w:r w:rsidRPr="00AA317F">
        <w:rPr>
          <w:rStyle w:val="FootnoteReference"/>
          <w:sz w:val="20"/>
          <w:szCs w:val="20"/>
        </w:rPr>
        <w:footnoteRef/>
      </w:r>
      <w:r w:rsidRPr="00AA317F">
        <w:rPr>
          <w:sz w:val="20"/>
          <w:szCs w:val="20"/>
        </w:rPr>
        <w:t xml:space="preserve"> </w:t>
      </w:r>
      <w:r w:rsidR="00C2665E" w:rsidRPr="00AA317F">
        <w:rPr>
          <w:sz w:val="20"/>
          <w:szCs w:val="20"/>
        </w:rPr>
        <w:t xml:space="preserve">The </w:t>
      </w:r>
      <w:r w:rsidR="006F6966">
        <w:rPr>
          <w:sz w:val="20"/>
          <w:szCs w:val="20"/>
        </w:rPr>
        <w:t>District also requested an Order requiring Parent to provide consent to either an extended evaluation of Victoria in a public therapeutic day program or a comprehensive and appropriate reevaluation of Victoria to be performed by District evaluators. On March 18, 2016, the District moved to amend its Hearing Request to remove the claim regarding evaluation of Victoria, as Parent had revoked consent for special education eligibility and declined special education services and supports by way of electronic correspondence dated March 10, 2016.</w:t>
      </w:r>
    </w:p>
  </w:footnote>
  <w:footnote w:id="6">
    <w:p w14:paraId="6FA409A5" w14:textId="423172E7" w:rsidR="00D26B38" w:rsidRPr="00AA317F" w:rsidRDefault="00D26B38">
      <w:pPr>
        <w:pStyle w:val="FootnoteText"/>
        <w:rPr>
          <w:sz w:val="20"/>
          <w:szCs w:val="20"/>
        </w:rPr>
      </w:pPr>
      <w:r w:rsidRPr="00AA317F">
        <w:rPr>
          <w:rStyle w:val="FootnoteReference"/>
          <w:sz w:val="20"/>
          <w:szCs w:val="20"/>
        </w:rPr>
        <w:footnoteRef/>
      </w:r>
      <w:r w:rsidRPr="00AA317F">
        <w:rPr>
          <w:sz w:val="20"/>
          <w:szCs w:val="20"/>
        </w:rPr>
        <w:t xml:space="preserve"> </w:t>
      </w:r>
      <w:r w:rsidR="00220206" w:rsidRPr="00AA317F">
        <w:rPr>
          <w:rFonts w:cs="Times New Roman"/>
          <w:sz w:val="20"/>
          <w:szCs w:val="20"/>
        </w:rPr>
        <w:t>O</w:t>
      </w:r>
      <w:r w:rsidR="00077F93" w:rsidRPr="00AA317F">
        <w:rPr>
          <w:rFonts w:cs="Times New Roman"/>
          <w:sz w:val="20"/>
          <w:szCs w:val="20"/>
        </w:rPr>
        <w:t xml:space="preserve">ne of the communications that </w:t>
      </w:r>
      <w:r w:rsidR="00220206" w:rsidRPr="00AA317F">
        <w:rPr>
          <w:rFonts w:cs="Times New Roman"/>
          <w:sz w:val="20"/>
          <w:szCs w:val="20"/>
        </w:rPr>
        <w:t>comprised</w:t>
      </w:r>
      <w:r w:rsidR="00077F93" w:rsidRPr="00AA317F">
        <w:rPr>
          <w:rFonts w:cs="Times New Roman"/>
          <w:sz w:val="20"/>
          <w:szCs w:val="20"/>
        </w:rPr>
        <w:t xml:space="preserve"> Parent’s Motion to Dismiss, dated April 22, 2016, </w:t>
      </w:r>
      <w:r w:rsidR="00220206" w:rsidRPr="00AA317F">
        <w:rPr>
          <w:rFonts w:cs="Times New Roman"/>
          <w:sz w:val="20"/>
          <w:szCs w:val="20"/>
        </w:rPr>
        <w:t>included the phrase,</w:t>
      </w:r>
      <w:r w:rsidR="00077F93" w:rsidRPr="00AA317F">
        <w:rPr>
          <w:rFonts w:cs="Times New Roman"/>
          <w:sz w:val="20"/>
          <w:szCs w:val="20"/>
        </w:rPr>
        <w:t xml:space="preserve"> “Summary Judgment requested</w:t>
      </w:r>
      <w:r w:rsidR="00FA417D">
        <w:rPr>
          <w:rFonts w:cs="Times New Roman"/>
          <w:sz w:val="20"/>
          <w:szCs w:val="20"/>
        </w:rPr>
        <w:t>,</w:t>
      </w:r>
      <w:r w:rsidR="00077F93" w:rsidRPr="00AA317F">
        <w:rPr>
          <w:rFonts w:cs="Times New Roman"/>
          <w:sz w:val="20"/>
          <w:szCs w:val="20"/>
        </w:rPr>
        <w:t>”, but</w:t>
      </w:r>
      <w:r w:rsidR="00220206" w:rsidRPr="00AA317F">
        <w:rPr>
          <w:rFonts w:cs="Times New Roman"/>
          <w:sz w:val="20"/>
          <w:szCs w:val="20"/>
        </w:rPr>
        <w:t xml:space="preserve"> it</w:t>
      </w:r>
      <w:r w:rsidR="00FA417D">
        <w:rPr>
          <w:rFonts w:cs="Times New Roman"/>
          <w:sz w:val="20"/>
          <w:szCs w:val="20"/>
        </w:rPr>
        <w:t xml:space="preserve"> did </w:t>
      </w:r>
      <w:r w:rsidR="00077F93" w:rsidRPr="00AA317F">
        <w:rPr>
          <w:rFonts w:cs="Times New Roman"/>
          <w:sz w:val="20"/>
          <w:szCs w:val="20"/>
        </w:rPr>
        <w:t xml:space="preserve">not set forth an argument or any grounds for Summary Judgment. Pursuant to 801 CMR 1.01(7)(h), Summary Decision may be granted when there is “no genuine issue of fact relating to all or part of a claim or defense and [the moving party] is entitled to prevail as a matter of law.” This rule of administrative practice is modeled after Rule 56 – Summary Judgment – of both the Massachusetts and Federal Rules of Civil Procedure. Here, Parent’s allegations actually </w:t>
      </w:r>
      <w:r w:rsidR="00E77E8A" w:rsidRPr="00AA317F">
        <w:rPr>
          <w:rFonts w:cs="Times New Roman"/>
          <w:sz w:val="20"/>
          <w:szCs w:val="20"/>
        </w:rPr>
        <w:t xml:space="preserve">demonstrate </w:t>
      </w:r>
      <w:r w:rsidR="00077F93" w:rsidRPr="00AA317F">
        <w:rPr>
          <w:rFonts w:cs="Times New Roman"/>
          <w:sz w:val="20"/>
          <w:szCs w:val="20"/>
        </w:rPr>
        <w:t xml:space="preserve">that many facts </w:t>
      </w:r>
      <w:r w:rsidR="00263ED8" w:rsidRPr="00AA317F">
        <w:rPr>
          <w:rFonts w:cs="Times New Roman"/>
          <w:sz w:val="20"/>
          <w:szCs w:val="20"/>
        </w:rPr>
        <w:t>are in dispute</w:t>
      </w:r>
      <w:r w:rsidR="00077F93" w:rsidRPr="00AA317F">
        <w:rPr>
          <w:rFonts w:cs="Times New Roman"/>
          <w:sz w:val="20"/>
          <w:szCs w:val="20"/>
        </w:rPr>
        <w:t xml:space="preserve"> between the parties. </w:t>
      </w:r>
      <w:r w:rsidR="00263ED8" w:rsidRPr="00AA317F">
        <w:rPr>
          <w:rFonts w:cs="Times New Roman"/>
          <w:sz w:val="20"/>
          <w:szCs w:val="20"/>
        </w:rPr>
        <w:t xml:space="preserve">A hearing is the appropriate vehicle for resolution of these disputes. </w:t>
      </w:r>
      <w:r w:rsidR="00077F93" w:rsidRPr="00AA317F">
        <w:rPr>
          <w:rFonts w:cs="Times New Roman"/>
          <w:sz w:val="20"/>
          <w:szCs w:val="20"/>
        </w:rPr>
        <w:t xml:space="preserve"> </w:t>
      </w:r>
    </w:p>
  </w:footnote>
  <w:footnote w:id="7">
    <w:p w14:paraId="0312F555" w14:textId="2EE83D9C" w:rsidR="00D26B38" w:rsidRPr="00AA317F" w:rsidRDefault="00D26B38">
      <w:pPr>
        <w:pStyle w:val="FootnoteText"/>
        <w:rPr>
          <w:sz w:val="20"/>
          <w:szCs w:val="20"/>
        </w:rPr>
      </w:pPr>
      <w:r w:rsidRPr="00AA317F">
        <w:rPr>
          <w:rStyle w:val="FootnoteReference"/>
          <w:sz w:val="20"/>
          <w:szCs w:val="20"/>
        </w:rPr>
        <w:footnoteRef/>
      </w:r>
      <w:r w:rsidRPr="00AA317F">
        <w:rPr>
          <w:sz w:val="20"/>
          <w:szCs w:val="20"/>
        </w:rPr>
        <w:t xml:space="preserve"> Parent argues that </w:t>
      </w:r>
      <w:r w:rsidR="00263ED8" w:rsidRPr="00AA317F">
        <w:rPr>
          <w:sz w:val="20"/>
          <w:szCs w:val="20"/>
        </w:rPr>
        <w:t xml:space="preserve">the </w:t>
      </w:r>
      <w:r w:rsidR="009257FB" w:rsidRPr="00AA317F">
        <w:rPr>
          <w:sz w:val="20"/>
          <w:szCs w:val="20"/>
        </w:rPr>
        <w:t xml:space="preserve">District’s request was made in bad faith </w:t>
      </w:r>
      <w:r w:rsidR="00263ED8" w:rsidRPr="00AA317F">
        <w:rPr>
          <w:sz w:val="20"/>
          <w:szCs w:val="20"/>
        </w:rPr>
        <w:t>for several reasons, including</w:t>
      </w:r>
      <w:r w:rsidR="00B42D12" w:rsidRPr="00AA317F">
        <w:rPr>
          <w:sz w:val="20"/>
          <w:szCs w:val="20"/>
        </w:rPr>
        <w:t xml:space="preserve"> that the </w:t>
      </w:r>
      <w:r w:rsidR="009257FB" w:rsidRPr="00AA317F">
        <w:rPr>
          <w:sz w:val="20"/>
          <w:szCs w:val="20"/>
        </w:rPr>
        <w:t xml:space="preserve">evidence used by </w:t>
      </w:r>
      <w:r w:rsidR="00263ED8" w:rsidRPr="00AA317F">
        <w:rPr>
          <w:sz w:val="20"/>
          <w:szCs w:val="20"/>
        </w:rPr>
        <w:t xml:space="preserve">the </w:t>
      </w:r>
      <w:r w:rsidR="009257FB" w:rsidRPr="00AA317F">
        <w:rPr>
          <w:sz w:val="20"/>
          <w:szCs w:val="20"/>
        </w:rPr>
        <w:t>District is taken out of context (3/24</w:t>
      </w:r>
      <w:r w:rsidR="00211F1A">
        <w:rPr>
          <w:sz w:val="20"/>
          <w:szCs w:val="20"/>
        </w:rPr>
        <w:t xml:space="preserve"> communication</w:t>
      </w:r>
      <w:r w:rsidR="009257FB" w:rsidRPr="00AA317F">
        <w:rPr>
          <w:sz w:val="20"/>
          <w:szCs w:val="20"/>
        </w:rPr>
        <w:t xml:space="preserve">), </w:t>
      </w:r>
      <w:r w:rsidR="00263ED8" w:rsidRPr="00AA317F">
        <w:rPr>
          <w:sz w:val="20"/>
          <w:szCs w:val="20"/>
        </w:rPr>
        <w:t xml:space="preserve">the </w:t>
      </w:r>
      <w:r w:rsidR="009257FB" w:rsidRPr="00AA317F">
        <w:rPr>
          <w:sz w:val="20"/>
          <w:szCs w:val="20"/>
        </w:rPr>
        <w:t>District proposed an IEP in bad faith (4/19</w:t>
      </w:r>
      <w:r w:rsidR="00211F1A">
        <w:rPr>
          <w:sz w:val="20"/>
          <w:szCs w:val="20"/>
        </w:rPr>
        <w:t xml:space="preserve"> communication</w:t>
      </w:r>
      <w:r w:rsidR="009257FB" w:rsidRPr="00AA317F">
        <w:rPr>
          <w:sz w:val="20"/>
          <w:szCs w:val="20"/>
        </w:rPr>
        <w:t xml:space="preserve">), </w:t>
      </w:r>
      <w:r w:rsidR="00263ED8" w:rsidRPr="00AA317F">
        <w:rPr>
          <w:sz w:val="20"/>
          <w:szCs w:val="20"/>
        </w:rPr>
        <w:t xml:space="preserve">the </w:t>
      </w:r>
      <w:r w:rsidR="00997DB5" w:rsidRPr="00AA317F">
        <w:rPr>
          <w:sz w:val="20"/>
          <w:szCs w:val="20"/>
        </w:rPr>
        <w:t>District was trying to force Parent into signing agreements that would “sign all her rights away</w:t>
      </w:r>
      <w:r w:rsidR="00211F1A">
        <w:rPr>
          <w:sz w:val="20"/>
          <w:szCs w:val="20"/>
        </w:rPr>
        <w:t>,”</w:t>
      </w:r>
      <w:r w:rsidR="00997DB5" w:rsidRPr="00AA317F">
        <w:rPr>
          <w:sz w:val="20"/>
          <w:szCs w:val="20"/>
        </w:rPr>
        <w:t xml:space="preserve"> and that </w:t>
      </w:r>
      <w:r w:rsidR="00263ED8" w:rsidRPr="00AA317F">
        <w:rPr>
          <w:sz w:val="20"/>
          <w:szCs w:val="20"/>
        </w:rPr>
        <w:t xml:space="preserve">the </w:t>
      </w:r>
      <w:r w:rsidR="00997DB5" w:rsidRPr="00AA317F">
        <w:rPr>
          <w:sz w:val="20"/>
          <w:szCs w:val="20"/>
        </w:rPr>
        <w:t>District’s request</w:t>
      </w:r>
      <w:r w:rsidR="00B42D12" w:rsidRPr="00AA317F">
        <w:rPr>
          <w:sz w:val="20"/>
          <w:szCs w:val="20"/>
        </w:rPr>
        <w:t xml:space="preserve"> was </w:t>
      </w:r>
      <w:r w:rsidR="00263ED8" w:rsidRPr="00AA317F">
        <w:rPr>
          <w:sz w:val="20"/>
          <w:szCs w:val="20"/>
        </w:rPr>
        <w:t>retaliatory</w:t>
      </w:r>
      <w:r w:rsidR="00B42D12" w:rsidRPr="00AA317F">
        <w:rPr>
          <w:sz w:val="20"/>
          <w:szCs w:val="20"/>
        </w:rPr>
        <w:t xml:space="preserve">. </w:t>
      </w:r>
    </w:p>
  </w:footnote>
  <w:footnote w:id="8">
    <w:p w14:paraId="095A710F" w14:textId="09C0D8D6" w:rsidR="00997DB5" w:rsidRPr="00AA317F" w:rsidRDefault="00997DB5">
      <w:pPr>
        <w:pStyle w:val="FootnoteText"/>
        <w:rPr>
          <w:sz w:val="20"/>
          <w:szCs w:val="20"/>
        </w:rPr>
      </w:pPr>
      <w:r w:rsidRPr="00AA317F">
        <w:rPr>
          <w:rStyle w:val="FootnoteReference"/>
          <w:sz w:val="20"/>
          <w:szCs w:val="20"/>
        </w:rPr>
        <w:footnoteRef/>
      </w:r>
      <w:r w:rsidRPr="00AA317F">
        <w:rPr>
          <w:sz w:val="20"/>
          <w:szCs w:val="20"/>
        </w:rPr>
        <w:t xml:space="preserve"> Parent argues this case does not belong at BSEA because its issues fall under</w:t>
      </w:r>
      <w:r w:rsidR="005C38B0">
        <w:rPr>
          <w:sz w:val="20"/>
          <w:szCs w:val="20"/>
        </w:rPr>
        <w:t xml:space="preserve"> the</w:t>
      </w:r>
      <w:r w:rsidRPr="00AA317F">
        <w:rPr>
          <w:sz w:val="20"/>
          <w:szCs w:val="20"/>
        </w:rPr>
        <w:t xml:space="preserve"> jurisdiction of another court, and because </w:t>
      </w:r>
      <w:r w:rsidR="00E45CCF" w:rsidRPr="00AA317F">
        <w:rPr>
          <w:rFonts w:cs="Times New Roman"/>
          <w:sz w:val="20"/>
          <w:szCs w:val="20"/>
        </w:rPr>
        <w:t xml:space="preserve">Victoria </w:t>
      </w:r>
      <w:r w:rsidRPr="00AA317F">
        <w:rPr>
          <w:sz w:val="20"/>
          <w:szCs w:val="20"/>
        </w:rPr>
        <w:t xml:space="preserve">is not a special education student. </w:t>
      </w:r>
    </w:p>
  </w:footnote>
  <w:footnote w:id="9">
    <w:p w14:paraId="6DB0023F" w14:textId="6303A1C5" w:rsidR="00B42D12" w:rsidRPr="00AA317F" w:rsidRDefault="00B42D12">
      <w:pPr>
        <w:pStyle w:val="FootnoteText"/>
        <w:rPr>
          <w:sz w:val="20"/>
          <w:szCs w:val="20"/>
        </w:rPr>
      </w:pPr>
      <w:r w:rsidRPr="00AA317F">
        <w:rPr>
          <w:rStyle w:val="FootnoteReference"/>
          <w:sz w:val="20"/>
          <w:szCs w:val="20"/>
        </w:rPr>
        <w:footnoteRef/>
      </w:r>
      <w:r w:rsidRPr="00AA317F">
        <w:rPr>
          <w:sz w:val="20"/>
          <w:szCs w:val="20"/>
        </w:rPr>
        <w:t xml:space="preserve"> Parent relies on a letter</w:t>
      </w:r>
      <w:r w:rsidR="0031276C" w:rsidRPr="00AA317F">
        <w:rPr>
          <w:sz w:val="20"/>
          <w:szCs w:val="20"/>
        </w:rPr>
        <w:t xml:space="preserve"> she received from the District’s legal counsel, dated April 13, 2016</w:t>
      </w:r>
      <w:r w:rsidR="000A51B1" w:rsidRPr="00AA317F">
        <w:rPr>
          <w:sz w:val="20"/>
          <w:szCs w:val="20"/>
        </w:rPr>
        <w:t>,</w:t>
      </w:r>
      <w:r w:rsidR="0031276C" w:rsidRPr="00AA317F">
        <w:rPr>
          <w:sz w:val="20"/>
          <w:szCs w:val="20"/>
        </w:rPr>
        <w:t xml:space="preserve"> in response to an Electronic Bullying Report filed by Parent</w:t>
      </w:r>
      <w:r w:rsidR="000A51B1" w:rsidRPr="00AA317F">
        <w:rPr>
          <w:sz w:val="20"/>
          <w:szCs w:val="20"/>
        </w:rPr>
        <w:t xml:space="preserve"> on April 8, 2016. The District’s letter states</w:t>
      </w:r>
      <w:r w:rsidR="0031276C" w:rsidRPr="00AA317F">
        <w:rPr>
          <w:sz w:val="20"/>
          <w:szCs w:val="20"/>
        </w:rPr>
        <w:t xml:space="preserve"> that Victoria “is </w:t>
      </w:r>
      <w:r w:rsidR="0031276C" w:rsidRPr="00AA317F">
        <w:rPr>
          <w:b/>
          <w:sz w:val="20"/>
          <w:szCs w:val="20"/>
          <w:u w:val="single"/>
        </w:rPr>
        <w:t xml:space="preserve">not </w:t>
      </w:r>
      <w:r w:rsidR="0031276C" w:rsidRPr="00AA317F">
        <w:rPr>
          <w:sz w:val="20"/>
          <w:szCs w:val="20"/>
        </w:rPr>
        <w:t>a student of t</w:t>
      </w:r>
      <w:r w:rsidR="00E124F8">
        <w:rPr>
          <w:sz w:val="20"/>
          <w:szCs w:val="20"/>
        </w:rPr>
        <w:t>he . . . School</w:t>
      </w:r>
      <w:r w:rsidR="0031276C" w:rsidRPr="00AA317F">
        <w:rPr>
          <w:sz w:val="20"/>
          <w:szCs w:val="20"/>
        </w:rPr>
        <w:t xml:space="preserve"> District, and therefore the definition of a ‘victim’ of bullying as set forth in M.G.L. c. 71 §37O does not apply to her…as a ‘victim’ of bullying is defined as ‘a </w:t>
      </w:r>
      <w:r w:rsidR="0031276C" w:rsidRPr="00AA317F">
        <w:rPr>
          <w:b/>
          <w:sz w:val="20"/>
          <w:szCs w:val="20"/>
          <w:u w:val="single"/>
        </w:rPr>
        <w:t xml:space="preserve">student </w:t>
      </w:r>
      <w:r w:rsidR="0031276C" w:rsidRPr="00AA317F">
        <w:rPr>
          <w:sz w:val="20"/>
          <w:szCs w:val="20"/>
        </w:rPr>
        <w:t xml:space="preserve">against whom bullying or retaliation has been perpetrated.’” </w:t>
      </w:r>
      <w:r w:rsidRPr="00AA317F">
        <w:rPr>
          <w:sz w:val="20"/>
          <w:szCs w:val="20"/>
        </w:rPr>
        <w:t xml:space="preserve">Furthermore, Parent asserts that </w:t>
      </w:r>
      <w:r w:rsidR="00E45CCF" w:rsidRPr="00AA317F">
        <w:rPr>
          <w:rFonts w:cs="Times New Roman"/>
          <w:sz w:val="20"/>
          <w:szCs w:val="20"/>
        </w:rPr>
        <w:t>Victoria</w:t>
      </w:r>
      <w:r w:rsidR="0031276C" w:rsidRPr="00AA317F">
        <w:rPr>
          <w:sz w:val="20"/>
          <w:szCs w:val="20"/>
        </w:rPr>
        <w:t xml:space="preserve"> is not a student of the D</w:t>
      </w:r>
      <w:r w:rsidRPr="00AA317F">
        <w:rPr>
          <w:sz w:val="20"/>
          <w:szCs w:val="20"/>
        </w:rPr>
        <w:t xml:space="preserve">istrict because she </w:t>
      </w:r>
      <w:r w:rsidR="00997DB5" w:rsidRPr="00AA317F">
        <w:rPr>
          <w:sz w:val="20"/>
          <w:szCs w:val="20"/>
        </w:rPr>
        <w:t>had not been receiving any</w:t>
      </w:r>
      <w:r w:rsidRPr="00AA317F">
        <w:rPr>
          <w:sz w:val="20"/>
          <w:szCs w:val="20"/>
        </w:rPr>
        <w:t xml:space="preserve"> special education services</w:t>
      </w:r>
      <w:r w:rsidR="00997DB5" w:rsidRPr="00AA317F">
        <w:rPr>
          <w:sz w:val="20"/>
          <w:szCs w:val="20"/>
        </w:rPr>
        <w:t xml:space="preserve"> pursuant to an IEP</w:t>
      </w:r>
      <w:r w:rsidRPr="00AA317F">
        <w:rPr>
          <w:sz w:val="20"/>
          <w:szCs w:val="20"/>
        </w:rPr>
        <w:t>, and</w:t>
      </w:r>
      <w:r w:rsidR="00997DB5" w:rsidRPr="00AA317F">
        <w:rPr>
          <w:sz w:val="20"/>
          <w:szCs w:val="20"/>
        </w:rPr>
        <w:t xml:space="preserve"> instead, had been</w:t>
      </w:r>
      <w:r w:rsidRPr="00AA317F">
        <w:rPr>
          <w:sz w:val="20"/>
          <w:szCs w:val="20"/>
        </w:rPr>
        <w:t xml:space="preserve"> taking classes at community colleges in the </w:t>
      </w:r>
      <w:r w:rsidR="00211F1A">
        <w:rPr>
          <w:sz w:val="20"/>
          <w:szCs w:val="20"/>
        </w:rPr>
        <w:t>dual</w:t>
      </w:r>
      <w:r w:rsidRPr="00AA317F">
        <w:rPr>
          <w:sz w:val="20"/>
          <w:szCs w:val="20"/>
        </w:rPr>
        <w:t xml:space="preserve"> enrollment program as part of a “safety plan</w:t>
      </w:r>
      <w:r w:rsidR="0031276C" w:rsidRPr="00AA317F">
        <w:rPr>
          <w:sz w:val="20"/>
          <w:szCs w:val="20"/>
        </w:rPr>
        <w:t>.”</w:t>
      </w:r>
      <w:r w:rsidR="00211F1A">
        <w:rPr>
          <w:sz w:val="20"/>
          <w:szCs w:val="20"/>
        </w:rPr>
        <w:t xml:space="preserve"> Parent contend</w:t>
      </w:r>
      <w:r w:rsidRPr="00AA317F">
        <w:rPr>
          <w:sz w:val="20"/>
          <w:szCs w:val="20"/>
        </w:rPr>
        <w:t>s that such “safety plan”</w:t>
      </w:r>
      <w:r w:rsidR="00997DB5" w:rsidRPr="00AA317F">
        <w:rPr>
          <w:sz w:val="20"/>
          <w:szCs w:val="20"/>
        </w:rPr>
        <w:t xml:space="preserve"> was put in place to address </w:t>
      </w:r>
      <w:r w:rsidR="00E45CCF" w:rsidRPr="00AA317F">
        <w:rPr>
          <w:rFonts w:cs="Times New Roman"/>
          <w:sz w:val="20"/>
          <w:szCs w:val="20"/>
        </w:rPr>
        <w:t>Victoria</w:t>
      </w:r>
      <w:r w:rsidR="00997DB5" w:rsidRPr="00AA317F">
        <w:rPr>
          <w:sz w:val="20"/>
          <w:szCs w:val="20"/>
        </w:rPr>
        <w:t>’s emotional problems regard</w:t>
      </w:r>
      <w:r w:rsidR="0031276C" w:rsidRPr="00AA317F">
        <w:rPr>
          <w:sz w:val="20"/>
          <w:szCs w:val="20"/>
        </w:rPr>
        <w:t>ing several traumatic incidents</w:t>
      </w:r>
      <w:r w:rsidR="00997DB5" w:rsidRPr="00AA317F">
        <w:rPr>
          <w:sz w:val="20"/>
          <w:szCs w:val="20"/>
        </w:rPr>
        <w:t xml:space="preserve">. </w:t>
      </w:r>
    </w:p>
  </w:footnote>
  <w:footnote w:id="10">
    <w:p w14:paraId="14532BC2" w14:textId="3B28F920" w:rsidR="00A5188A" w:rsidRPr="00AA317F" w:rsidRDefault="00A5188A">
      <w:pPr>
        <w:pStyle w:val="FootnoteText"/>
        <w:rPr>
          <w:sz w:val="20"/>
          <w:szCs w:val="20"/>
        </w:rPr>
      </w:pPr>
      <w:r w:rsidRPr="00AA317F">
        <w:rPr>
          <w:rStyle w:val="FootnoteReference"/>
          <w:sz w:val="20"/>
          <w:szCs w:val="20"/>
        </w:rPr>
        <w:footnoteRef/>
      </w:r>
      <w:r w:rsidRPr="00AA317F">
        <w:rPr>
          <w:sz w:val="20"/>
          <w:szCs w:val="20"/>
        </w:rPr>
        <w:t xml:space="preserve"> </w:t>
      </w:r>
      <w:r w:rsidR="000A51B1" w:rsidRPr="00AA317F">
        <w:rPr>
          <w:sz w:val="20"/>
          <w:szCs w:val="20"/>
        </w:rPr>
        <w:t xml:space="preserve">The </w:t>
      </w:r>
      <w:r w:rsidRPr="00AA317F">
        <w:rPr>
          <w:sz w:val="20"/>
          <w:szCs w:val="20"/>
        </w:rPr>
        <w:t xml:space="preserve">District recognizes that Parent argues that </w:t>
      </w:r>
      <w:r w:rsidR="000A51B1" w:rsidRPr="00AA317F">
        <w:rPr>
          <w:sz w:val="20"/>
          <w:szCs w:val="20"/>
        </w:rPr>
        <w:t>its</w:t>
      </w:r>
      <w:r w:rsidRPr="00AA317F">
        <w:rPr>
          <w:sz w:val="20"/>
          <w:szCs w:val="20"/>
        </w:rPr>
        <w:t xml:space="preserve"> Request for Hearing is fraudulent, but District “maintains that its request was made in good faith and asserts claims/seeks relief fully within th</w:t>
      </w:r>
      <w:r w:rsidR="008A5A8B" w:rsidRPr="00AA317F">
        <w:rPr>
          <w:sz w:val="20"/>
          <w:szCs w:val="20"/>
        </w:rPr>
        <w:t>e jurisdiction of the BSEA</w:t>
      </w:r>
      <w:r w:rsidR="000A51B1" w:rsidRPr="00AA317F">
        <w:rPr>
          <w:sz w:val="20"/>
          <w:szCs w:val="20"/>
        </w:rPr>
        <w:t>.”</w:t>
      </w:r>
    </w:p>
  </w:footnote>
  <w:footnote w:id="11">
    <w:p w14:paraId="55C26600" w14:textId="10911231" w:rsidR="00A5188A" w:rsidRPr="00AA317F" w:rsidRDefault="00A5188A">
      <w:pPr>
        <w:pStyle w:val="FootnoteText"/>
        <w:rPr>
          <w:sz w:val="20"/>
          <w:szCs w:val="20"/>
        </w:rPr>
      </w:pPr>
      <w:r w:rsidRPr="00AA317F">
        <w:rPr>
          <w:rStyle w:val="FootnoteReference"/>
          <w:sz w:val="20"/>
          <w:szCs w:val="20"/>
        </w:rPr>
        <w:footnoteRef/>
      </w:r>
      <w:r w:rsidRPr="00AA317F">
        <w:rPr>
          <w:sz w:val="20"/>
          <w:szCs w:val="20"/>
        </w:rPr>
        <w:t xml:space="preserve"> </w:t>
      </w:r>
      <w:r w:rsidR="000A51B1" w:rsidRPr="00AA317F">
        <w:rPr>
          <w:sz w:val="20"/>
          <w:szCs w:val="20"/>
        </w:rPr>
        <w:t xml:space="preserve">Parent asserts that </w:t>
      </w:r>
      <w:r w:rsidR="00E45CCF" w:rsidRPr="00AA317F">
        <w:rPr>
          <w:rFonts w:cs="Times New Roman"/>
          <w:sz w:val="20"/>
          <w:szCs w:val="20"/>
        </w:rPr>
        <w:t>Victoria</w:t>
      </w:r>
      <w:r w:rsidRPr="00AA317F">
        <w:rPr>
          <w:sz w:val="20"/>
          <w:szCs w:val="20"/>
        </w:rPr>
        <w:t xml:space="preserve"> has</w:t>
      </w:r>
      <w:r w:rsidR="00E124F8">
        <w:rPr>
          <w:sz w:val="20"/>
          <w:szCs w:val="20"/>
        </w:rPr>
        <w:t xml:space="preserve"> not attended District </w:t>
      </w:r>
      <w:r w:rsidR="005C38B0">
        <w:rPr>
          <w:sz w:val="20"/>
          <w:szCs w:val="20"/>
        </w:rPr>
        <w:t>High School since December</w:t>
      </w:r>
      <w:r w:rsidRPr="00AA317F">
        <w:rPr>
          <w:sz w:val="20"/>
          <w:szCs w:val="20"/>
        </w:rPr>
        <w:t xml:space="preserve"> 2014 because of Parent’s unilateral decision to enroll </w:t>
      </w:r>
      <w:r w:rsidR="000A51B1" w:rsidRPr="00AA317F">
        <w:rPr>
          <w:rFonts w:cs="Times New Roman"/>
          <w:sz w:val="20"/>
          <w:szCs w:val="20"/>
        </w:rPr>
        <w:t>her</w:t>
      </w:r>
      <w:r w:rsidR="00E45CCF" w:rsidRPr="00AA317F">
        <w:rPr>
          <w:rFonts w:cs="Times New Roman"/>
          <w:sz w:val="20"/>
          <w:szCs w:val="20"/>
        </w:rPr>
        <w:t xml:space="preserve"> </w:t>
      </w:r>
      <w:r w:rsidRPr="00AA317F">
        <w:rPr>
          <w:sz w:val="20"/>
          <w:szCs w:val="20"/>
        </w:rPr>
        <w:t>in courses a</w:t>
      </w:r>
      <w:r w:rsidR="008A5A8B" w:rsidRPr="00AA317F">
        <w:rPr>
          <w:sz w:val="20"/>
          <w:szCs w:val="20"/>
        </w:rPr>
        <w:t xml:space="preserve">t Bristol Community College. </w:t>
      </w:r>
    </w:p>
  </w:footnote>
  <w:footnote w:id="12">
    <w:p w14:paraId="1DCFF481" w14:textId="19289609" w:rsidR="00D26B38" w:rsidRPr="00AA317F" w:rsidRDefault="00D26B38">
      <w:pPr>
        <w:pStyle w:val="FootnoteText"/>
        <w:rPr>
          <w:sz w:val="20"/>
          <w:szCs w:val="20"/>
        </w:rPr>
      </w:pPr>
      <w:r w:rsidRPr="00AA317F">
        <w:rPr>
          <w:rStyle w:val="FootnoteReference"/>
          <w:sz w:val="20"/>
          <w:szCs w:val="20"/>
        </w:rPr>
        <w:footnoteRef/>
      </w:r>
      <w:r w:rsidRPr="00AA317F">
        <w:rPr>
          <w:sz w:val="20"/>
          <w:szCs w:val="20"/>
        </w:rPr>
        <w:t xml:space="preserve"> </w:t>
      </w:r>
      <w:r w:rsidRPr="00AA317F">
        <w:rPr>
          <w:rFonts w:cs="Times New Roman"/>
          <w:sz w:val="20"/>
          <w:szCs w:val="20"/>
        </w:rPr>
        <w:t xml:space="preserve">Parent filed her Motion to </w:t>
      </w:r>
      <w:r w:rsidR="000A51B1" w:rsidRPr="00AA317F">
        <w:rPr>
          <w:rFonts w:cs="Times New Roman"/>
          <w:sz w:val="20"/>
          <w:szCs w:val="20"/>
        </w:rPr>
        <w:t xml:space="preserve">Disqualify Legal Counsel </w:t>
      </w:r>
      <w:r w:rsidRPr="00AA317F">
        <w:rPr>
          <w:rFonts w:cs="Times New Roman"/>
          <w:sz w:val="20"/>
          <w:szCs w:val="20"/>
        </w:rPr>
        <w:t>over the course of several communications on March 28, March 30, and May 9, 2016.</w:t>
      </w:r>
    </w:p>
  </w:footnote>
  <w:footnote w:id="13">
    <w:p w14:paraId="4DE3BEEC" w14:textId="40AA6E27" w:rsidR="004976A1" w:rsidRPr="00AA317F" w:rsidRDefault="004976A1">
      <w:pPr>
        <w:pStyle w:val="FootnoteText"/>
        <w:rPr>
          <w:sz w:val="20"/>
          <w:szCs w:val="20"/>
        </w:rPr>
      </w:pPr>
      <w:r w:rsidRPr="00AA317F">
        <w:rPr>
          <w:rStyle w:val="FootnoteReference"/>
          <w:sz w:val="20"/>
          <w:szCs w:val="20"/>
        </w:rPr>
        <w:footnoteRef/>
      </w:r>
      <w:r w:rsidRPr="00AA317F">
        <w:rPr>
          <w:sz w:val="20"/>
          <w:szCs w:val="20"/>
        </w:rPr>
        <w:t xml:space="preserve"> Parent states that Attorney “defamed” her, bullied </w:t>
      </w:r>
      <w:r w:rsidR="00E45CCF" w:rsidRPr="00AA317F">
        <w:rPr>
          <w:rFonts w:cs="Times New Roman"/>
          <w:sz w:val="20"/>
          <w:szCs w:val="20"/>
        </w:rPr>
        <w:t>Victoria</w:t>
      </w:r>
      <w:r w:rsidRPr="00AA317F">
        <w:rPr>
          <w:sz w:val="20"/>
          <w:szCs w:val="20"/>
        </w:rPr>
        <w:t xml:space="preserve">, and withheld documents. Parent also asserts that it would be unethical </w:t>
      </w:r>
      <w:r w:rsidR="000A51B1" w:rsidRPr="00AA317F">
        <w:rPr>
          <w:sz w:val="20"/>
          <w:szCs w:val="20"/>
        </w:rPr>
        <w:t>for</w:t>
      </w:r>
      <w:r w:rsidRPr="00AA317F">
        <w:rPr>
          <w:sz w:val="20"/>
          <w:szCs w:val="20"/>
        </w:rPr>
        <w:t xml:space="preserve"> Attorney</w:t>
      </w:r>
      <w:r w:rsidR="000A51B1" w:rsidRPr="00AA317F">
        <w:rPr>
          <w:sz w:val="20"/>
          <w:szCs w:val="20"/>
        </w:rPr>
        <w:t xml:space="preserve"> to represent the District when she might also serve as a primary witness.</w:t>
      </w:r>
      <w:r w:rsidRPr="00AA317F">
        <w:rPr>
          <w:sz w:val="20"/>
          <w:szCs w:val="20"/>
        </w:rPr>
        <w:t xml:space="preserve"> </w:t>
      </w:r>
    </w:p>
  </w:footnote>
  <w:footnote w:id="14">
    <w:p w14:paraId="0BE64397" w14:textId="388F297B" w:rsidR="009B3807" w:rsidRPr="00AA317F" w:rsidRDefault="009B3807">
      <w:pPr>
        <w:pStyle w:val="FootnoteText"/>
        <w:rPr>
          <w:sz w:val="20"/>
          <w:szCs w:val="20"/>
        </w:rPr>
      </w:pPr>
      <w:r w:rsidRPr="00AA317F">
        <w:rPr>
          <w:rStyle w:val="FootnoteReference"/>
          <w:sz w:val="20"/>
          <w:szCs w:val="20"/>
        </w:rPr>
        <w:footnoteRef/>
      </w:r>
      <w:r w:rsidRPr="00AA317F">
        <w:rPr>
          <w:sz w:val="20"/>
          <w:szCs w:val="20"/>
        </w:rPr>
        <w:t xml:space="preserve"> </w:t>
      </w:r>
      <w:r w:rsidR="00FA417D">
        <w:rPr>
          <w:sz w:val="20"/>
          <w:szCs w:val="20"/>
        </w:rPr>
        <w:t>In its Opposition to Parent’s Motion to Disqualify, t</w:t>
      </w:r>
      <w:r w:rsidR="000A51B1" w:rsidRPr="00AA317F">
        <w:rPr>
          <w:sz w:val="20"/>
          <w:szCs w:val="20"/>
        </w:rPr>
        <w:t xml:space="preserve">he </w:t>
      </w:r>
      <w:r w:rsidR="00FA417D">
        <w:rPr>
          <w:sz w:val="20"/>
          <w:szCs w:val="20"/>
        </w:rPr>
        <w:t xml:space="preserve">District characterizes Parent’s reasons for disqualification as </w:t>
      </w:r>
      <w:r w:rsidRPr="00AA317F">
        <w:rPr>
          <w:sz w:val="20"/>
          <w:szCs w:val="20"/>
        </w:rPr>
        <w:t>“essentially compla</w:t>
      </w:r>
      <w:r w:rsidR="00FA417D">
        <w:rPr>
          <w:sz w:val="20"/>
          <w:szCs w:val="20"/>
        </w:rPr>
        <w:t xml:space="preserve">ints as to the legal strategies . . . or . . . </w:t>
      </w:r>
      <w:r w:rsidRPr="00AA317F">
        <w:rPr>
          <w:sz w:val="20"/>
          <w:szCs w:val="20"/>
        </w:rPr>
        <w:t xml:space="preserve"> highly offensive</w:t>
      </w:r>
      <w:r w:rsidR="00842EAB" w:rsidRPr="00AA317F">
        <w:rPr>
          <w:sz w:val="20"/>
          <w:szCs w:val="20"/>
        </w:rPr>
        <w:t xml:space="preserve"> and defamatory statements.” Furthermore, the</w:t>
      </w:r>
      <w:r w:rsidR="00CD31CF" w:rsidRPr="00AA317F">
        <w:rPr>
          <w:sz w:val="20"/>
          <w:szCs w:val="20"/>
        </w:rPr>
        <w:t xml:space="preserve"> District </w:t>
      </w:r>
      <w:r w:rsidR="00842EAB" w:rsidRPr="00AA317F">
        <w:rPr>
          <w:sz w:val="20"/>
          <w:szCs w:val="20"/>
        </w:rPr>
        <w:t>asserts</w:t>
      </w:r>
      <w:r w:rsidR="00CD31CF" w:rsidRPr="00AA317F">
        <w:rPr>
          <w:sz w:val="20"/>
          <w:szCs w:val="20"/>
        </w:rPr>
        <w:t xml:space="preserve"> that “nothing in Parent’s allegations against </w:t>
      </w:r>
      <w:r w:rsidR="00211F1A">
        <w:rPr>
          <w:sz w:val="20"/>
          <w:szCs w:val="20"/>
        </w:rPr>
        <w:t>[</w:t>
      </w:r>
      <w:r w:rsidR="00CD31CF" w:rsidRPr="00AA317F">
        <w:rPr>
          <w:sz w:val="20"/>
          <w:szCs w:val="20"/>
        </w:rPr>
        <w:t>Attorney</w:t>
      </w:r>
      <w:r w:rsidR="00211F1A">
        <w:rPr>
          <w:sz w:val="20"/>
          <w:szCs w:val="20"/>
        </w:rPr>
        <w:t>]</w:t>
      </w:r>
      <w:r w:rsidR="00CD31CF" w:rsidRPr="00AA317F">
        <w:rPr>
          <w:sz w:val="20"/>
          <w:szCs w:val="20"/>
        </w:rPr>
        <w:t xml:space="preserve"> support even the faintest notion that her conduct violated </w:t>
      </w:r>
      <w:r w:rsidR="00F33151" w:rsidRPr="00AA317F">
        <w:rPr>
          <w:sz w:val="20"/>
          <w:szCs w:val="20"/>
        </w:rPr>
        <w:t>any ethical obligation of the leg</w:t>
      </w:r>
      <w:r w:rsidR="00CD31CF" w:rsidRPr="00AA317F">
        <w:rPr>
          <w:sz w:val="20"/>
          <w:szCs w:val="20"/>
        </w:rPr>
        <w:t>al profession, much less conduct which w</w:t>
      </w:r>
      <w:r w:rsidR="00842EAB" w:rsidRPr="00AA317F">
        <w:rPr>
          <w:sz w:val="20"/>
          <w:szCs w:val="20"/>
        </w:rPr>
        <w:t>ould support disqualification</w:t>
      </w:r>
      <w:r w:rsidR="00CD31CF" w:rsidRPr="00AA317F">
        <w:rPr>
          <w:sz w:val="20"/>
          <w:szCs w:val="20"/>
        </w:rPr>
        <w:t>.</w:t>
      </w:r>
      <w:r w:rsidR="00842EAB" w:rsidRPr="00AA317F">
        <w:rPr>
          <w:sz w:val="20"/>
          <w:szCs w:val="20"/>
        </w:rPr>
        <w:t>”</w:t>
      </w:r>
      <w:r w:rsidR="00CD31CF" w:rsidRPr="00AA317F">
        <w:rPr>
          <w:sz w:val="20"/>
          <w:szCs w:val="20"/>
        </w:rPr>
        <w:t xml:space="preserve"> </w:t>
      </w:r>
    </w:p>
  </w:footnote>
  <w:footnote w:id="15">
    <w:p w14:paraId="1951ED8B" w14:textId="77777777" w:rsidR="00FC33AD" w:rsidRPr="00AA317F" w:rsidRDefault="00FC33AD" w:rsidP="00FC33AD">
      <w:pPr>
        <w:pStyle w:val="FootnoteText"/>
        <w:rPr>
          <w:rFonts w:cs="Times New Roman"/>
          <w:sz w:val="20"/>
          <w:szCs w:val="20"/>
        </w:rPr>
      </w:pPr>
      <w:r w:rsidRPr="00AA317F">
        <w:rPr>
          <w:rStyle w:val="FootnoteReference"/>
          <w:rFonts w:cs="Times New Roman"/>
          <w:sz w:val="20"/>
          <w:szCs w:val="20"/>
        </w:rPr>
        <w:footnoteRef/>
      </w:r>
      <w:r w:rsidRPr="00AA317F">
        <w:rPr>
          <w:rFonts w:cs="Times New Roman"/>
          <w:sz w:val="20"/>
          <w:szCs w:val="20"/>
        </w:rPr>
        <w:t xml:space="preserve"> </w:t>
      </w:r>
      <w:proofErr w:type="spellStart"/>
      <w:r w:rsidRPr="00AA317F">
        <w:rPr>
          <w:rFonts w:cs="Times New Roman"/>
          <w:i/>
          <w:sz w:val="20"/>
          <w:szCs w:val="20"/>
        </w:rPr>
        <w:t>Iannocchino</w:t>
      </w:r>
      <w:proofErr w:type="spellEnd"/>
      <w:r w:rsidRPr="00AA317F">
        <w:rPr>
          <w:rFonts w:cs="Times New Roman"/>
          <w:i/>
          <w:sz w:val="20"/>
          <w:szCs w:val="20"/>
        </w:rPr>
        <w:t xml:space="preserve"> v. Ford Motor Co.</w:t>
      </w:r>
      <w:r w:rsidRPr="00AA317F">
        <w:rPr>
          <w:rFonts w:cs="Times New Roman"/>
          <w:sz w:val="20"/>
          <w:szCs w:val="20"/>
        </w:rPr>
        <w:t xml:space="preserve">, 451 Mass. 623, 636 (2008) (quoting </w:t>
      </w:r>
      <w:r w:rsidRPr="00AA317F">
        <w:rPr>
          <w:rFonts w:cs="Times New Roman"/>
          <w:i/>
          <w:sz w:val="20"/>
          <w:szCs w:val="20"/>
        </w:rPr>
        <w:t xml:space="preserve">Bell Atl. Corp. v. </w:t>
      </w:r>
      <w:proofErr w:type="spellStart"/>
      <w:r w:rsidRPr="00AA317F">
        <w:rPr>
          <w:rFonts w:cs="Times New Roman"/>
          <w:i/>
          <w:sz w:val="20"/>
          <w:szCs w:val="20"/>
        </w:rPr>
        <w:t>Twombly</w:t>
      </w:r>
      <w:proofErr w:type="spellEnd"/>
      <w:r w:rsidRPr="00AA317F">
        <w:rPr>
          <w:rFonts w:cs="Times New Roman"/>
          <w:sz w:val="20"/>
          <w:szCs w:val="20"/>
        </w:rPr>
        <w:t xml:space="preserve">, 550 U.S. 544, 557 (2007)).   </w:t>
      </w:r>
    </w:p>
  </w:footnote>
  <w:footnote w:id="16">
    <w:p w14:paraId="7712A504" w14:textId="77777777" w:rsidR="00FC33AD" w:rsidRPr="00AA317F" w:rsidRDefault="00FC33AD" w:rsidP="00FC33AD">
      <w:pPr>
        <w:pStyle w:val="FootnoteText"/>
        <w:rPr>
          <w:rFonts w:cs="Times New Roman"/>
          <w:sz w:val="20"/>
          <w:szCs w:val="20"/>
        </w:rPr>
      </w:pPr>
      <w:r w:rsidRPr="00AA317F">
        <w:rPr>
          <w:rStyle w:val="FootnoteReference"/>
          <w:rFonts w:cs="Times New Roman"/>
          <w:sz w:val="20"/>
          <w:szCs w:val="20"/>
        </w:rPr>
        <w:footnoteRef/>
      </w:r>
      <w:r w:rsidRPr="00AA317F">
        <w:rPr>
          <w:rFonts w:cs="Times New Roman"/>
          <w:sz w:val="20"/>
          <w:szCs w:val="20"/>
        </w:rPr>
        <w:t xml:space="preserve"> </w:t>
      </w:r>
      <w:proofErr w:type="gramStart"/>
      <w:r w:rsidRPr="00AA317F">
        <w:rPr>
          <w:rFonts w:cs="Times New Roman"/>
          <w:i/>
          <w:sz w:val="20"/>
          <w:szCs w:val="20"/>
        </w:rPr>
        <w:t>Blank v. Chelmsford Ob/</w:t>
      </w:r>
      <w:proofErr w:type="spellStart"/>
      <w:r w:rsidRPr="00AA317F">
        <w:rPr>
          <w:rFonts w:cs="Times New Roman"/>
          <w:i/>
          <w:sz w:val="20"/>
          <w:szCs w:val="20"/>
        </w:rPr>
        <w:t>Gyn</w:t>
      </w:r>
      <w:proofErr w:type="spellEnd"/>
      <w:r w:rsidRPr="00AA317F">
        <w:rPr>
          <w:rFonts w:cs="Times New Roman"/>
          <w:i/>
          <w:sz w:val="20"/>
          <w:szCs w:val="20"/>
        </w:rPr>
        <w:t>, P.C.</w:t>
      </w:r>
      <w:r w:rsidRPr="00AA317F">
        <w:rPr>
          <w:rFonts w:cs="Times New Roman"/>
          <w:sz w:val="20"/>
          <w:szCs w:val="20"/>
        </w:rPr>
        <w:t>, 420 Mass. 404, 407 (1995).</w:t>
      </w:r>
      <w:proofErr w:type="gramEnd"/>
      <w:r w:rsidRPr="00AA317F">
        <w:rPr>
          <w:rFonts w:cs="Times New Roman"/>
          <w:sz w:val="20"/>
          <w:szCs w:val="20"/>
        </w:rPr>
        <w:t xml:space="preserve">  </w:t>
      </w:r>
    </w:p>
  </w:footnote>
  <w:footnote w:id="17">
    <w:p w14:paraId="21517B26" w14:textId="77777777" w:rsidR="00FC33AD" w:rsidRPr="00AA317F" w:rsidRDefault="00FC33AD" w:rsidP="00FC33AD">
      <w:pPr>
        <w:pStyle w:val="FootnoteText"/>
        <w:rPr>
          <w:rFonts w:cs="Times New Roman"/>
          <w:sz w:val="20"/>
          <w:szCs w:val="20"/>
        </w:rPr>
      </w:pPr>
      <w:r w:rsidRPr="00AA317F">
        <w:rPr>
          <w:rStyle w:val="FootnoteReference"/>
          <w:rFonts w:cs="Times New Roman"/>
          <w:sz w:val="20"/>
          <w:szCs w:val="20"/>
        </w:rPr>
        <w:footnoteRef/>
      </w:r>
      <w:r w:rsidRPr="00AA317F">
        <w:rPr>
          <w:rFonts w:cs="Times New Roman"/>
          <w:sz w:val="20"/>
          <w:szCs w:val="20"/>
        </w:rPr>
        <w:t xml:space="preserve"> </w:t>
      </w:r>
      <w:proofErr w:type="gramStart"/>
      <w:r w:rsidRPr="00AA317F">
        <w:rPr>
          <w:rFonts w:cs="Times New Roman"/>
          <w:i/>
          <w:sz w:val="20"/>
          <w:szCs w:val="20"/>
        </w:rPr>
        <w:t xml:space="preserve">Golchin v. Liberty </w:t>
      </w:r>
      <w:proofErr w:type="spellStart"/>
      <w:r w:rsidRPr="00AA317F">
        <w:rPr>
          <w:rFonts w:cs="Times New Roman"/>
          <w:i/>
          <w:sz w:val="20"/>
          <w:szCs w:val="20"/>
        </w:rPr>
        <w:t>Mut</w:t>
      </w:r>
      <w:proofErr w:type="spellEnd"/>
      <w:r w:rsidRPr="00AA317F">
        <w:rPr>
          <w:rFonts w:cs="Times New Roman"/>
          <w:i/>
          <w:sz w:val="20"/>
          <w:szCs w:val="20"/>
        </w:rPr>
        <w:t>.</w:t>
      </w:r>
      <w:proofErr w:type="gramEnd"/>
      <w:r w:rsidRPr="00AA317F">
        <w:rPr>
          <w:rFonts w:cs="Times New Roman"/>
          <w:i/>
          <w:sz w:val="20"/>
          <w:szCs w:val="20"/>
        </w:rPr>
        <w:t xml:space="preserve"> </w:t>
      </w:r>
      <w:proofErr w:type="gramStart"/>
      <w:r w:rsidRPr="00AA317F">
        <w:rPr>
          <w:rFonts w:cs="Times New Roman"/>
          <w:i/>
          <w:sz w:val="20"/>
          <w:szCs w:val="20"/>
        </w:rPr>
        <w:t>Ins. Co.</w:t>
      </w:r>
      <w:r w:rsidRPr="00AA317F">
        <w:rPr>
          <w:rFonts w:cs="Times New Roman"/>
          <w:sz w:val="20"/>
          <w:szCs w:val="20"/>
        </w:rPr>
        <w:t>, 460 Mass. 222, 223 (2011) (internal quotation marks and citations omitted).</w:t>
      </w:r>
      <w:proofErr w:type="gramEnd"/>
    </w:p>
  </w:footnote>
  <w:footnote w:id="18">
    <w:p w14:paraId="4DEE1B79" w14:textId="380E6D11" w:rsidR="00FC33AD" w:rsidRPr="00AA317F" w:rsidRDefault="00FC33AD" w:rsidP="00FC33AD">
      <w:pPr>
        <w:pStyle w:val="FootnoteText"/>
        <w:rPr>
          <w:sz w:val="20"/>
          <w:szCs w:val="20"/>
        </w:rPr>
      </w:pPr>
      <w:r w:rsidRPr="00AA317F">
        <w:rPr>
          <w:rStyle w:val="FootnoteReference"/>
          <w:sz w:val="20"/>
          <w:szCs w:val="20"/>
        </w:rPr>
        <w:footnoteRef/>
      </w:r>
      <w:r w:rsidRPr="00AA317F">
        <w:rPr>
          <w:sz w:val="20"/>
          <w:szCs w:val="20"/>
        </w:rPr>
        <w:t xml:space="preserve"> </w:t>
      </w:r>
      <w:proofErr w:type="gramStart"/>
      <w:r w:rsidR="002A15D3" w:rsidRPr="00AA317F">
        <w:rPr>
          <w:sz w:val="20"/>
          <w:szCs w:val="20"/>
        </w:rPr>
        <w:t xml:space="preserve">See </w:t>
      </w:r>
      <w:r w:rsidR="002A15D3" w:rsidRPr="00AA317F">
        <w:rPr>
          <w:rFonts w:cs="Times New Roman"/>
          <w:sz w:val="20"/>
          <w:szCs w:val="20"/>
        </w:rPr>
        <w:t xml:space="preserve">M.G.L. c. 71B; </w:t>
      </w:r>
      <w:r w:rsidRPr="00AA317F">
        <w:rPr>
          <w:rFonts w:cs="Times New Roman"/>
          <w:sz w:val="20"/>
          <w:szCs w:val="20"/>
        </w:rPr>
        <w:t>603 CMR 28.00</w:t>
      </w:r>
      <w:r w:rsidR="002A15D3" w:rsidRPr="00AA317F">
        <w:rPr>
          <w:rFonts w:cs="Times New Roman"/>
          <w:sz w:val="20"/>
          <w:szCs w:val="20"/>
        </w:rPr>
        <w:t>.</w:t>
      </w:r>
      <w:proofErr w:type="gramEnd"/>
    </w:p>
  </w:footnote>
  <w:footnote w:id="19">
    <w:p w14:paraId="42A0D36A" w14:textId="2943870E" w:rsidR="00FC33AD" w:rsidRPr="00AA317F" w:rsidRDefault="00FC33AD" w:rsidP="00FC33AD">
      <w:pPr>
        <w:pStyle w:val="FootnoteText"/>
        <w:rPr>
          <w:sz w:val="20"/>
          <w:szCs w:val="20"/>
        </w:rPr>
      </w:pPr>
      <w:r w:rsidRPr="00AA317F">
        <w:rPr>
          <w:rStyle w:val="FootnoteReference"/>
          <w:sz w:val="20"/>
          <w:szCs w:val="20"/>
        </w:rPr>
        <w:footnoteRef/>
      </w:r>
      <w:r w:rsidRPr="00AA317F">
        <w:rPr>
          <w:sz w:val="20"/>
          <w:szCs w:val="20"/>
        </w:rPr>
        <w:t xml:space="preserve"> </w:t>
      </w:r>
      <w:r w:rsidR="002A15D3" w:rsidRPr="00AA317F">
        <w:rPr>
          <w:sz w:val="20"/>
          <w:szCs w:val="20"/>
        </w:rPr>
        <w:t xml:space="preserve">See </w:t>
      </w:r>
      <w:r w:rsidRPr="00AA317F">
        <w:rPr>
          <w:rFonts w:cs="Times New Roman"/>
          <w:sz w:val="20"/>
          <w:szCs w:val="20"/>
        </w:rPr>
        <w:t>20 U.S.C. 1401</w:t>
      </w:r>
      <w:r w:rsidR="00A00F58">
        <w:rPr>
          <w:rFonts w:cs="Times New Roman"/>
          <w:sz w:val="20"/>
          <w:szCs w:val="20"/>
        </w:rPr>
        <w:t>; 34 CFR 300.</w:t>
      </w:r>
    </w:p>
  </w:footnote>
  <w:footnote w:id="20">
    <w:p w14:paraId="2EDB56E9" w14:textId="79DD59D9" w:rsidR="00FC33AD" w:rsidRPr="00AA317F" w:rsidRDefault="00FC33AD" w:rsidP="00FC33AD">
      <w:pPr>
        <w:pStyle w:val="FootnoteText"/>
        <w:rPr>
          <w:rFonts w:cs="Times New Roman"/>
          <w:sz w:val="20"/>
          <w:szCs w:val="20"/>
        </w:rPr>
      </w:pPr>
      <w:r w:rsidRPr="00AA317F">
        <w:rPr>
          <w:rStyle w:val="FootnoteReference"/>
          <w:rFonts w:cs="Times New Roman"/>
          <w:sz w:val="20"/>
          <w:szCs w:val="20"/>
        </w:rPr>
        <w:footnoteRef/>
      </w:r>
      <w:r w:rsidR="00A00F58">
        <w:rPr>
          <w:rFonts w:cs="Times New Roman"/>
          <w:sz w:val="20"/>
          <w:szCs w:val="20"/>
        </w:rPr>
        <w:t xml:space="preserve"> See </w:t>
      </w:r>
      <w:r w:rsidR="00A00F58" w:rsidRPr="00AA317F">
        <w:rPr>
          <w:rFonts w:cs="Times New Roman"/>
          <w:sz w:val="20"/>
          <w:szCs w:val="20"/>
        </w:rPr>
        <w:t>29 U.S.C. 794 (Section 504 of Rehab</w:t>
      </w:r>
      <w:r w:rsidR="00A00F58">
        <w:rPr>
          <w:rFonts w:cs="Times New Roman"/>
          <w:sz w:val="20"/>
          <w:szCs w:val="20"/>
        </w:rPr>
        <w:t xml:space="preserve">ilitation Act); </w:t>
      </w:r>
      <w:r w:rsidR="00A00F58" w:rsidRPr="00AA317F">
        <w:rPr>
          <w:rFonts w:cs="Times New Roman"/>
          <w:sz w:val="20"/>
          <w:szCs w:val="20"/>
        </w:rPr>
        <w:t>34 CFR 104</w:t>
      </w:r>
      <w:r w:rsidR="00A00F58">
        <w:rPr>
          <w:rFonts w:cs="Times New Roman"/>
          <w:sz w:val="20"/>
          <w:szCs w:val="20"/>
        </w:rPr>
        <w:t>.</w:t>
      </w:r>
    </w:p>
  </w:footnote>
  <w:footnote w:id="21">
    <w:p w14:paraId="2FA1F479" w14:textId="2EBD8A37" w:rsidR="00FC33AD" w:rsidRPr="00AA317F" w:rsidRDefault="00FC33AD" w:rsidP="00FC33AD">
      <w:pPr>
        <w:pStyle w:val="FootnoteText"/>
        <w:rPr>
          <w:rFonts w:cs="Times New Roman"/>
          <w:sz w:val="20"/>
          <w:szCs w:val="20"/>
        </w:rPr>
      </w:pPr>
      <w:r w:rsidRPr="00AA317F">
        <w:rPr>
          <w:rStyle w:val="FootnoteReference"/>
          <w:rFonts w:cs="Times New Roman"/>
          <w:sz w:val="20"/>
          <w:szCs w:val="20"/>
        </w:rPr>
        <w:footnoteRef/>
      </w:r>
      <w:r w:rsidRPr="00AA317F">
        <w:rPr>
          <w:rFonts w:cs="Times New Roman"/>
          <w:sz w:val="20"/>
          <w:szCs w:val="20"/>
        </w:rPr>
        <w:t xml:space="preserve"> </w:t>
      </w:r>
      <w:r w:rsidR="00211F1A">
        <w:rPr>
          <w:rFonts w:cs="Times New Roman"/>
          <w:sz w:val="20"/>
          <w:szCs w:val="20"/>
        </w:rPr>
        <w:t xml:space="preserve">See </w:t>
      </w:r>
      <w:proofErr w:type="spellStart"/>
      <w:r w:rsidR="00211F1A">
        <w:rPr>
          <w:rFonts w:cs="Times New Roman"/>
          <w:i/>
          <w:sz w:val="20"/>
          <w:szCs w:val="20"/>
        </w:rPr>
        <w:t>Iannocchino</w:t>
      </w:r>
      <w:proofErr w:type="spellEnd"/>
      <w:r w:rsidR="00211F1A">
        <w:rPr>
          <w:rFonts w:cs="Times New Roman"/>
          <w:i/>
          <w:sz w:val="20"/>
          <w:szCs w:val="20"/>
        </w:rPr>
        <w:t>,</w:t>
      </w:r>
      <w:r w:rsidRPr="00AA317F">
        <w:rPr>
          <w:rFonts w:cs="Times New Roman"/>
          <w:sz w:val="20"/>
          <w:szCs w:val="20"/>
        </w:rPr>
        <w:t xml:space="preserve"> 451 Mass. at 636 (internal citation and quotation marks omitted).   </w:t>
      </w:r>
    </w:p>
  </w:footnote>
  <w:footnote w:id="22">
    <w:p w14:paraId="732C98E6" w14:textId="058D2C1A" w:rsidR="00FC33AD" w:rsidRPr="00AA317F" w:rsidRDefault="00FC33AD" w:rsidP="00FC33AD">
      <w:pPr>
        <w:pStyle w:val="FootnoteText"/>
        <w:rPr>
          <w:rFonts w:cs="Times New Roman"/>
          <w:sz w:val="20"/>
          <w:szCs w:val="20"/>
        </w:rPr>
      </w:pPr>
      <w:r w:rsidRPr="00AA317F">
        <w:rPr>
          <w:rStyle w:val="FootnoteReference"/>
          <w:rFonts w:cs="Times New Roman"/>
          <w:sz w:val="20"/>
          <w:szCs w:val="20"/>
        </w:rPr>
        <w:footnoteRef/>
      </w:r>
      <w:r w:rsidRPr="00AA317F">
        <w:rPr>
          <w:rFonts w:cs="Times New Roman"/>
          <w:sz w:val="20"/>
          <w:szCs w:val="20"/>
        </w:rPr>
        <w:t xml:space="preserve"> See </w:t>
      </w:r>
      <w:r w:rsidR="00422F70" w:rsidRPr="00422F70">
        <w:rPr>
          <w:rFonts w:cs="Times New Roman"/>
          <w:i/>
          <w:sz w:val="20"/>
          <w:szCs w:val="20"/>
        </w:rPr>
        <w:t>Golchin</w:t>
      </w:r>
      <w:r w:rsidR="00422F70">
        <w:rPr>
          <w:rFonts w:cs="Times New Roman"/>
          <w:sz w:val="20"/>
          <w:szCs w:val="20"/>
        </w:rPr>
        <w:t>,</w:t>
      </w:r>
      <w:r w:rsidR="00422F70">
        <w:rPr>
          <w:rFonts w:cs="Times New Roman"/>
          <w:i/>
          <w:sz w:val="20"/>
          <w:szCs w:val="20"/>
        </w:rPr>
        <w:t xml:space="preserve"> </w:t>
      </w:r>
      <w:r w:rsidRPr="00422F70">
        <w:rPr>
          <w:rFonts w:cs="Times New Roman"/>
          <w:sz w:val="20"/>
          <w:szCs w:val="20"/>
        </w:rPr>
        <w:t>460</w:t>
      </w:r>
      <w:r w:rsidRPr="00AA317F">
        <w:rPr>
          <w:rFonts w:cs="Times New Roman"/>
          <w:sz w:val="20"/>
          <w:szCs w:val="20"/>
        </w:rPr>
        <w:t xml:space="preserve"> Mass. at 223; </w:t>
      </w:r>
      <w:r w:rsidR="00422F70" w:rsidRPr="00422F70">
        <w:rPr>
          <w:rFonts w:cs="Times New Roman"/>
          <w:i/>
          <w:sz w:val="20"/>
          <w:szCs w:val="20"/>
        </w:rPr>
        <w:t>Blank</w:t>
      </w:r>
      <w:r w:rsidR="00422F70">
        <w:rPr>
          <w:rFonts w:cs="Times New Roman"/>
          <w:sz w:val="20"/>
          <w:szCs w:val="20"/>
        </w:rPr>
        <w:t>,</w:t>
      </w:r>
      <w:r w:rsidR="00422F70">
        <w:rPr>
          <w:rFonts w:cs="Times New Roman"/>
          <w:i/>
          <w:sz w:val="20"/>
          <w:szCs w:val="20"/>
        </w:rPr>
        <w:t xml:space="preserve"> </w:t>
      </w:r>
      <w:r w:rsidRPr="00422F70">
        <w:rPr>
          <w:rFonts w:cs="Times New Roman"/>
          <w:sz w:val="20"/>
          <w:szCs w:val="20"/>
        </w:rPr>
        <w:t>420</w:t>
      </w:r>
      <w:r w:rsidRPr="00AA317F">
        <w:rPr>
          <w:rFonts w:cs="Times New Roman"/>
          <w:sz w:val="20"/>
          <w:szCs w:val="20"/>
        </w:rPr>
        <w:t xml:space="preserve"> </w:t>
      </w:r>
      <w:r w:rsidRPr="00422F70">
        <w:rPr>
          <w:rFonts w:cs="Times New Roman"/>
          <w:sz w:val="20"/>
          <w:szCs w:val="20"/>
        </w:rPr>
        <w:t>Mass</w:t>
      </w:r>
      <w:r w:rsidRPr="00AA317F">
        <w:rPr>
          <w:rFonts w:cs="Times New Roman"/>
          <w:sz w:val="20"/>
          <w:szCs w:val="20"/>
        </w:rPr>
        <w:t xml:space="preserve">. at 407. </w:t>
      </w:r>
    </w:p>
  </w:footnote>
  <w:footnote w:id="23">
    <w:p w14:paraId="10F2B2AF" w14:textId="41A7943F" w:rsidR="00FC33AD" w:rsidRPr="00D73075" w:rsidRDefault="00FC33AD" w:rsidP="00FC33AD">
      <w:pPr>
        <w:pStyle w:val="FootnoteText"/>
        <w:rPr>
          <w:rFonts w:cs="Times New Roman"/>
          <w:sz w:val="20"/>
          <w:szCs w:val="20"/>
        </w:rPr>
      </w:pPr>
      <w:r w:rsidRPr="00AA317F">
        <w:rPr>
          <w:rStyle w:val="FootnoteReference"/>
          <w:rFonts w:cs="Times New Roman"/>
          <w:sz w:val="20"/>
          <w:szCs w:val="20"/>
        </w:rPr>
        <w:footnoteRef/>
      </w:r>
      <w:r w:rsidR="00D73075">
        <w:rPr>
          <w:rFonts w:cs="Times New Roman"/>
          <w:sz w:val="20"/>
          <w:szCs w:val="20"/>
        </w:rPr>
        <w:t xml:space="preserve"> See Note 3, </w:t>
      </w:r>
      <w:r w:rsidR="00D73075">
        <w:rPr>
          <w:rFonts w:cs="Times New Roman"/>
          <w:i/>
          <w:sz w:val="20"/>
          <w:szCs w:val="20"/>
        </w:rPr>
        <w:t>supra</w:t>
      </w:r>
      <w:r w:rsidR="00D73075">
        <w:rPr>
          <w:rFonts w:cs="Times New Roman"/>
          <w:sz w:val="20"/>
          <w:szCs w:val="20"/>
        </w:rPr>
        <w:t>.</w:t>
      </w:r>
    </w:p>
  </w:footnote>
  <w:footnote w:id="24">
    <w:p w14:paraId="08A0A7AD" w14:textId="60BDE0D9" w:rsidR="00FC33AD" w:rsidRPr="00AA317F" w:rsidRDefault="00FC33AD" w:rsidP="00FC33AD">
      <w:pPr>
        <w:pStyle w:val="FootnoteText"/>
        <w:rPr>
          <w:sz w:val="20"/>
          <w:szCs w:val="20"/>
        </w:rPr>
      </w:pPr>
      <w:r w:rsidRPr="00AA317F">
        <w:rPr>
          <w:rStyle w:val="FootnoteReference"/>
          <w:sz w:val="20"/>
          <w:szCs w:val="20"/>
        </w:rPr>
        <w:footnoteRef/>
      </w:r>
      <w:r w:rsidRPr="00AA317F">
        <w:rPr>
          <w:sz w:val="20"/>
          <w:szCs w:val="20"/>
        </w:rPr>
        <w:t xml:space="preserve"> Whether </w:t>
      </w:r>
      <w:r w:rsidR="00583F81" w:rsidRPr="00AA317F">
        <w:rPr>
          <w:sz w:val="20"/>
          <w:szCs w:val="20"/>
        </w:rPr>
        <w:t xml:space="preserve">the </w:t>
      </w:r>
      <w:r w:rsidRPr="00AA317F">
        <w:rPr>
          <w:sz w:val="20"/>
          <w:szCs w:val="20"/>
        </w:rPr>
        <w:t xml:space="preserve">District’s request for hearing was fraudulent </w:t>
      </w:r>
      <w:r w:rsidR="00583F81" w:rsidRPr="00AA317F">
        <w:rPr>
          <w:sz w:val="20"/>
          <w:szCs w:val="20"/>
        </w:rPr>
        <w:t>is an issue that</w:t>
      </w:r>
      <w:r w:rsidRPr="00AA317F">
        <w:rPr>
          <w:sz w:val="20"/>
          <w:szCs w:val="20"/>
        </w:rPr>
        <w:t xml:space="preserve"> may be </w:t>
      </w:r>
      <w:r w:rsidR="00583F81" w:rsidRPr="00AA317F">
        <w:rPr>
          <w:sz w:val="20"/>
          <w:szCs w:val="20"/>
        </w:rPr>
        <w:t>addressed at H</w:t>
      </w:r>
      <w:r w:rsidRPr="00AA317F">
        <w:rPr>
          <w:sz w:val="20"/>
          <w:szCs w:val="20"/>
        </w:rPr>
        <w:t xml:space="preserve">earing. </w:t>
      </w:r>
    </w:p>
  </w:footnote>
  <w:footnote w:id="25">
    <w:p w14:paraId="164D4615" w14:textId="51E4EC03" w:rsidR="00FC33AD" w:rsidRPr="00AA317F" w:rsidRDefault="00FC33AD" w:rsidP="00FC33AD">
      <w:pPr>
        <w:pStyle w:val="FootnoteText"/>
        <w:rPr>
          <w:sz w:val="20"/>
          <w:szCs w:val="20"/>
        </w:rPr>
      </w:pPr>
      <w:r w:rsidRPr="00AA317F">
        <w:rPr>
          <w:rStyle w:val="FootnoteReference"/>
          <w:sz w:val="20"/>
          <w:szCs w:val="20"/>
        </w:rPr>
        <w:footnoteRef/>
      </w:r>
      <w:r w:rsidRPr="00AA317F">
        <w:rPr>
          <w:sz w:val="20"/>
          <w:szCs w:val="20"/>
        </w:rPr>
        <w:t xml:space="preserve"> </w:t>
      </w:r>
      <w:r w:rsidRPr="00AA317F">
        <w:rPr>
          <w:rFonts w:cs="Times New Roman"/>
          <w:sz w:val="20"/>
          <w:szCs w:val="20"/>
        </w:rPr>
        <w:t>Victoria</w:t>
      </w:r>
      <w:r w:rsidRPr="00AA317F">
        <w:rPr>
          <w:sz w:val="20"/>
          <w:szCs w:val="20"/>
        </w:rPr>
        <w:t xml:space="preserve"> has not </w:t>
      </w:r>
      <w:r w:rsidR="00E124F8">
        <w:rPr>
          <w:sz w:val="20"/>
          <w:szCs w:val="20"/>
        </w:rPr>
        <w:t xml:space="preserve">attended District </w:t>
      </w:r>
      <w:r w:rsidRPr="00AA317F">
        <w:rPr>
          <w:sz w:val="20"/>
          <w:szCs w:val="20"/>
        </w:rPr>
        <w:t xml:space="preserve">High School since December, 2014 because of Parent’s unilateral decision to enroll </w:t>
      </w:r>
      <w:r w:rsidRPr="00AA317F">
        <w:rPr>
          <w:rFonts w:cs="Times New Roman"/>
          <w:sz w:val="20"/>
          <w:szCs w:val="20"/>
        </w:rPr>
        <w:t xml:space="preserve">Victoria in </w:t>
      </w:r>
      <w:r w:rsidRPr="00AA317F">
        <w:rPr>
          <w:sz w:val="20"/>
          <w:szCs w:val="20"/>
        </w:rPr>
        <w:t>courses at</w:t>
      </w:r>
      <w:r w:rsidR="00583F81" w:rsidRPr="00AA317F">
        <w:rPr>
          <w:sz w:val="20"/>
          <w:szCs w:val="20"/>
        </w:rPr>
        <w:t xml:space="preserve"> Bristol Community College. The District acknowledges that Parent withdrew her from school at this time</w:t>
      </w:r>
      <w:r w:rsidRPr="00AA317F">
        <w:rPr>
          <w:sz w:val="20"/>
          <w:szCs w:val="20"/>
        </w:rPr>
        <w:t>, but asserts that parent did not withdraw consent for special education eligibility and decline special education and related services until March 10, 2016.</w:t>
      </w:r>
    </w:p>
  </w:footnote>
  <w:footnote w:id="26">
    <w:p w14:paraId="69962F0D" w14:textId="59D7DB9C" w:rsidR="006B67A6" w:rsidRPr="00AA317F" w:rsidRDefault="006B67A6" w:rsidP="006B67A6">
      <w:pPr>
        <w:pStyle w:val="FootnoteText"/>
        <w:rPr>
          <w:sz w:val="20"/>
          <w:szCs w:val="20"/>
        </w:rPr>
      </w:pPr>
      <w:r w:rsidRPr="00AA317F">
        <w:rPr>
          <w:rStyle w:val="FootnoteReference"/>
          <w:sz w:val="20"/>
          <w:szCs w:val="20"/>
        </w:rPr>
        <w:footnoteRef/>
      </w:r>
      <w:r w:rsidRPr="00AA317F">
        <w:rPr>
          <w:sz w:val="20"/>
          <w:szCs w:val="20"/>
        </w:rPr>
        <w:t xml:space="preserve"> </w:t>
      </w:r>
      <w:proofErr w:type="gramStart"/>
      <w:r w:rsidR="00D73075" w:rsidRPr="00AA317F">
        <w:rPr>
          <w:i/>
          <w:sz w:val="20"/>
          <w:szCs w:val="20"/>
        </w:rPr>
        <w:t xml:space="preserve">Firestone Tire &amp; Rubber Co. v. </w:t>
      </w:r>
      <w:proofErr w:type="spellStart"/>
      <w:r w:rsidR="00D73075" w:rsidRPr="00AA317F">
        <w:rPr>
          <w:i/>
          <w:sz w:val="20"/>
          <w:szCs w:val="20"/>
        </w:rPr>
        <w:t>Risjord</w:t>
      </w:r>
      <w:proofErr w:type="spellEnd"/>
      <w:r w:rsidR="00D73075" w:rsidRPr="00AA317F">
        <w:rPr>
          <w:sz w:val="20"/>
          <w:szCs w:val="20"/>
        </w:rPr>
        <w:t>, 449 U.S. 368, 377 (1981).</w:t>
      </w:r>
      <w:proofErr w:type="gramEnd"/>
      <w:r w:rsidR="00D73075" w:rsidRPr="00AA317F">
        <w:rPr>
          <w:sz w:val="20"/>
          <w:szCs w:val="20"/>
        </w:rPr>
        <w:t xml:space="preserve"> </w:t>
      </w:r>
    </w:p>
  </w:footnote>
  <w:footnote w:id="27">
    <w:p w14:paraId="4197EF5F" w14:textId="77777777" w:rsidR="006B67A6" w:rsidRPr="00AA317F" w:rsidRDefault="006B67A6" w:rsidP="006B67A6">
      <w:pPr>
        <w:pStyle w:val="FootnoteText"/>
        <w:rPr>
          <w:sz w:val="20"/>
          <w:szCs w:val="20"/>
        </w:rPr>
      </w:pPr>
      <w:r w:rsidRPr="00AA317F">
        <w:rPr>
          <w:rStyle w:val="FootnoteReference"/>
          <w:sz w:val="20"/>
          <w:szCs w:val="20"/>
        </w:rPr>
        <w:footnoteRef/>
      </w:r>
      <w:r w:rsidRPr="00AA317F">
        <w:rPr>
          <w:sz w:val="20"/>
          <w:szCs w:val="20"/>
        </w:rPr>
        <w:t xml:space="preserve"> </w:t>
      </w:r>
      <w:proofErr w:type="spellStart"/>
      <w:proofErr w:type="gramStart"/>
      <w:r w:rsidRPr="00AA317F">
        <w:rPr>
          <w:i/>
          <w:sz w:val="20"/>
          <w:szCs w:val="20"/>
        </w:rPr>
        <w:t>Steinert</w:t>
      </w:r>
      <w:proofErr w:type="spellEnd"/>
      <w:r w:rsidRPr="00AA317F">
        <w:rPr>
          <w:i/>
          <w:sz w:val="20"/>
          <w:szCs w:val="20"/>
        </w:rPr>
        <w:t xml:space="preserve"> v. </w:t>
      </w:r>
      <w:proofErr w:type="spellStart"/>
      <w:r w:rsidRPr="00AA317F">
        <w:rPr>
          <w:i/>
          <w:sz w:val="20"/>
          <w:szCs w:val="20"/>
        </w:rPr>
        <w:t>Steinert</w:t>
      </w:r>
      <w:proofErr w:type="spellEnd"/>
      <w:r w:rsidRPr="00AA317F">
        <w:rPr>
          <w:sz w:val="20"/>
          <w:szCs w:val="20"/>
        </w:rPr>
        <w:t>, 73 Mass. App. Ct. 287, 288 (2008).</w:t>
      </w:r>
      <w:proofErr w:type="gramEnd"/>
    </w:p>
  </w:footnote>
  <w:footnote w:id="28">
    <w:p w14:paraId="7CC6EDB1" w14:textId="048BA360" w:rsidR="006B67A6" w:rsidRPr="00AA317F" w:rsidRDefault="006B67A6" w:rsidP="006B67A6">
      <w:pPr>
        <w:spacing w:after="0" w:line="240" w:lineRule="auto"/>
        <w:contextualSpacing/>
        <w:rPr>
          <w:rFonts w:cs="Times New Roman"/>
          <w:sz w:val="20"/>
          <w:szCs w:val="20"/>
        </w:rPr>
      </w:pPr>
      <w:r w:rsidRPr="00AA317F">
        <w:rPr>
          <w:rStyle w:val="FootnoteReference"/>
          <w:sz w:val="20"/>
          <w:szCs w:val="20"/>
        </w:rPr>
        <w:footnoteRef/>
      </w:r>
      <w:r w:rsidRPr="00AA317F">
        <w:rPr>
          <w:sz w:val="20"/>
          <w:szCs w:val="20"/>
        </w:rPr>
        <w:t xml:space="preserve"> </w:t>
      </w:r>
      <w:r w:rsidRPr="00AA317F">
        <w:rPr>
          <w:i/>
          <w:sz w:val="20"/>
          <w:szCs w:val="20"/>
        </w:rPr>
        <w:t>Adoption of Erica</w:t>
      </w:r>
      <w:r w:rsidRPr="00AA317F">
        <w:rPr>
          <w:sz w:val="20"/>
          <w:szCs w:val="20"/>
        </w:rPr>
        <w:t>, 426 Mass. 55, 58 (1997);</w:t>
      </w:r>
      <w:r w:rsidR="00422F70">
        <w:rPr>
          <w:rFonts w:cs="Times New Roman"/>
          <w:color w:val="212121"/>
          <w:sz w:val="20"/>
          <w:szCs w:val="20"/>
        </w:rPr>
        <w:t xml:space="preserve"> s</w:t>
      </w:r>
      <w:r w:rsidRPr="00AA317F">
        <w:rPr>
          <w:rFonts w:cs="Times New Roman"/>
          <w:color w:val="212121"/>
          <w:sz w:val="20"/>
          <w:szCs w:val="20"/>
        </w:rPr>
        <w:t xml:space="preserve">ee </w:t>
      </w:r>
      <w:r w:rsidRPr="00AA317F">
        <w:rPr>
          <w:rFonts w:cs="Times New Roman"/>
          <w:i/>
          <w:color w:val="212121"/>
          <w:sz w:val="20"/>
          <w:szCs w:val="20"/>
        </w:rPr>
        <w:t>Mailer v. Mailer</w:t>
      </w:r>
      <w:r w:rsidR="00422F70" w:rsidRPr="00422F70">
        <w:rPr>
          <w:rFonts w:cs="Times New Roman"/>
          <w:color w:val="212121"/>
          <w:sz w:val="20"/>
          <w:szCs w:val="20"/>
        </w:rPr>
        <w:t>,</w:t>
      </w:r>
      <w:r w:rsidRPr="00AA317F">
        <w:rPr>
          <w:rFonts w:cs="Times New Roman"/>
          <w:i/>
          <w:color w:val="212121"/>
          <w:sz w:val="20"/>
          <w:szCs w:val="20"/>
        </w:rPr>
        <w:t xml:space="preserve"> </w:t>
      </w:r>
      <w:r w:rsidRPr="00AA317F">
        <w:rPr>
          <w:rFonts w:cs="Times New Roman"/>
          <w:color w:val="212121"/>
          <w:sz w:val="20"/>
          <w:szCs w:val="20"/>
        </w:rPr>
        <w:t>390 Mass. 371, 373 (1983).</w:t>
      </w:r>
    </w:p>
  </w:footnote>
  <w:footnote w:id="29">
    <w:p w14:paraId="7699ABDD" w14:textId="758EDB9A" w:rsidR="006B67A6" w:rsidRPr="00AA317F" w:rsidRDefault="006B67A6" w:rsidP="006B67A6">
      <w:pPr>
        <w:spacing w:after="0"/>
        <w:contextualSpacing/>
        <w:rPr>
          <w:rFonts w:cs="Times New Roman"/>
          <w:sz w:val="20"/>
          <w:szCs w:val="20"/>
        </w:rPr>
      </w:pPr>
      <w:r w:rsidRPr="00AA317F">
        <w:rPr>
          <w:rStyle w:val="FootnoteReference"/>
          <w:sz w:val="20"/>
          <w:szCs w:val="20"/>
        </w:rPr>
        <w:footnoteRef/>
      </w:r>
      <w:r w:rsidRPr="00AA317F">
        <w:rPr>
          <w:sz w:val="20"/>
          <w:szCs w:val="20"/>
        </w:rPr>
        <w:t xml:space="preserve"> </w:t>
      </w:r>
      <w:r w:rsidR="00422F70">
        <w:rPr>
          <w:sz w:val="20"/>
          <w:szCs w:val="20"/>
        </w:rPr>
        <w:t xml:space="preserve">See </w:t>
      </w:r>
      <w:proofErr w:type="spellStart"/>
      <w:r w:rsidRPr="00AA317F">
        <w:rPr>
          <w:i/>
          <w:sz w:val="20"/>
          <w:szCs w:val="20"/>
        </w:rPr>
        <w:t>Steinert</w:t>
      </w:r>
      <w:proofErr w:type="spellEnd"/>
      <w:r w:rsidRPr="00AA317F">
        <w:rPr>
          <w:i/>
          <w:sz w:val="20"/>
          <w:szCs w:val="20"/>
        </w:rPr>
        <w:t xml:space="preserve"> v. </w:t>
      </w:r>
      <w:proofErr w:type="spellStart"/>
      <w:r w:rsidRPr="00AA317F">
        <w:rPr>
          <w:i/>
          <w:sz w:val="20"/>
          <w:szCs w:val="20"/>
        </w:rPr>
        <w:t>Steinert</w:t>
      </w:r>
      <w:proofErr w:type="spellEnd"/>
      <w:r w:rsidRPr="00AA317F">
        <w:rPr>
          <w:sz w:val="20"/>
          <w:szCs w:val="20"/>
        </w:rPr>
        <w:t xml:space="preserve">, 73 Mass. App. Ct. 287, 288 (2008).  </w:t>
      </w:r>
    </w:p>
  </w:footnote>
  <w:footnote w:id="30">
    <w:p w14:paraId="00633433" w14:textId="33B16866" w:rsidR="006B67A6" w:rsidRPr="00AA317F" w:rsidRDefault="006B67A6" w:rsidP="006B67A6">
      <w:pPr>
        <w:spacing w:after="0" w:line="240" w:lineRule="auto"/>
        <w:contextualSpacing/>
        <w:rPr>
          <w:rFonts w:cs="Times New Roman"/>
          <w:sz w:val="20"/>
          <w:szCs w:val="20"/>
        </w:rPr>
      </w:pPr>
      <w:r w:rsidRPr="00AA317F">
        <w:rPr>
          <w:rStyle w:val="FootnoteReference"/>
          <w:sz w:val="20"/>
          <w:szCs w:val="20"/>
        </w:rPr>
        <w:footnoteRef/>
      </w:r>
      <w:r w:rsidRPr="00AA317F">
        <w:rPr>
          <w:sz w:val="20"/>
          <w:szCs w:val="20"/>
        </w:rPr>
        <w:t xml:space="preserve"> </w:t>
      </w:r>
      <w:proofErr w:type="spellStart"/>
      <w:proofErr w:type="gramStart"/>
      <w:r w:rsidRPr="00AA317F">
        <w:rPr>
          <w:i/>
          <w:sz w:val="20"/>
          <w:szCs w:val="20"/>
        </w:rPr>
        <w:t>Masiello</w:t>
      </w:r>
      <w:proofErr w:type="spellEnd"/>
      <w:r w:rsidRPr="00AA317F">
        <w:rPr>
          <w:i/>
          <w:sz w:val="20"/>
          <w:szCs w:val="20"/>
        </w:rPr>
        <w:t xml:space="preserve"> v. Perini Corp.</w:t>
      </w:r>
      <w:r w:rsidRPr="00AA317F">
        <w:rPr>
          <w:sz w:val="20"/>
          <w:szCs w:val="20"/>
        </w:rPr>
        <w:t>, 394 Mass. 842, 850 (1985).</w:t>
      </w:r>
      <w:proofErr w:type="gramEnd"/>
    </w:p>
  </w:footnote>
  <w:footnote w:id="31">
    <w:p w14:paraId="78D64631" w14:textId="37FEE161" w:rsidR="006B67A6" w:rsidRPr="00AA317F" w:rsidRDefault="006B67A6" w:rsidP="0071350B">
      <w:pPr>
        <w:pStyle w:val="FootnoteText"/>
        <w:rPr>
          <w:sz w:val="20"/>
          <w:szCs w:val="20"/>
        </w:rPr>
      </w:pPr>
      <w:r w:rsidRPr="00AA317F">
        <w:rPr>
          <w:rStyle w:val="FootnoteReference"/>
          <w:sz w:val="20"/>
          <w:szCs w:val="20"/>
        </w:rPr>
        <w:footnoteRef/>
      </w:r>
      <w:r w:rsidR="0071350B">
        <w:rPr>
          <w:sz w:val="20"/>
          <w:szCs w:val="20"/>
        </w:rPr>
        <w:t xml:space="preserve"> See, e.g., </w:t>
      </w:r>
      <w:r w:rsidRPr="00AA317F">
        <w:rPr>
          <w:rFonts w:cs="Times New Roman"/>
          <w:i/>
          <w:color w:val="000000" w:themeColor="text1"/>
          <w:sz w:val="20"/>
          <w:szCs w:val="20"/>
        </w:rPr>
        <w:t>Great Lakes Const., Inc. v. Burman</w:t>
      </w:r>
      <w:r w:rsidR="0071350B">
        <w:rPr>
          <w:rFonts w:cs="Times New Roman"/>
          <w:color w:val="000000" w:themeColor="text1"/>
          <w:sz w:val="20"/>
          <w:szCs w:val="20"/>
        </w:rPr>
        <w:t xml:space="preserve">, 114 Cal. </w:t>
      </w:r>
      <w:proofErr w:type="spellStart"/>
      <w:r w:rsidR="0071350B">
        <w:rPr>
          <w:rFonts w:cs="Times New Roman"/>
          <w:color w:val="000000" w:themeColor="text1"/>
          <w:sz w:val="20"/>
          <w:szCs w:val="20"/>
        </w:rPr>
        <w:t>Rptr</w:t>
      </w:r>
      <w:proofErr w:type="spellEnd"/>
      <w:r w:rsidR="0071350B">
        <w:rPr>
          <w:rFonts w:cs="Times New Roman"/>
          <w:color w:val="000000" w:themeColor="text1"/>
          <w:sz w:val="20"/>
          <w:szCs w:val="20"/>
        </w:rPr>
        <w:t>. 3d 301, 307-08 (</w:t>
      </w:r>
      <w:r w:rsidRPr="00AA317F">
        <w:rPr>
          <w:rFonts w:cs="Times New Roman"/>
          <w:color w:val="000000" w:themeColor="text1"/>
          <w:sz w:val="20"/>
          <w:szCs w:val="20"/>
        </w:rPr>
        <w:t xml:space="preserve">2010), </w:t>
      </w:r>
      <w:r w:rsidR="0071350B">
        <w:rPr>
          <w:rFonts w:cs="Times New Roman"/>
          <w:color w:val="000000" w:themeColor="text1"/>
          <w:sz w:val="20"/>
          <w:szCs w:val="20"/>
        </w:rPr>
        <w:t>(</w:t>
      </w:r>
      <w:r w:rsidRPr="00AA317F">
        <w:rPr>
          <w:rFonts w:cs="Times New Roman"/>
          <w:color w:val="000000" w:themeColor="text1"/>
          <w:sz w:val="20"/>
          <w:szCs w:val="20"/>
        </w:rPr>
        <w:t xml:space="preserve">“A ‘standing’ requirement is implicit in disqualification motions. </w:t>
      </w:r>
      <w:proofErr w:type="gramStart"/>
      <w:r w:rsidRPr="00AA317F">
        <w:rPr>
          <w:rFonts w:cs="Times New Roman"/>
          <w:color w:val="000000" w:themeColor="text1"/>
          <w:sz w:val="20"/>
          <w:szCs w:val="20"/>
        </w:rPr>
        <w:t>Generally, before the disqualification of an attorney is proper, the complaining party must have or must have had an attorney-client relationship with that attorney”</w:t>
      </w:r>
      <w:r w:rsidR="0071350B">
        <w:rPr>
          <w:rFonts w:cs="Times New Roman"/>
          <w:color w:val="000000" w:themeColor="text1"/>
          <w:sz w:val="20"/>
          <w:szCs w:val="20"/>
        </w:rPr>
        <w:t xml:space="preserve">); </w:t>
      </w:r>
      <w:proofErr w:type="spellStart"/>
      <w:r w:rsidR="0071350B">
        <w:rPr>
          <w:rFonts w:cs="Times New Roman"/>
          <w:i/>
          <w:color w:val="000000" w:themeColor="text1"/>
          <w:sz w:val="20"/>
          <w:szCs w:val="20"/>
        </w:rPr>
        <w:t>Strasbourger</w:t>
      </w:r>
      <w:proofErr w:type="spellEnd"/>
      <w:r w:rsidR="0071350B">
        <w:rPr>
          <w:rFonts w:cs="Times New Roman"/>
          <w:i/>
          <w:color w:val="000000" w:themeColor="text1"/>
          <w:sz w:val="20"/>
          <w:szCs w:val="20"/>
        </w:rPr>
        <w:t xml:space="preserve"> Pearson </w:t>
      </w:r>
      <w:proofErr w:type="spellStart"/>
      <w:r w:rsidR="0071350B">
        <w:rPr>
          <w:rFonts w:cs="Times New Roman"/>
          <w:i/>
          <w:color w:val="000000" w:themeColor="text1"/>
          <w:sz w:val="20"/>
          <w:szCs w:val="20"/>
        </w:rPr>
        <w:t>Tulcin</w:t>
      </w:r>
      <w:proofErr w:type="spellEnd"/>
      <w:r w:rsidR="0071350B">
        <w:rPr>
          <w:rFonts w:cs="Times New Roman"/>
          <w:i/>
          <w:color w:val="000000" w:themeColor="text1"/>
          <w:sz w:val="20"/>
          <w:szCs w:val="20"/>
        </w:rPr>
        <w:t xml:space="preserve"> Wolff Inc. v. Wiz Tech., Inc.</w:t>
      </w:r>
      <w:r w:rsidR="0071350B">
        <w:rPr>
          <w:rFonts w:cs="Times New Roman"/>
          <w:color w:val="000000" w:themeColor="text1"/>
          <w:sz w:val="20"/>
          <w:szCs w:val="20"/>
        </w:rPr>
        <w:t xml:space="preserve">, 82 Ca. </w:t>
      </w:r>
      <w:proofErr w:type="spellStart"/>
      <w:r w:rsidR="0071350B">
        <w:rPr>
          <w:rFonts w:cs="Times New Roman"/>
          <w:color w:val="000000" w:themeColor="text1"/>
          <w:sz w:val="20"/>
          <w:szCs w:val="20"/>
        </w:rPr>
        <w:t>Rptr</w:t>
      </w:r>
      <w:proofErr w:type="spellEnd"/>
      <w:r w:rsidR="0071350B">
        <w:rPr>
          <w:rFonts w:cs="Times New Roman"/>
          <w:color w:val="000000" w:themeColor="text1"/>
          <w:sz w:val="20"/>
          <w:szCs w:val="20"/>
        </w:rPr>
        <w:t>. 2d 326, 329 (1999).</w:t>
      </w:r>
      <w:proofErr w:type="gramEnd"/>
      <w:r w:rsidR="0071350B">
        <w:rPr>
          <w:rFonts w:cs="Times New Roman"/>
          <w:color w:val="000000" w:themeColor="text1"/>
          <w:sz w:val="20"/>
          <w:szCs w:val="20"/>
        </w:rPr>
        <w:t xml:space="preserve"> </w:t>
      </w:r>
      <w:r w:rsidR="0071350B">
        <w:rPr>
          <w:rFonts w:cs="Times New Roman"/>
          <w:i/>
          <w:color w:val="000000" w:themeColor="text1"/>
          <w:sz w:val="20"/>
          <w:szCs w:val="20"/>
        </w:rPr>
        <w:t>Cf</w:t>
      </w:r>
      <w:r w:rsidR="0071350B">
        <w:rPr>
          <w:rFonts w:cs="Times New Roman"/>
          <w:color w:val="000000" w:themeColor="text1"/>
          <w:sz w:val="20"/>
          <w:szCs w:val="20"/>
        </w:rPr>
        <w:t>. Mass. R. Prof. C. 1.9(a) (“[a] lawyer who has formerly represented a client in a matter shall not thereafter represent another person in the same or a substantially related matter in which that persons’ interests are materially adverse to the interests of the former client unless the former cl</w:t>
      </w:r>
      <w:r w:rsidR="00647523">
        <w:rPr>
          <w:rFonts w:cs="Times New Roman"/>
          <w:color w:val="000000" w:themeColor="text1"/>
          <w:sz w:val="20"/>
          <w:szCs w:val="20"/>
        </w:rPr>
        <w:t>ient consents after consultation”).</w:t>
      </w:r>
    </w:p>
  </w:footnote>
  <w:footnote w:id="32">
    <w:p w14:paraId="4F4FB273" w14:textId="77777777" w:rsidR="006B67A6" w:rsidRPr="00AA317F" w:rsidRDefault="006B67A6" w:rsidP="006B67A6">
      <w:pPr>
        <w:spacing w:after="0" w:line="240" w:lineRule="auto"/>
        <w:contextualSpacing/>
        <w:rPr>
          <w:rFonts w:cs="Times New Roman"/>
          <w:sz w:val="20"/>
          <w:szCs w:val="20"/>
        </w:rPr>
      </w:pPr>
      <w:r w:rsidRPr="00AA317F">
        <w:rPr>
          <w:rStyle w:val="FootnoteReference"/>
          <w:sz w:val="20"/>
          <w:szCs w:val="20"/>
        </w:rPr>
        <w:footnoteRef/>
      </w:r>
      <w:r w:rsidRPr="00AA317F">
        <w:rPr>
          <w:sz w:val="20"/>
          <w:szCs w:val="20"/>
        </w:rPr>
        <w:t xml:space="preserve"> </w:t>
      </w:r>
      <w:hyperlink r:id="rId1" w:anchor="co_pp_sp_350_721">
        <w:proofErr w:type="gramStart"/>
        <w:r w:rsidRPr="00AA317F">
          <w:rPr>
            <w:rFonts w:cs="Times New Roman"/>
            <w:i/>
            <w:color w:val="000000" w:themeColor="text1"/>
            <w:sz w:val="20"/>
            <w:szCs w:val="20"/>
          </w:rPr>
          <w:t>Freeman v. Chicago Musical Instrument Co.,</w:t>
        </w:r>
      </w:hyperlink>
      <w:hyperlink r:id="rId2" w:anchor="co_pp_sp_350_721">
        <w:r w:rsidRPr="00AA317F">
          <w:rPr>
            <w:rFonts w:cs="Times New Roman"/>
            <w:color w:val="000000" w:themeColor="text1"/>
            <w:sz w:val="20"/>
            <w:szCs w:val="20"/>
          </w:rPr>
          <w:t xml:space="preserve"> 689 F.2d 715, 721 (7th Cir.1982)</w:t>
        </w:r>
      </w:hyperlink>
      <w:r w:rsidRPr="00AA317F">
        <w:rPr>
          <w:rFonts w:cs="Times New Roman"/>
          <w:color w:val="000000" w:themeColor="text1"/>
          <w:sz w:val="20"/>
          <w:szCs w:val="20"/>
        </w:rPr>
        <w:t>.</w:t>
      </w:r>
      <w:proofErr w:type="gramEnd"/>
    </w:p>
  </w:footnote>
  <w:footnote w:id="33">
    <w:p w14:paraId="3F7DB62D" w14:textId="66AB0223" w:rsidR="006B67A6" w:rsidRPr="00AA317F" w:rsidRDefault="006B67A6" w:rsidP="006B67A6">
      <w:pPr>
        <w:pStyle w:val="FootnoteText"/>
        <w:rPr>
          <w:sz w:val="20"/>
          <w:szCs w:val="20"/>
        </w:rPr>
      </w:pPr>
      <w:r w:rsidRPr="00AA317F">
        <w:rPr>
          <w:rStyle w:val="FootnoteReference"/>
          <w:sz w:val="20"/>
          <w:szCs w:val="20"/>
        </w:rPr>
        <w:footnoteRef/>
      </w:r>
      <w:r w:rsidRPr="00AA317F">
        <w:rPr>
          <w:sz w:val="20"/>
          <w:szCs w:val="20"/>
        </w:rPr>
        <w:t xml:space="preserve"> </w:t>
      </w:r>
      <w:r w:rsidR="00647523">
        <w:rPr>
          <w:sz w:val="20"/>
          <w:szCs w:val="20"/>
        </w:rPr>
        <w:t xml:space="preserve">See </w:t>
      </w:r>
      <w:proofErr w:type="spellStart"/>
      <w:r w:rsidRPr="00AA317F">
        <w:rPr>
          <w:i/>
          <w:sz w:val="20"/>
          <w:szCs w:val="20"/>
        </w:rPr>
        <w:t>Serody</w:t>
      </w:r>
      <w:proofErr w:type="spellEnd"/>
      <w:r w:rsidRPr="00AA317F">
        <w:rPr>
          <w:i/>
          <w:sz w:val="20"/>
          <w:szCs w:val="20"/>
        </w:rPr>
        <w:t xml:space="preserve"> v. </w:t>
      </w:r>
      <w:proofErr w:type="spellStart"/>
      <w:r w:rsidRPr="00AA317F">
        <w:rPr>
          <w:i/>
          <w:sz w:val="20"/>
          <w:szCs w:val="20"/>
        </w:rPr>
        <w:t>Serody</w:t>
      </w:r>
      <w:proofErr w:type="spellEnd"/>
      <w:r w:rsidRPr="00AA317F">
        <w:rPr>
          <w:sz w:val="20"/>
          <w:szCs w:val="20"/>
        </w:rPr>
        <w:t xml:space="preserve">, 19 Mass. App. Ct. 411, 414 (1985). </w:t>
      </w:r>
    </w:p>
  </w:footnote>
  <w:footnote w:id="34">
    <w:p w14:paraId="54C2B25D" w14:textId="77777777" w:rsidR="006B67A6" w:rsidRPr="00AA317F" w:rsidRDefault="006B67A6" w:rsidP="006B67A6">
      <w:pPr>
        <w:spacing w:after="0"/>
        <w:contextualSpacing/>
        <w:rPr>
          <w:rFonts w:cs="Times New Roman"/>
          <w:sz w:val="20"/>
          <w:szCs w:val="20"/>
        </w:rPr>
      </w:pPr>
      <w:r w:rsidRPr="00AA317F">
        <w:rPr>
          <w:rStyle w:val="FootnoteReference"/>
          <w:sz w:val="20"/>
          <w:szCs w:val="20"/>
        </w:rPr>
        <w:footnoteRef/>
      </w:r>
      <w:r w:rsidRPr="00AA317F">
        <w:rPr>
          <w:sz w:val="20"/>
          <w:szCs w:val="20"/>
        </w:rPr>
        <w:t xml:space="preserve"> </w:t>
      </w:r>
      <w:proofErr w:type="spellStart"/>
      <w:proofErr w:type="gramStart"/>
      <w:r w:rsidRPr="00AA317F">
        <w:rPr>
          <w:rFonts w:cs="Times New Roman"/>
          <w:i/>
          <w:sz w:val="20"/>
          <w:szCs w:val="20"/>
        </w:rPr>
        <w:t>Brynes</w:t>
      </w:r>
      <w:proofErr w:type="spellEnd"/>
      <w:r w:rsidRPr="00AA317F">
        <w:rPr>
          <w:rFonts w:cs="Times New Roman"/>
          <w:i/>
          <w:sz w:val="20"/>
          <w:szCs w:val="20"/>
        </w:rPr>
        <w:t xml:space="preserve"> v. </w:t>
      </w:r>
      <w:proofErr w:type="spellStart"/>
      <w:r w:rsidRPr="00AA317F">
        <w:rPr>
          <w:rFonts w:cs="Times New Roman"/>
          <w:i/>
          <w:sz w:val="20"/>
          <w:szCs w:val="20"/>
        </w:rPr>
        <w:t>Jamitkowski</w:t>
      </w:r>
      <w:proofErr w:type="spellEnd"/>
      <w:r w:rsidRPr="00AA317F">
        <w:rPr>
          <w:rFonts w:cs="Times New Roman"/>
          <w:sz w:val="20"/>
          <w:szCs w:val="20"/>
        </w:rPr>
        <w:t>, 29 Mass. App. Ct. 107, 109 (1990).</w:t>
      </w:r>
      <w:proofErr w:type="gramEnd"/>
    </w:p>
  </w:footnote>
  <w:footnote w:id="35">
    <w:p w14:paraId="4C4187B4" w14:textId="7295D442" w:rsidR="006B67A6" w:rsidRPr="00AA317F" w:rsidRDefault="006B67A6" w:rsidP="006B67A6">
      <w:pPr>
        <w:pStyle w:val="FootnoteText"/>
        <w:rPr>
          <w:sz w:val="20"/>
          <w:szCs w:val="20"/>
        </w:rPr>
      </w:pPr>
      <w:r w:rsidRPr="00AA317F">
        <w:rPr>
          <w:rStyle w:val="FootnoteReference"/>
          <w:sz w:val="20"/>
          <w:szCs w:val="20"/>
        </w:rPr>
        <w:footnoteRef/>
      </w:r>
      <w:r w:rsidRPr="00AA317F">
        <w:rPr>
          <w:sz w:val="20"/>
          <w:szCs w:val="20"/>
        </w:rPr>
        <w:t xml:space="preserve"> </w:t>
      </w:r>
      <w:proofErr w:type="spellStart"/>
      <w:r w:rsidRPr="00AA317F">
        <w:rPr>
          <w:i/>
          <w:sz w:val="20"/>
          <w:szCs w:val="20"/>
        </w:rPr>
        <w:t>Borman</w:t>
      </w:r>
      <w:proofErr w:type="spellEnd"/>
      <w:r w:rsidRPr="00AA317F">
        <w:rPr>
          <w:i/>
          <w:sz w:val="20"/>
          <w:szCs w:val="20"/>
        </w:rPr>
        <w:t xml:space="preserve"> v. </w:t>
      </w:r>
      <w:proofErr w:type="spellStart"/>
      <w:r w:rsidRPr="00AA317F">
        <w:rPr>
          <w:i/>
          <w:sz w:val="20"/>
          <w:szCs w:val="20"/>
        </w:rPr>
        <w:t>Borman</w:t>
      </w:r>
      <w:proofErr w:type="spellEnd"/>
      <w:r w:rsidRPr="00AA317F">
        <w:rPr>
          <w:i/>
          <w:sz w:val="20"/>
          <w:szCs w:val="20"/>
        </w:rPr>
        <w:t xml:space="preserve">, </w:t>
      </w:r>
      <w:r w:rsidRPr="00AA317F">
        <w:rPr>
          <w:sz w:val="20"/>
          <w:szCs w:val="20"/>
        </w:rPr>
        <w:t xml:space="preserve">378 Mass. 775, 787 (1979); </w:t>
      </w:r>
      <w:r w:rsidR="00647523">
        <w:rPr>
          <w:sz w:val="20"/>
          <w:szCs w:val="20"/>
        </w:rPr>
        <w:t>see</w:t>
      </w:r>
      <w:r w:rsidRPr="00AA317F">
        <w:rPr>
          <w:sz w:val="20"/>
          <w:szCs w:val="20"/>
        </w:rPr>
        <w:t xml:space="preserve"> </w:t>
      </w:r>
      <w:proofErr w:type="spellStart"/>
      <w:r w:rsidRPr="00AA317F">
        <w:rPr>
          <w:rFonts w:cs="Times New Roman"/>
          <w:i/>
          <w:sz w:val="20"/>
          <w:szCs w:val="20"/>
        </w:rPr>
        <w:t>Jamitkowski</w:t>
      </w:r>
      <w:proofErr w:type="spellEnd"/>
      <w:r w:rsidR="00647523">
        <w:rPr>
          <w:rFonts w:cs="Times New Roman"/>
          <w:sz w:val="20"/>
          <w:szCs w:val="20"/>
        </w:rPr>
        <w:t>, 29 Mass. App. Ct. at 110 (</w:t>
      </w:r>
      <w:proofErr w:type="spellStart"/>
      <w:r w:rsidRPr="00AA317F">
        <w:rPr>
          <w:i/>
          <w:sz w:val="20"/>
          <w:szCs w:val="20"/>
        </w:rPr>
        <w:t>Borman</w:t>
      </w:r>
      <w:proofErr w:type="spellEnd"/>
      <w:r w:rsidRPr="00AA317F">
        <w:rPr>
          <w:i/>
          <w:sz w:val="20"/>
          <w:szCs w:val="20"/>
        </w:rPr>
        <w:t xml:space="preserve"> </w:t>
      </w:r>
      <w:r w:rsidRPr="00AA317F">
        <w:rPr>
          <w:sz w:val="20"/>
          <w:szCs w:val="20"/>
        </w:rPr>
        <w:t>“sounds a cautionary note about judic</w:t>
      </w:r>
      <w:r w:rsidR="00647523">
        <w:rPr>
          <w:sz w:val="20"/>
          <w:szCs w:val="20"/>
        </w:rPr>
        <w:t>ial disqualification of counsel</w:t>
      </w:r>
      <w:r w:rsidRPr="00AA317F">
        <w:rPr>
          <w:sz w:val="20"/>
          <w:szCs w:val="20"/>
        </w:rPr>
        <w:t>”</w:t>
      </w:r>
      <w:r w:rsidR="00647523">
        <w:rPr>
          <w:sz w:val="20"/>
          <w:szCs w:val="20"/>
        </w:rPr>
        <w:t>).</w:t>
      </w:r>
      <w:r w:rsidRPr="00AA317F">
        <w:rPr>
          <w:sz w:val="20"/>
          <w:szCs w:val="20"/>
        </w:rPr>
        <w:t xml:space="preserve"> </w:t>
      </w:r>
    </w:p>
  </w:footnote>
  <w:footnote w:id="36">
    <w:p w14:paraId="1D88B2A8" w14:textId="39C6CC24" w:rsidR="00BF5E9D" w:rsidRPr="00AA317F" w:rsidRDefault="00BF5E9D">
      <w:pPr>
        <w:pStyle w:val="FootnoteText"/>
        <w:rPr>
          <w:sz w:val="20"/>
          <w:szCs w:val="20"/>
        </w:rPr>
      </w:pPr>
      <w:r w:rsidRPr="00AA317F">
        <w:rPr>
          <w:rStyle w:val="FootnoteReference"/>
          <w:sz w:val="20"/>
          <w:szCs w:val="20"/>
        </w:rPr>
        <w:footnoteRef/>
      </w:r>
      <w:r w:rsidRPr="00AA317F">
        <w:rPr>
          <w:sz w:val="20"/>
          <w:szCs w:val="20"/>
        </w:rPr>
        <w:t xml:space="preserve"> </w:t>
      </w:r>
      <w:r w:rsidR="00D73075">
        <w:rPr>
          <w:sz w:val="20"/>
          <w:szCs w:val="20"/>
        </w:rPr>
        <w:t>See</w:t>
      </w:r>
      <w:r w:rsidRPr="00AA317F">
        <w:rPr>
          <w:i/>
          <w:sz w:val="20"/>
          <w:szCs w:val="20"/>
        </w:rPr>
        <w:t xml:space="preserve"> </w:t>
      </w:r>
      <w:proofErr w:type="spellStart"/>
      <w:r w:rsidRPr="00AA317F">
        <w:rPr>
          <w:i/>
          <w:sz w:val="20"/>
          <w:szCs w:val="20"/>
        </w:rPr>
        <w:t>Risjord</w:t>
      </w:r>
      <w:proofErr w:type="spellEnd"/>
      <w:r w:rsidR="00D73075">
        <w:rPr>
          <w:sz w:val="20"/>
          <w:szCs w:val="20"/>
        </w:rPr>
        <w:t>, 449 U.S. at 377</w:t>
      </w:r>
      <w:r w:rsidRPr="00AA317F">
        <w:rPr>
          <w:sz w:val="20"/>
          <w:szCs w:val="20"/>
        </w:rPr>
        <w:t xml:space="preserve">. </w:t>
      </w:r>
    </w:p>
  </w:footnote>
  <w:footnote w:id="37">
    <w:p w14:paraId="0A290C10" w14:textId="3D7BF4D2" w:rsidR="00A8368A" w:rsidRPr="00AA317F" w:rsidRDefault="00A8368A">
      <w:pPr>
        <w:pStyle w:val="FootnoteText"/>
        <w:rPr>
          <w:sz w:val="20"/>
          <w:szCs w:val="20"/>
        </w:rPr>
      </w:pPr>
      <w:r w:rsidRPr="00AA317F">
        <w:rPr>
          <w:rStyle w:val="FootnoteReference"/>
          <w:sz w:val="20"/>
          <w:szCs w:val="20"/>
        </w:rPr>
        <w:footnoteRef/>
      </w:r>
      <w:r w:rsidRPr="00AA317F">
        <w:rPr>
          <w:sz w:val="20"/>
          <w:szCs w:val="20"/>
        </w:rPr>
        <w:t xml:space="preserve"> </w:t>
      </w:r>
      <w:r w:rsidR="00647523">
        <w:rPr>
          <w:sz w:val="20"/>
          <w:szCs w:val="20"/>
        </w:rPr>
        <w:t xml:space="preserve">See </w:t>
      </w:r>
      <w:proofErr w:type="spellStart"/>
      <w:r w:rsidR="00647523">
        <w:rPr>
          <w:i/>
          <w:sz w:val="20"/>
          <w:szCs w:val="20"/>
        </w:rPr>
        <w:t>Serody</w:t>
      </w:r>
      <w:proofErr w:type="spellEnd"/>
      <w:r w:rsidR="00647523">
        <w:rPr>
          <w:i/>
          <w:sz w:val="20"/>
          <w:szCs w:val="20"/>
        </w:rPr>
        <w:t xml:space="preserve">, </w:t>
      </w:r>
      <w:r w:rsidR="00647523">
        <w:rPr>
          <w:sz w:val="20"/>
          <w:szCs w:val="20"/>
        </w:rPr>
        <w:t>19 Mass. App. Ct. at 414</w:t>
      </w:r>
      <w:r w:rsidR="0061632F" w:rsidRPr="00AA317F">
        <w:rPr>
          <w:sz w:val="20"/>
          <w:szCs w:val="20"/>
        </w:rPr>
        <w:t xml:space="preserve">. </w:t>
      </w:r>
    </w:p>
  </w:footnote>
  <w:footnote w:id="38">
    <w:p w14:paraId="05924236" w14:textId="539705A0" w:rsidR="00133634" w:rsidRPr="00AA317F" w:rsidRDefault="00133634">
      <w:pPr>
        <w:pStyle w:val="FootnoteText"/>
        <w:rPr>
          <w:sz w:val="20"/>
          <w:szCs w:val="20"/>
        </w:rPr>
      </w:pPr>
      <w:r w:rsidRPr="00AA317F">
        <w:rPr>
          <w:rStyle w:val="FootnoteReference"/>
          <w:sz w:val="20"/>
          <w:szCs w:val="20"/>
        </w:rPr>
        <w:footnoteRef/>
      </w:r>
      <w:r w:rsidRPr="00AA317F">
        <w:rPr>
          <w:sz w:val="20"/>
          <w:szCs w:val="20"/>
        </w:rPr>
        <w:t xml:space="preserve"> </w:t>
      </w:r>
      <w:r w:rsidR="00647523">
        <w:rPr>
          <w:sz w:val="20"/>
          <w:szCs w:val="20"/>
        </w:rPr>
        <w:t xml:space="preserve">See </w:t>
      </w:r>
      <w:r w:rsidR="00647523">
        <w:rPr>
          <w:i/>
          <w:sz w:val="20"/>
          <w:szCs w:val="20"/>
        </w:rPr>
        <w:t>id</w:t>
      </w:r>
      <w:r w:rsidR="00647523">
        <w:rPr>
          <w:sz w:val="20"/>
          <w:szCs w:val="20"/>
        </w:rPr>
        <w:t>. (</w:t>
      </w:r>
      <w:r w:rsidRPr="00AA317F">
        <w:rPr>
          <w:sz w:val="20"/>
          <w:szCs w:val="20"/>
        </w:rPr>
        <w:t>“</w:t>
      </w:r>
      <w:r w:rsidRPr="00AA317F">
        <w:rPr>
          <w:rFonts w:cs="Times New Roman"/>
          <w:sz w:val="20"/>
          <w:szCs w:val="20"/>
        </w:rPr>
        <w:t xml:space="preserve">Where the opposing party </w:t>
      </w:r>
      <w:r w:rsidR="00C4277E" w:rsidRPr="00AA317F">
        <w:rPr>
          <w:rFonts w:cs="Times New Roman"/>
          <w:sz w:val="20"/>
          <w:szCs w:val="20"/>
        </w:rPr>
        <w:t xml:space="preserve">seeks disqualification, courts </w:t>
      </w:r>
      <w:r w:rsidRPr="00AA317F">
        <w:rPr>
          <w:rFonts w:cs="Times New Roman"/>
          <w:sz w:val="20"/>
          <w:szCs w:val="20"/>
        </w:rPr>
        <w:t>must be alert that the Canons of Ethics are not bran</w:t>
      </w:r>
      <w:r w:rsidR="00647523">
        <w:rPr>
          <w:rFonts w:cs="Times New Roman"/>
          <w:sz w:val="20"/>
          <w:szCs w:val="20"/>
        </w:rPr>
        <w:t>dished for tactical advantage”</w:t>
      </w:r>
      <w:r w:rsidR="0061632F" w:rsidRPr="00AA317F">
        <w:rPr>
          <w:sz w:val="20"/>
          <w:szCs w:val="20"/>
        </w:rPr>
        <w:t>).</w:t>
      </w:r>
    </w:p>
  </w:footnote>
  <w:footnote w:id="39">
    <w:p w14:paraId="703C509E" w14:textId="773FBC1E" w:rsidR="00133634" w:rsidRPr="00AA317F" w:rsidRDefault="00133634" w:rsidP="00133634">
      <w:pPr>
        <w:spacing w:after="0"/>
        <w:contextualSpacing/>
        <w:rPr>
          <w:rFonts w:cs="Times New Roman"/>
          <w:sz w:val="20"/>
          <w:szCs w:val="20"/>
        </w:rPr>
      </w:pPr>
      <w:r w:rsidRPr="00AA317F">
        <w:rPr>
          <w:rStyle w:val="FootnoteReference"/>
          <w:sz w:val="20"/>
          <w:szCs w:val="20"/>
        </w:rPr>
        <w:footnoteRef/>
      </w:r>
      <w:r w:rsidRPr="00AA317F">
        <w:rPr>
          <w:sz w:val="20"/>
          <w:szCs w:val="20"/>
        </w:rPr>
        <w:t xml:space="preserve"> </w:t>
      </w:r>
      <w:proofErr w:type="spellStart"/>
      <w:r w:rsidR="00647523">
        <w:rPr>
          <w:i/>
          <w:sz w:val="20"/>
          <w:szCs w:val="20"/>
        </w:rPr>
        <w:t>Borman</w:t>
      </w:r>
      <w:proofErr w:type="spellEnd"/>
      <w:r w:rsidRPr="00AA317F">
        <w:rPr>
          <w:i/>
          <w:sz w:val="20"/>
          <w:szCs w:val="20"/>
        </w:rPr>
        <w:t xml:space="preserve">, </w:t>
      </w:r>
      <w:r w:rsidR="00647523">
        <w:rPr>
          <w:sz w:val="20"/>
          <w:szCs w:val="20"/>
        </w:rPr>
        <w:t>378 Mass. at</w:t>
      </w:r>
      <w:r w:rsidR="00BC475B" w:rsidRPr="00AA317F">
        <w:rPr>
          <w:sz w:val="20"/>
          <w:szCs w:val="20"/>
        </w:rPr>
        <w:t xml:space="preserve"> 787</w:t>
      </w:r>
      <w:r w:rsidR="00156AAE" w:rsidRPr="00AA317F">
        <w:rPr>
          <w:sz w:val="20"/>
          <w:szCs w:val="20"/>
        </w:rPr>
        <w:t>.</w:t>
      </w:r>
    </w:p>
  </w:footnote>
  <w:footnote w:id="40">
    <w:p w14:paraId="56E975A4" w14:textId="2D4CD7CF" w:rsidR="005011B4" w:rsidRDefault="005011B4">
      <w:pPr>
        <w:pStyle w:val="FootnoteText"/>
      </w:pPr>
      <w:r>
        <w:rPr>
          <w:rStyle w:val="FootnoteReference"/>
        </w:rPr>
        <w:footnoteRef/>
      </w:r>
      <w:r>
        <w:t xml:space="preserve"> The </w:t>
      </w:r>
      <w:r w:rsidRPr="00ED79F9">
        <w:rPr>
          <w:rFonts w:cs="Times New Roman"/>
        </w:rPr>
        <w:t xml:space="preserve">Hearing Officer </w:t>
      </w:r>
      <w:r>
        <w:rPr>
          <w:rFonts w:cs="Times New Roman"/>
        </w:rPr>
        <w:t>gratefully acknowledges the assistance of legal intern Danielle Lubin in the preparation of this Ruling.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C70"/>
    <w:multiLevelType w:val="hybridMultilevel"/>
    <w:tmpl w:val="ED02108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4C76DC"/>
    <w:multiLevelType w:val="hybridMultilevel"/>
    <w:tmpl w:val="ED02108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3F9423E"/>
    <w:multiLevelType w:val="hybridMultilevel"/>
    <w:tmpl w:val="186E8C7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A80611C"/>
    <w:multiLevelType w:val="multilevel"/>
    <w:tmpl w:val="8AC04F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17"/>
    <w:rsid w:val="0000221A"/>
    <w:rsid w:val="00026085"/>
    <w:rsid w:val="00034979"/>
    <w:rsid w:val="00034F5F"/>
    <w:rsid w:val="00077F93"/>
    <w:rsid w:val="00090A7B"/>
    <w:rsid w:val="00097641"/>
    <w:rsid w:val="000A51B1"/>
    <w:rsid w:val="00133634"/>
    <w:rsid w:val="00144327"/>
    <w:rsid w:val="00156906"/>
    <w:rsid w:val="00156AAE"/>
    <w:rsid w:val="001C0327"/>
    <w:rsid w:val="001E6CCB"/>
    <w:rsid w:val="001F21FA"/>
    <w:rsid w:val="00211F1A"/>
    <w:rsid w:val="00220206"/>
    <w:rsid w:val="0023068C"/>
    <w:rsid w:val="00236579"/>
    <w:rsid w:val="00236A7D"/>
    <w:rsid w:val="002438C8"/>
    <w:rsid w:val="00263ED8"/>
    <w:rsid w:val="00272FE3"/>
    <w:rsid w:val="002A15D3"/>
    <w:rsid w:val="002C1EE8"/>
    <w:rsid w:val="002E301F"/>
    <w:rsid w:val="0030645A"/>
    <w:rsid w:val="0030780D"/>
    <w:rsid w:val="0031276C"/>
    <w:rsid w:val="00325E2F"/>
    <w:rsid w:val="003B58BA"/>
    <w:rsid w:val="003C6910"/>
    <w:rsid w:val="003D1258"/>
    <w:rsid w:val="003D66C0"/>
    <w:rsid w:val="00422F70"/>
    <w:rsid w:val="0042409F"/>
    <w:rsid w:val="00466950"/>
    <w:rsid w:val="00492E54"/>
    <w:rsid w:val="004976A1"/>
    <w:rsid w:val="004A41DA"/>
    <w:rsid w:val="004D262F"/>
    <w:rsid w:val="005011B4"/>
    <w:rsid w:val="00516F3D"/>
    <w:rsid w:val="00523CAA"/>
    <w:rsid w:val="00573AB3"/>
    <w:rsid w:val="00576911"/>
    <w:rsid w:val="00583F81"/>
    <w:rsid w:val="00597739"/>
    <w:rsid w:val="005A01E7"/>
    <w:rsid w:val="005C38B0"/>
    <w:rsid w:val="005E5CCC"/>
    <w:rsid w:val="0061632F"/>
    <w:rsid w:val="00624088"/>
    <w:rsid w:val="0064579D"/>
    <w:rsid w:val="00647523"/>
    <w:rsid w:val="006829EB"/>
    <w:rsid w:val="006B4136"/>
    <w:rsid w:val="006B43A1"/>
    <w:rsid w:val="006B67A6"/>
    <w:rsid w:val="006C26CF"/>
    <w:rsid w:val="006F6536"/>
    <w:rsid w:val="006F6966"/>
    <w:rsid w:val="00712D1C"/>
    <w:rsid w:val="0071350B"/>
    <w:rsid w:val="00724588"/>
    <w:rsid w:val="00744417"/>
    <w:rsid w:val="00772843"/>
    <w:rsid w:val="0079147C"/>
    <w:rsid w:val="007930C9"/>
    <w:rsid w:val="0082255E"/>
    <w:rsid w:val="00823CAF"/>
    <w:rsid w:val="00842EAB"/>
    <w:rsid w:val="00847323"/>
    <w:rsid w:val="00875352"/>
    <w:rsid w:val="00883C15"/>
    <w:rsid w:val="008A5A8B"/>
    <w:rsid w:val="008C39E4"/>
    <w:rsid w:val="008F19EA"/>
    <w:rsid w:val="009257FB"/>
    <w:rsid w:val="009354F6"/>
    <w:rsid w:val="00963707"/>
    <w:rsid w:val="00976956"/>
    <w:rsid w:val="009846B5"/>
    <w:rsid w:val="00997DB5"/>
    <w:rsid w:val="009B3807"/>
    <w:rsid w:val="00A00F58"/>
    <w:rsid w:val="00A4704A"/>
    <w:rsid w:val="00A5188A"/>
    <w:rsid w:val="00A52470"/>
    <w:rsid w:val="00A54717"/>
    <w:rsid w:val="00A5543E"/>
    <w:rsid w:val="00A8368A"/>
    <w:rsid w:val="00AA317F"/>
    <w:rsid w:val="00B11EA1"/>
    <w:rsid w:val="00B26390"/>
    <w:rsid w:val="00B33A04"/>
    <w:rsid w:val="00B42D12"/>
    <w:rsid w:val="00B53AFA"/>
    <w:rsid w:val="00B8649B"/>
    <w:rsid w:val="00B875C6"/>
    <w:rsid w:val="00B912C0"/>
    <w:rsid w:val="00BC475B"/>
    <w:rsid w:val="00BC72FE"/>
    <w:rsid w:val="00BD522E"/>
    <w:rsid w:val="00BD5E7C"/>
    <w:rsid w:val="00BF5E9D"/>
    <w:rsid w:val="00C2665E"/>
    <w:rsid w:val="00C334DB"/>
    <w:rsid w:val="00C4277E"/>
    <w:rsid w:val="00C7639B"/>
    <w:rsid w:val="00C87F13"/>
    <w:rsid w:val="00CA0FE3"/>
    <w:rsid w:val="00CC2A45"/>
    <w:rsid w:val="00CD31CF"/>
    <w:rsid w:val="00D03B03"/>
    <w:rsid w:val="00D26B38"/>
    <w:rsid w:val="00D73075"/>
    <w:rsid w:val="00D9017E"/>
    <w:rsid w:val="00DA19A3"/>
    <w:rsid w:val="00DE38F9"/>
    <w:rsid w:val="00E124F8"/>
    <w:rsid w:val="00E13E01"/>
    <w:rsid w:val="00E322AD"/>
    <w:rsid w:val="00E45CCF"/>
    <w:rsid w:val="00E77E8A"/>
    <w:rsid w:val="00E838B4"/>
    <w:rsid w:val="00EA0403"/>
    <w:rsid w:val="00EC105D"/>
    <w:rsid w:val="00EE4F99"/>
    <w:rsid w:val="00EF249C"/>
    <w:rsid w:val="00F267DA"/>
    <w:rsid w:val="00F33151"/>
    <w:rsid w:val="00F4308D"/>
    <w:rsid w:val="00F64C8A"/>
    <w:rsid w:val="00FA417D"/>
    <w:rsid w:val="00FC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717"/>
    <w:rPr>
      <w:rFonts w:asciiTheme="minorHAnsi" w:hAnsiTheme="minorHAnsi"/>
      <w:sz w:val="22"/>
    </w:rPr>
  </w:style>
  <w:style w:type="paragraph" w:styleId="ListParagraph">
    <w:name w:val="List Paragraph"/>
    <w:basedOn w:val="Normal"/>
    <w:uiPriority w:val="34"/>
    <w:qFormat/>
    <w:rsid w:val="00A54717"/>
    <w:pPr>
      <w:ind w:left="720"/>
      <w:contextualSpacing/>
    </w:pPr>
  </w:style>
  <w:style w:type="paragraph" w:styleId="Footer">
    <w:name w:val="footer"/>
    <w:basedOn w:val="Normal"/>
    <w:link w:val="FooterChar"/>
    <w:uiPriority w:val="99"/>
    <w:unhideWhenUsed/>
    <w:rsid w:val="00A5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717"/>
    <w:rPr>
      <w:rFonts w:asciiTheme="minorHAnsi" w:hAnsiTheme="minorHAnsi"/>
      <w:sz w:val="22"/>
    </w:rPr>
  </w:style>
  <w:style w:type="paragraph" w:styleId="FootnoteText">
    <w:name w:val="footnote text"/>
    <w:basedOn w:val="Normal"/>
    <w:link w:val="FootnoteTextChar"/>
    <w:unhideWhenUsed/>
    <w:rsid w:val="00A54717"/>
    <w:pPr>
      <w:spacing w:after="0" w:line="240" w:lineRule="auto"/>
    </w:pPr>
  </w:style>
  <w:style w:type="character" w:customStyle="1" w:styleId="FootnoteTextChar">
    <w:name w:val="Footnote Text Char"/>
    <w:basedOn w:val="DefaultParagraphFont"/>
    <w:link w:val="FootnoteText"/>
    <w:rsid w:val="00A54717"/>
    <w:rPr>
      <w:rFonts w:asciiTheme="minorHAnsi" w:hAnsiTheme="minorHAnsi"/>
      <w:sz w:val="20"/>
      <w:szCs w:val="20"/>
    </w:rPr>
  </w:style>
  <w:style w:type="character" w:styleId="FootnoteReference">
    <w:name w:val="footnote reference"/>
    <w:basedOn w:val="DefaultParagraphFont"/>
    <w:unhideWhenUsed/>
    <w:rsid w:val="00A54717"/>
    <w:rPr>
      <w:vertAlign w:val="superscript"/>
    </w:rPr>
  </w:style>
  <w:style w:type="paragraph" w:styleId="Header">
    <w:name w:val="header"/>
    <w:basedOn w:val="Normal"/>
    <w:link w:val="HeaderChar"/>
    <w:uiPriority w:val="99"/>
    <w:unhideWhenUsed/>
    <w:rsid w:val="00422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717"/>
    <w:rPr>
      <w:rFonts w:asciiTheme="minorHAnsi" w:hAnsiTheme="minorHAnsi"/>
      <w:sz w:val="22"/>
    </w:rPr>
  </w:style>
  <w:style w:type="paragraph" w:styleId="ListParagraph">
    <w:name w:val="List Paragraph"/>
    <w:basedOn w:val="Normal"/>
    <w:uiPriority w:val="34"/>
    <w:qFormat/>
    <w:rsid w:val="00A54717"/>
    <w:pPr>
      <w:ind w:left="720"/>
      <w:contextualSpacing/>
    </w:pPr>
  </w:style>
  <w:style w:type="paragraph" w:styleId="Footer">
    <w:name w:val="footer"/>
    <w:basedOn w:val="Normal"/>
    <w:link w:val="FooterChar"/>
    <w:uiPriority w:val="99"/>
    <w:unhideWhenUsed/>
    <w:rsid w:val="00A5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717"/>
    <w:rPr>
      <w:rFonts w:asciiTheme="minorHAnsi" w:hAnsiTheme="minorHAnsi"/>
      <w:sz w:val="22"/>
    </w:rPr>
  </w:style>
  <w:style w:type="paragraph" w:styleId="FootnoteText">
    <w:name w:val="footnote text"/>
    <w:basedOn w:val="Normal"/>
    <w:link w:val="FootnoteTextChar"/>
    <w:unhideWhenUsed/>
    <w:rsid w:val="00A54717"/>
    <w:pPr>
      <w:spacing w:after="0" w:line="240" w:lineRule="auto"/>
    </w:pPr>
  </w:style>
  <w:style w:type="character" w:customStyle="1" w:styleId="FootnoteTextChar">
    <w:name w:val="Footnote Text Char"/>
    <w:basedOn w:val="DefaultParagraphFont"/>
    <w:link w:val="FootnoteText"/>
    <w:rsid w:val="00A54717"/>
    <w:rPr>
      <w:rFonts w:asciiTheme="minorHAnsi" w:hAnsiTheme="minorHAnsi"/>
      <w:sz w:val="20"/>
      <w:szCs w:val="20"/>
    </w:rPr>
  </w:style>
  <w:style w:type="character" w:styleId="FootnoteReference">
    <w:name w:val="footnote reference"/>
    <w:basedOn w:val="DefaultParagraphFont"/>
    <w:unhideWhenUsed/>
    <w:rsid w:val="00A54717"/>
    <w:rPr>
      <w:vertAlign w:val="superscript"/>
    </w:rPr>
  </w:style>
  <w:style w:type="paragraph" w:styleId="Header">
    <w:name w:val="header"/>
    <w:basedOn w:val="Normal"/>
    <w:link w:val="HeaderChar"/>
    <w:uiPriority w:val="99"/>
    <w:unhideWhenUsed/>
    <w:rsid w:val="00422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s://1.next.westlaw.com/Link/Document/FullText?findType=Y&amp;serNum=1982142418&amp;pubNum=350&amp;originatingDoc=I3351c1b5ce2811d99439b076ef9ec4de&amp;refType=RP&amp;fi=co_pp_sp_350_721&amp;originationContext=document&amp;transitionType=DocumentItem&amp;contextData=(sc.Search)"/>
  <Relationship Id="rId2" Type="http://schemas.openxmlformats.org/officeDocument/2006/relationships/hyperlink" TargetMode="External" Target="https://1.next.westlaw.com/Link/Document/FullText?findType=Y&amp;serNum=1982142418&amp;pubNum=350&amp;originatingDoc=I3351c1b5ce2811d99439b076ef9ec4de&amp;refType=RP&amp;fi=co_pp_sp_350_721&amp;originationContext=document&amp;transitionType=DocumentItem&amp;contextData=(sc.Searc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7D44C-4615-41B8-9E42-46738C1B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2016-07-05T17:15:00Z</dcterms:created>
  <dc:creator>Erlichman, Reece (ALA)</dc:creator>
  <lastModifiedBy>ANF</lastModifiedBy>
  <lastPrinted>2016-06-27T16:46:00Z</lastPrinted>
  <dcterms:modified xsi:type="dcterms:W3CDTF">2016-07-05T17:15:00Z</dcterms:modified>
  <revision>2</revision>
</coreProperties>
</file>