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95245" w:rsidRDefault="00E65D12">
      <w:pPr>
        <w:framePr w:w="2157" w:h="0" w:hSpace="180" w:wrap="around" w:vAnchor="text" w:hAnchor="page" w:x="721" w:y="-295"/>
        <w:jc w:val="left"/>
        <w:rPr>
          <w:b/>
          <w:sz w:val="28"/>
        </w:rPr>
      </w:pPr>
      <w:r>
        <w:rPr>
          <w:bCs/>
          <w:noProof/>
          <w:sz w:val="24"/>
        </w:rPr>
        <mc:AlternateContent>
          <mc:Choice Requires="wps">
            <w:drawing>
              <wp:anchor distT="0" distB="0" distL="114300" distR="114300" simplePos="0" relativeHeight="251657216" behindDoc="0" locked="0" layoutInCell="1" allowOverlap="1">
                <wp:simplePos x="0" y="0"/>
                <wp:positionH relativeFrom="column">
                  <wp:posOffset>1423035</wp:posOffset>
                </wp:positionH>
                <wp:positionV relativeFrom="paragraph">
                  <wp:posOffset>75565</wp:posOffset>
                </wp:positionV>
                <wp:extent cx="4747895" cy="1485900"/>
                <wp:effectExtent l="3810" t="2540" r="127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895"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869" w:rsidRPr="007317DA" w:rsidRDefault="003B6869" w:rsidP="0066655B">
                            <w:pPr>
                              <w:jc w:val="center"/>
                              <w:rPr>
                                <w:rFonts w:ascii="Garamond" w:hAnsi="Garamond"/>
                                <w:b/>
                                <w:i/>
                                <w:color w:val="333399"/>
                                <w:sz w:val="36"/>
                              </w:rPr>
                            </w:pPr>
                            <w:r w:rsidRPr="007317DA">
                              <w:rPr>
                                <w:rFonts w:ascii="Garamond" w:hAnsi="Garamond"/>
                                <w:b/>
                                <w:i/>
                                <w:color w:val="333399"/>
                                <w:sz w:val="36"/>
                              </w:rPr>
                              <w:t xml:space="preserve">The </w:t>
                            </w:r>
                            <w:smartTag w:uri="urn:schemas-microsoft-com:office:smarttags" w:element="place">
                              <w:smartTag w:uri="urn:schemas-microsoft-com:office:smarttags" w:element="PlaceType">
                                <w:r w:rsidRPr="007317DA">
                                  <w:rPr>
                                    <w:rFonts w:ascii="Garamond" w:hAnsi="Garamond"/>
                                    <w:b/>
                                    <w:i/>
                                    <w:color w:val="333399"/>
                                    <w:sz w:val="36"/>
                                  </w:rPr>
                                  <w:t>Commonwealth</w:t>
                                </w:r>
                              </w:smartTag>
                              <w:r w:rsidRPr="007317DA">
                                <w:rPr>
                                  <w:rFonts w:ascii="Garamond" w:hAnsi="Garamond"/>
                                  <w:b/>
                                  <w:i/>
                                  <w:color w:val="333399"/>
                                  <w:sz w:val="36"/>
                                </w:rPr>
                                <w:t xml:space="preserve"> of </w:t>
                              </w:r>
                              <w:smartTag w:uri="urn:schemas-microsoft-com:office:smarttags" w:element="PlaceName">
                                <w:r w:rsidRPr="007317DA">
                                  <w:rPr>
                                    <w:rFonts w:ascii="Garamond" w:hAnsi="Garamond"/>
                                    <w:b/>
                                    <w:i/>
                                    <w:color w:val="333399"/>
                                    <w:sz w:val="36"/>
                                  </w:rPr>
                                  <w:t>Massachusetts</w:t>
                                </w:r>
                              </w:smartTag>
                            </w:smartTag>
                          </w:p>
                          <w:p w:rsidR="003B6869" w:rsidRPr="007317DA" w:rsidRDefault="003B6869" w:rsidP="0066655B">
                            <w:pPr>
                              <w:jc w:val="center"/>
                              <w:rPr>
                                <w:rFonts w:ascii="Garamond" w:hAnsi="Garamond"/>
                                <w:b/>
                                <w:i/>
                                <w:color w:val="333399"/>
                                <w:sz w:val="36"/>
                              </w:rPr>
                            </w:pPr>
                            <w:r w:rsidRPr="007317DA">
                              <w:rPr>
                                <w:rFonts w:ascii="Garamond" w:hAnsi="Garamond"/>
                                <w:b/>
                                <w:i/>
                                <w:color w:val="333399"/>
                                <w:sz w:val="36"/>
                              </w:rPr>
                              <w:t>Executive Office of Health and Human Services</w:t>
                            </w:r>
                          </w:p>
                          <w:p w:rsidR="003B6869" w:rsidRPr="007317DA" w:rsidRDefault="003B6869" w:rsidP="008E0085">
                            <w:pPr>
                              <w:jc w:val="center"/>
                              <w:rPr>
                                <w:rFonts w:ascii="Garamond" w:hAnsi="Garamond"/>
                                <w:b/>
                                <w:i/>
                                <w:color w:val="333399"/>
                                <w:sz w:val="36"/>
                              </w:rPr>
                            </w:pPr>
                            <w:smartTag w:uri="urn:schemas-microsoft-com:office:smarttags" w:element="State">
                              <w:smartTag w:uri="urn:schemas-microsoft-com:office:smarttags" w:element="place">
                                <w:r w:rsidRPr="007317DA">
                                  <w:rPr>
                                    <w:rFonts w:ascii="Garamond" w:hAnsi="Garamond"/>
                                    <w:b/>
                                    <w:i/>
                                    <w:color w:val="333399"/>
                                    <w:sz w:val="36"/>
                                  </w:rPr>
                                  <w:t>Massachusetts</w:t>
                                </w:r>
                              </w:smartTag>
                            </w:smartTag>
                            <w:r w:rsidRPr="007317DA">
                              <w:rPr>
                                <w:rFonts w:ascii="Garamond" w:hAnsi="Garamond"/>
                                <w:b/>
                                <w:i/>
                                <w:color w:val="333399"/>
                                <w:sz w:val="36"/>
                              </w:rPr>
                              <w:t xml:space="preserve"> Rehabilitation Commission</w:t>
                            </w:r>
                          </w:p>
                          <w:p w:rsidR="003B6869" w:rsidRPr="007317DA" w:rsidRDefault="003B6869" w:rsidP="0066655B">
                            <w:pPr>
                              <w:jc w:val="center"/>
                              <w:rPr>
                                <w:rFonts w:ascii="Garamond" w:hAnsi="Garamond"/>
                                <w:b/>
                                <w:i/>
                                <w:color w:val="333399"/>
                                <w:sz w:val="36"/>
                              </w:rPr>
                            </w:pPr>
                            <w:r>
                              <w:rPr>
                                <w:rFonts w:ascii="Garamond" w:hAnsi="Garamond"/>
                                <w:b/>
                                <w:i/>
                                <w:color w:val="333399"/>
                                <w:sz w:val="36"/>
                              </w:rPr>
                              <w:t>600 Washington Street</w:t>
                            </w:r>
                          </w:p>
                          <w:p w:rsidR="003B6869" w:rsidRPr="007317DA" w:rsidRDefault="003B6869" w:rsidP="0066655B">
                            <w:pPr>
                              <w:jc w:val="center"/>
                              <w:rPr>
                                <w:rFonts w:ascii="Garamond" w:hAnsi="Garamond"/>
                                <w:b/>
                                <w:i/>
                                <w:color w:val="333399"/>
                                <w:sz w:val="36"/>
                              </w:rPr>
                            </w:pPr>
                            <w:r w:rsidRPr="007317DA">
                              <w:rPr>
                                <w:rFonts w:ascii="Garamond" w:hAnsi="Garamond"/>
                                <w:b/>
                                <w:i/>
                                <w:color w:val="333399"/>
                                <w:sz w:val="36"/>
                              </w:rPr>
                              <w:t>Boston, MA 02</w:t>
                            </w:r>
                            <w:r>
                              <w:rPr>
                                <w:rFonts w:ascii="Garamond" w:hAnsi="Garamond"/>
                                <w:b/>
                                <w:i/>
                                <w:color w:val="333399"/>
                                <w:sz w:val="36"/>
                              </w:rPr>
                              <w:t>111-1704</w:t>
                            </w:r>
                          </w:p>
                          <w:p w:rsidR="003B6869" w:rsidRDefault="003B6869" w:rsidP="006665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12.05pt;margin-top:5.95pt;width:373.85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" stroked="f">
                <v:textbox>
                  <w:txbxContent>
                    <w:p w:rsidR="003B6869" w:rsidRPr="007317DA" w:rsidRDefault="003B6869" w:rsidP="0066655B">
                      <w:pPr>
                        <w:jc w:val="center"/>
                        <w:rPr>
                          <w:rFonts w:ascii="Garamond" w:hAnsi="Garamond"/>
                          <w:b/>
                          <w:i/>
                          <w:color w:val="333399"/>
                          <w:sz w:val="36"/>
                        </w:rPr>
                      </w:pPr>
                      <w:r w:rsidRPr="007317DA">
                        <w:rPr>
                          <w:rFonts w:ascii="Garamond" w:hAnsi="Garamond"/>
                          <w:b/>
                          <w:i/>
                          <w:color w:val="333399"/>
                          <w:sz w:val="36"/>
                        </w:rPr>
                        <w:t xml:space="preserve">The </w:t>
                      </w:r>
                      <w:smartTag w:uri="urn:schemas-microsoft-com:office:smarttags" w:element="place">
                        <w:smartTag w:uri="urn:schemas-microsoft-com:office:smarttags" w:element="PlaceType">
                          <w:r w:rsidRPr="007317DA">
                            <w:rPr>
                              <w:rFonts w:ascii="Garamond" w:hAnsi="Garamond"/>
                              <w:b/>
                              <w:i/>
                              <w:color w:val="333399"/>
                              <w:sz w:val="36"/>
                            </w:rPr>
                            <w:t>Commonwealth</w:t>
                          </w:r>
                        </w:smartTag>
                        <w:r w:rsidRPr="007317DA">
                          <w:rPr>
                            <w:rFonts w:ascii="Garamond" w:hAnsi="Garamond"/>
                            <w:b/>
                            <w:i/>
                            <w:color w:val="333399"/>
                            <w:sz w:val="36"/>
                          </w:rPr>
                          <w:t xml:space="preserve"> of </w:t>
                        </w:r>
                        <w:smartTag w:uri="urn:schemas-microsoft-com:office:smarttags" w:element="PlaceName">
                          <w:r w:rsidRPr="007317DA">
                            <w:rPr>
                              <w:rFonts w:ascii="Garamond" w:hAnsi="Garamond"/>
                              <w:b/>
                              <w:i/>
                              <w:color w:val="333399"/>
                              <w:sz w:val="36"/>
                            </w:rPr>
                            <w:t>Massachusetts</w:t>
                          </w:r>
                        </w:smartTag>
                      </w:smartTag>
                    </w:p>
                    <w:p w:rsidR="003B6869" w:rsidRPr="007317DA" w:rsidRDefault="003B6869" w:rsidP="0066655B">
                      <w:pPr>
                        <w:jc w:val="center"/>
                        <w:rPr>
                          <w:rFonts w:ascii="Garamond" w:hAnsi="Garamond"/>
                          <w:b/>
                          <w:i/>
                          <w:color w:val="333399"/>
                          <w:sz w:val="36"/>
                        </w:rPr>
                      </w:pPr>
                      <w:r w:rsidRPr="007317DA">
                        <w:rPr>
                          <w:rFonts w:ascii="Garamond" w:hAnsi="Garamond"/>
                          <w:b/>
                          <w:i/>
                          <w:color w:val="333399"/>
                          <w:sz w:val="36"/>
                        </w:rPr>
                        <w:t>Executive Office of Health and Human Services</w:t>
                      </w:r>
                    </w:p>
                    <w:p w:rsidR="003B6869" w:rsidRPr="007317DA" w:rsidRDefault="003B6869" w:rsidP="008E0085">
                      <w:pPr>
                        <w:jc w:val="center"/>
                        <w:rPr>
                          <w:rFonts w:ascii="Garamond" w:hAnsi="Garamond"/>
                          <w:b/>
                          <w:i/>
                          <w:color w:val="333399"/>
                          <w:sz w:val="36"/>
                        </w:rPr>
                      </w:pPr>
                      <w:smartTag w:uri="urn:schemas-microsoft-com:office:smarttags" w:element="State">
                        <w:smartTag w:uri="urn:schemas-microsoft-com:office:smarttags" w:element="place">
                          <w:r w:rsidRPr="007317DA">
                            <w:rPr>
                              <w:rFonts w:ascii="Garamond" w:hAnsi="Garamond"/>
                              <w:b/>
                              <w:i/>
                              <w:color w:val="333399"/>
                              <w:sz w:val="36"/>
                            </w:rPr>
                            <w:t>Massachusetts</w:t>
                          </w:r>
                        </w:smartTag>
                      </w:smartTag>
                      <w:r w:rsidRPr="007317DA">
                        <w:rPr>
                          <w:rFonts w:ascii="Garamond" w:hAnsi="Garamond"/>
                          <w:b/>
                          <w:i/>
                          <w:color w:val="333399"/>
                          <w:sz w:val="36"/>
                        </w:rPr>
                        <w:t xml:space="preserve"> Rehabilitation Commission</w:t>
                      </w:r>
                    </w:p>
                    <w:p w:rsidR="003B6869" w:rsidRPr="007317DA" w:rsidRDefault="003B6869" w:rsidP="0066655B">
                      <w:pPr>
                        <w:jc w:val="center"/>
                        <w:rPr>
                          <w:rFonts w:ascii="Garamond" w:hAnsi="Garamond"/>
                          <w:b/>
                          <w:i/>
                          <w:color w:val="333399"/>
                          <w:sz w:val="36"/>
                        </w:rPr>
                      </w:pPr>
                      <w:r>
                        <w:rPr>
                          <w:rFonts w:ascii="Garamond" w:hAnsi="Garamond"/>
                          <w:b/>
                          <w:i/>
                          <w:color w:val="333399"/>
                          <w:sz w:val="36"/>
                        </w:rPr>
                        <w:t>600 Washington Street</w:t>
                      </w:r>
                    </w:p>
                    <w:p w:rsidR="003B6869" w:rsidRPr="007317DA" w:rsidRDefault="003B6869" w:rsidP="0066655B">
                      <w:pPr>
                        <w:jc w:val="center"/>
                        <w:rPr>
                          <w:rFonts w:ascii="Garamond" w:hAnsi="Garamond"/>
                          <w:b/>
                          <w:i/>
                          <w:color w:val="333399"/>
                          <w:sz w:val="36"/>
                        </w:rPr>
                      </w:pPr>
                      <w:r w:rsidRPr="007317DA">
                        <w:rPr>
                          <w:rFonts w:ascii="Garamond" w:hAnsi="Garamond"/>
                          <w:b/>
                          <w:i/>
                          <w:color w:val="333399"/>
                          <w:sz w:val="36"/>
                        </w:rPr>
                        <w:t>Boston, MA 02</w:t>
                      </w:r>
                      <w:r>
                        <w:rPr>
                          <w:rFonts w:ascii="Garamond" w:hAnsi="Garamond"/>
                          <w:b/>
                          <w:i/>
                          <w:color w:val="333399"/>
                          <w:sz w:val="36"/>
                        </w:rPr>
                        <w:t>111-1704</w:t>
                      </w:r>
                    </w:p>
                    <w:p w:rsidR="003B6869" w:rsidRDefault="003B6869" w:rsidP="0066655B"/>
                  </w:txbxContent>
                </v:textbox>
              </v:shape>
            </w:pict>
          </mc:Fallback>
        </mc:AlternateContent>
      </w:r>
      <w:r w:rsidR="008D18B8">
        <w:rPr>
          <w:bCs/>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23.55pt;margin-top:14.75pt;width:61.5pt;height:75.75pt;z-index:251658240;mso-wrap-edited:f;mso-position-horizontal-relative:text;mso-position-vertical-relative:text" wrapcoords="-263 0 -263 21386 21600 21386 21600 0 -263 0" fillcolor="window">
            <v:imagedata r:id="rId7" o:title=""/>
          </v:shape>
          <o:OLEObject Type="Embed" ProgID="Word.Picture.8" ShapeID="_x0000_s2062" DrawAspect="Content" ObjectID="_1517982814" r:id="rId8"/>
        </w:object>
      </w:r>
    </w:p>
    <w:p w:rsidR="007317DA" w:rsidRDefault="007317DA">
      <w:pPr>
        <w:framePr w:w="2157" w:h="0" w:hSpace="180" w:wrap="around" w:vAnchor="text" w:hAnchor="page" w:x="721" w:y="-295"/>
        <w:jc w:val="center"/>
        <w:rPr>
          <w:b/>
          <w:sz w:val="28"/>
        </w:rPr>
      </w:pPr>
    </w:p>
    <w:p w:rsidR="007317DA" w:rsidRDefault="007317DA">
      <w:pPr>
        <w:framePr w:w="2157" w:h="0" w:hSpace="180" w:wrap="around" w:vAnchor="text" w:hAnchor="page" w:x="721" w:y="-295"/>
        <w:jc w:val="center"/>
        <w:rPr>
          <w:b/>
          <w:sz w:val="28"/>
        </w:rPr>
      </w:pPr>
    </w:p>
    <w:p w:rsidR="007317DA" w:rsidRDefault="007317DA">
      <w:pPr>
        <w:framePr w:w="2157" w:h="0" w:hSpace="180" w:wrap="around" w:vAnchor="text" w:hAnchor="page" w:x="721" w:y="-295"/>
        <w:jc w:val="center"/>
        <w:rPr>
          <w:b/>
          <w:sz w:val="28"/>
        </w:rPr>
      </w:pPr>
    </w:p>
    <w:p w:rsidR="007317DA" w:rsidRDefault="007317DA">
      <w:pPr>
        <w:framePr w:w="2157" w:h="0" w:hSpace="180" w:wrap="around" w:vAnchor="text" w:hAnchor="page" w:x="721" w:y="-295"/>
        <w:jc w:val="center"/>
        <w:rPr>
          <w:b/>
          <w:sz w:val="28"/>
        </w:rPr>
      </w:pPr>
    </w:p>
    <w:p w:rsidR="00895245" w:rsidRPr="007317DA" w:rsidRDefault="00895245" w:rsidP="007317DA">
      <w:pPr>
        <w:framePr w:w="2157" w:h="0" w:hSpace="180" w:wrap="around" w:vAnchor="text" w:hAnchor="page" w:x="721" w:y="-295"/>
        <w:rPr>
          <w:b/>
          <w:sz w:val="24"/>
          <w:szCs w:val="24"/>
        </w:rPr>
      </w:pPr>
    </w:p>
    <w:p w:rsidR="00895245" w:rsidRPr="007317DA" w:rsidRDefault="00E65D12" w:rsidP="007C41EF">
      <w:pPr>
        <w:framePr w:w="2157" w:h="0" w:hSpace="180" w:wrap="around" w:vAnchor="text" w:hAnchor="page" w:x="721" w:y="-295"/>
        <w:jc w:val="center"/>
        <w:rPr>
          <w:b/>
          <w:color w:val="333399"/>
          <w:sz w:val="16"/>
        </w:rPr>
      </w:pPr>
      <w:r>
        <w:rPr>
          <w:b/>
          <w:color w:val="333399"/>
          <w:sz w:val="16"/>
        </w:rPr>
        <w:t>CHARLES D. BAKER</w:t>
      </w:r>
    </w:p>
    <w:p w:rsidR="00895245" w:rsidRPr="007317DA" w:rsidRDefault="00895245" w:rsidP="007C41EF">
      <w:pPr>
        <w:pStyle w:val="Caption"/>
        <w:framePr w:wrap="around"/>
        <w:rPr>
          <w:color w:val="333399"/>
        </w:rPr>
      </w:pPr>
      <w:r w:rsidRPr="007317DA">
        <w:rPr>
          <w:color w:val="333399"/>
        </w:rPr>
        <w:t>GOVERNOR</w:t>
      </w:r>
    </w:p>
    <w:p w:rsidR="00D077DE" w:rsidRPr="007317DA" w:rsidRDefault="00D077DE" w:rsidP="007C41EF">
      <w:pPr>
        <w:framePr w:w="2157" w:h="0" w:hSpace="180" w:wrap="around" w:vAnchor="text" w:hAnchor="page" w:x="721" w:y="-295"/>
        <w:jc w:val="center"/>
        <w:rPr>
          <w:b/>
          <w:color w:val="333399"/>
          <w:sz w:val="16"/>
        </w:rPr>
      </w:pPr>
    </w:p>
    <w:p w:rsidR="00E65D12" w:rsidRPr="007317DA" w:rsidRDefault="00E65D12" w:rsidP="00E65D12">
      <w:pPr>
        <w:framePr w:w="2157" w:h="0" w:hSpace="180" w:wrap="around" w:vAnchor="text" w:hAnchor="page" w:x="721" w:y="-295"/>
        <w:jc w:val="center"/>
        <w:rPr>
          <w:b/>
          <w:color w:val="333399"/>
          <w:sz w:val="16"/>
        </w:rPr>
      </w:pPr>
      <w:r>
        <w:rPr>
          <w:b/>
          <w:color w:val="333399"/>
          <w:sz w:val="16"/>
        </w:rPr>
        <w:t>KARYN E. POLITO</w:t>
      </w:r>
    </w:p>
    <w:p w:rsidR="00E65D12" w:rsidRPr="007317DA" w:rsidRDefault="00E81502" w:rsidP="00E65D12">
      <w:pPr>
        <w:pStyle w:val="Caption"/>
        <w:framePr w:wrap="around"/>
        <w:rPr>
          <w:color w:val="333399"/>
        </w:rPr>
      </w:pPr>
      <w:r>
        <w:rPr>
          <w:color w:val="333399"/>
        </w:rPr>
        <w:t>L</w:t>
      </w:r>
      <w:r w:rsidR="00BF76A8">
        <w:rPr>
          <w:color w:val="333399"/>
        </w:rPr>
        <w:t xml:space="preserve">IEUTENANT </w:t>
      </w:r>
      <w:r w:rsidR="00E65D12" w:rsidRPr="007317DA">
        <w:rPr>
          <w:color w:val="333399"/>
        </w:rPr>
        <w:t>GOVERNOR</w:t>
      </w:r>
    </w:p>
    <w:p w:rsidR="00D077DE" w:rsidRPr="007317DA" w:rsidRDefault="00D077DE" w:rsidP="007C41EF">
      <w:pPr>
        <w:framePr w:w="2157" w:h="0" w:hSpace="180" w:wrap="around" w:vAnchor="text" w:hAnchor="page" w:x="721" w:y="-295"/>
        <w:jc w:val="center"/>
        <w:rPr>
          <w:b/>
          <w:color w:val="333399"/>
          <w:sz w:val="16"/>
        </w:rPr>
      </w:pPr>
    </w:p>
    <w:p w:rsidR="00895245" w:rsidRPr="007317DA" w:rsidRDefault="00E65D12" w:rsidP="007C41EF">
      <w:pPr>
        <w:framePr w:w="2157" w:h="0" w:hSpace="180" w:wrap="around" w:vAnchor="text" w:hAnchor="page" w:x="721" w:y="-295"/>
        <w:jc w:val="center"/>
        <w:rPr>
          <w:b/>
          <w:color w:val="333399"/>
          <w:sz w:val="16"/>
        </w:rPr>
      </w:pPr>
      <w:r>
        <w:rPr>
          <w:b/>
          <w:color w:val="333399"/>
          <w:sz w:val="16"/>
        </w:rPr>
        <w:t>MARYLOU SUDDERS</w:t>
      </w:r>
    </w:p>
    <w:p w:rsidR="00895245" w:rsidRPr="007317DA" w:rsidRDefault="00895245" w:rsidP="007C41EF">
      <w:pPr>
        <w:framePr w:w="2157" w:h="0" w:hSpace="180" w:wrap="around" w:vAnchor="text" w:hAnchor="page" w:x="721" w:y="-295"/>
        <w:jc w:val="center"/>
        <w:rPr>
          <w:b/>
          <w:color w:val="333399"/>
          <w:sz w:val="16"/>
        </w:rPr>
      </w:pPr>
      <w:r w:rsidRPr="007317DA">
        <w:rPr>
          <w:b/>
          <w:color w:val="333399"/>
          <w:sz w:val="16"/>
        </w:rPr>
        <w:t>SECRETARY</w:t>
      </w:r>
    </w:p>
    <w:p w:rsidR="00D077DE" w:rsidRPr="007317DA" w:rsidRDefault="00D077DE" w:rsidP="007C41EF">
      <w:pPr>
        <w:framePr w:w="2157" w:h="0" w:hSpace="180" w:wrap="around" w:vAnchor="text" w:hAnchor="page" w:x="721" w:y="-295"/>
        <w:jc w:val="center"/>
        <w:rPr>
          <w:b/>
          <w:color w:val="333399"/>
          <w:sz w:val="16"/>
        </w:rPr>
      </w:pPr>
    </w:p>
    <w:p w:rsidR="00895245" w:rsidRPr="007317DA" w:rsidRDefault="00576279" w:rsidP="007C41EF">
      <w:pPr>
        <w:framePr w:w="2157" w:h="0" w:hSpace="180" w:wrap="around" w:vAnchor="text" w:hAnchor="page" w:x="721" w:y="-295"/>
        <w:jc w:val="center"/>
        <w:rPr>
          <w:b/>
          <w:color w:val="333399"/>
          <w:sz w:val="16"/>
        </w:rPr>
      </w:pPr>
      <w:r>
        <w:rPr>
          <w:b/>
          <w:color w:val="333399"/>
          <w:sz w:val="16"/>
        </w:rPr>
        <w:t>ADELAIDE OSBORNE</w:t>
      </w:r>
    </w:p>
    <w:p w:rsidR="00895245" w:rsidRPr="007317DA" w:rsidRDefault="00895245" w:rsidP="007C41EF">
      <w:pPr>
        <w:framePr w:w="2157" w:h="0" w:hSpace="180" w:wrap="around" w:vAnchor="text" w:hAnchor="page" w:x="721" w:y="-295"/>
        <w:jc w:val="center"/>
        <w:rPr>
          <w:b/>
          <w:color w:val="333399"/>
          <w:sz w:val="16"/>
        </w:rPr>
      </w:pPr>
      <w:r w:rsidRPr="007317DA">
        <w:rPr>
          <w:b/>
          <w:color w:val="333399"/>
          <w:sz w:val="16"/>
        </w:rPr>
        <w:t>COMMISSIONER</w:t>
      </w:r>
    </w:p>
    <w:p w:rsidR="00232C51" w:rsidRPr="007317DA" w:rsidRDefault="00232C51" w:rsidP="00D077DE">
      <w:pPr>
        <w:framePr w:w="2157" w:h="0" w:hSpace="180" w:wrap="around" w:vAnchor="text" w:hAnchor="page" w:x="721" w:y="-295"/>
        <w:jc w:val="left"/>
        <w:rPr>
          <w:b/>
          <w:color w:val="0000FF"/>
          <w:sz w:val="16"/>
        </w:rPr>
      </w:pPr>
    </w:p>
    <w:p w:rsidR="00232C51" w:rsidRDefault="00232C51">
      <w:pPr>
        <w:jc w:val="left"/>
        <w:rPr>
          <w:bCs/>
          <w:sz w:val="24"/>
        </w:rPr>
      </w:pPr>
    </w:p>
    <w:p w:rsidR="0066655B" w:rsidRDefault="0066655B">
      <w:pPr>
        <w:jc w:val="left"/>
        <w:rPr>
          <w:bCs/>
          <w:sz w:val="24"/>
        </w:rPr>
      </w:pPr>
    </w:p>
    <w:p w:rsidR="0066655B" w:rsidRDefault="0066655B">
      <w:pPr>
        <w:jc w:val="left"/>
        <w:rPr>
          <w:bCs/>
          <w:sz w:val="24"/>
        </w:rPr>
      </w:pPr>
    </w:p>
    <w:p w:rsidR="0066655B" w:rsidRDefault="0066655B">
      <w:pPr>
        <w:jc w:val="left"/>
        <w:rPr>
          <w:bCs/>
          <w:sz w:val="24"/>
        </w:rPr>
      </w:pPr>
    </w:p>
    <w:p w:rsidR="0066655B" w:rsidRDefault="0066655B">
      <w:pPr>
        <w:jc w:val="left"/>
        <w:rPr>
          <w:bCs/>
          <w:sz w:val="24"/>
        </w:rPr>
      </w:pPr>
    </w:p>
    <w:p w:rsidR="0066655B" w:rsidRDefault="0066655B">
      <w:pPr>
        <w:jc w:val="left"/>
        <w:rPr>
          <w:bCs/>
          <w:sz w:val="24"/>
        </w:rPr>
      </w:pPr>
    </w:p>
    <w:p w:rsidR="0066655B" w:rsidRDefault="0066655B">
      <w:pPr>
        <w:jc w:val="left"/>
        <w:rPr>
          <w:bCs/>
          <w:sz w:val="24"/>
        </w:rPr>
      </w:pPr>
    </w:p>
    <w:p w:rsidR="0066655B" w:rsidRDefault="0066655B">
      <w:pPr>
        <w:jc w:val="left"/>
        <w:rPr>
          <w:bCs/>
          <w:sz w:val="24"/>
        </w:rPr>
      </w:pPr>
    </w:p>
    <w:p w:rsidR="0066655B" w:rsidRDefault="0066655B">
      <w:pPr>
        <w:jc w:val="left"/>
        <w:rPr>
          <w:bCs/>
          <w:sz w:val="24"/>
        </w:rPr>
      </w:pPr>
    </w:p>
    <w:p w:rsidR="0066655B" w:rsidRDefault="0066655B">
      <w:pPr>
        <w:jc w:val="left"/>
        <w:rPr>
          <w:bCs/>
          <w:sz w:val="24"/>
        </w:rPr>
      </w:pPr>
    </w:p>
    <w:p w:rsidR="0066655B" w:rsidRDefault="0066655B">
      <w:pPr>
        <w:jc w:val="left"/>
        <w:rPr>
          <w:bCs/>
          <w:sz w:val="24"/>
        </w:rPr>
      </w:pPr>
    </w:p>
    <w:p w:rsidR="0066655B" w:rsidRPr="007317DA" w:rsidRDefault="007C41EF" w:rsidP="0066655B">
      <w:pPr>
        <w:jc w:val="right"/>
        <w:rPr>
          <w:rFonts w:ascii="Times New Roman" w:hAnsi="Times New Roman"/>
          <w:color w:val="333399"/>
          <w:sz w:val="16"/>
        </w:rPr>
      </w:pPr>
      <w:smartTag w:uri="urn:schemas-microsoft-com:office:smarttags" w:element="phone">
        <w:smartTagPr>
          <w:attr w:uri="urn:schemas-microsoft-com:office:office" w:name="ls" w:val="trans"/>
          <w:attr w:name="phonenumber" w:val="$6204$$$"/>
        </w:smartTagPr>
        <w:r w:rsidRPr="007317DA">
          <w:rPr>
            <w:rFonts w:ascii="Times New Roman" w:hAnsi="Times New Roman"/>
            <w:color w:val="333399"/>
            <w:sz w:val="16"/>
          </w:rPr>
          <w:t xml:space="preserve">(617) </w:t>
        </w:r>
        <w:smartTag w:uri="urn:schemas-microsoft-com:office:smarttags" w:element="phone">
          <w:smartTagPr>
            <w:attr w:uri="urn:schemas-microsoft-com:office:office" w:name="ls" w:val="trans"/>
            <w:attr w:name="phonenumber" w:val="$6204$$$"/>
          </w:smartTagPr>
          <w:r w:rsidRPr="007317DA">
            <w:rPr>
              <w:rFonts w:ascii="Times New Roman" w:hAnsi="Times New Roman"/>
              <w:color w:val="333399"/>
              <w:sz w:val="16"/>
            </w:rPr>
            <w:t>204-3600</w:t>
          </w:r>
        </w:smartTag>
      </w:smartTag>
    </w:p>
    <w:p w:rsidR="0066655B" w:rsidRPr="007317DA" w:rsidRDefault="0066655B" w:rsidP="0066655B">
      <w:pPr>
        <w:jc w:val="right"/>
        <w:rPr>
          <w:rFonts w:ascii="Times New Roman" w:hAnsi="Times New Roman"/>
          <w:color w:val="333399"/>
          <w:sz w:val="16"/>
        </w:rPr>
      </w:pPr>
      <w:r w:rsidRPr="007317DA">
        <w:rPr>
          <w:rFonts w:ascii="Times New Roman" w:hAnsi="Times New Roman"/>
          <w:color w:val="333399"/>
          <w:sz w:val="16"/>
        </w:rPr>
        <w:t>1 (800) 245-6543</w:t>
      </w:r>
    </w:p>
    <w:p w:rsidR="0066655B" w:rsidRPr="007317DA" w:rsidRDefault="0066655B" w:rsidP="0066655B">
      <w:pPr>
        <w:jc w:val="right"/>
        <w:rPr>
          <w:rFonts w:ascii="Times New Roman" w:hAnsi="Times New Roman"/>
          <w:color w:val="333399"/>
          <w:sz w:val="16"/>
        </w:rPr>
      </w:pPr>
      <w:r w:rsidRPr="007317DA">
        <w:rPr>
          <w:rFonts w:ascii="Times New Roman" w:hAnsi="Times New Roman"/>
          <w:color w:val="333399"/>
          <w:sz w:val="16"/>
        </w:rPr>
        <w:t>Voice/TDD (617) 204-3</w:t>
      </w:r>
      <w:r w:rsidR="00C247B7">
        <w:rPr>
          <w:rFonts w:ascii="Times New Roman" w:hAnsi="Times New Roman"/>
          <w:color w:val="333399"/>
          <w:sz w:val="16"/>
        </w:rPr>
        <w:t>868</w:t>
      </w:r>
    </w:p>
    <w:p w:rsidR="0066655B" w:rsidRPr="007317DA" w:rsidRDefault="0066655B" w:rsidP="0066655B">
      <w:pPr>
        <w:jc w:val="right"/>
        <w:rPr>
          <w:rFonts w:ascii="Times New Roman" w:hAnsi="Times New Roman"/>
          <w:color w:val="333399"/>
          <w:sz w:val="16"/>
        </w:rPr>
      </w:pPr>
      <w:r w:rsidRPr="007317DA">
        <w:rPr>
          <w:rFonts w:ascii="Times New Roman" w:hAnsi="Times New Roman"/>
          <w:color w:val="333399"/>
          <w:sz w:val="16"/>
        </w:rPr>
        <w:t>FAX (617) 727-1354</w:t>
      </w:r>
    </w:p>
    <w:p w:rsidR="00A3223F" w:rsidRPr="001C6878" w:rsidRDefault="001C6878" w:rsidP="001C6878">
      <w:pPr>
        <w:rPr>
          <w:iCs/>
          <w:spacing w:val="0"/>
          <w:sz w:val="24"/>
          <w:szCs w:val="24"/>
        </w:rPr>
      </w:pPr>
      <w:r>
        <w:rPr>
          <w:iCs/>
          <w:spacing w:val="0"/>
          <w:sz w:val="24"/>
          <w:szCs w:val="24"/>
        </w:rPr>
        <w:t xml:space="preserve">                      </w:t>
      </w:r>
      <w:r w:rsidR="00A3223F" w:rsidRPr="001C6878">
        <w:rPr>
          <w:iCs/>
          <w:spacing w:val="0"/>
          <w:sz w:val="24"/>
          <w:szCs w:val="24"/>
        </w:rPr>
        <w:t>Independent Living Centers</w:t>
      </w:r>
    </w:p>
    <w:p w:rsidR="00A3223F" w:rsidRPr="001C6878" w:rsidRDefault="00A3223F" w:rsidP="00A3223F">
      <w:pPr>
        <w:tabs>
          <w:tab w:val="left" w:pos="5040"/>
        </w:tabs>
        <w:jc w:val="center"/>
        <w:rPr>
          <w:iCs/>
          <w:spacing w:val="0"/>
          <w:sz w:val="24"/>
          <w:szCs w:val="24"/>
        </w:rPr>
      </w:pPr>
    </w:p>
    <w:p w:rsidR="00A3223F" w:rsidRPr="001C6878" w:rsidRDefault="00576279" w:rsidP="00576279">
      <w:pPr>
        <w:tabs>
          <w:tab w:val="center" w:pos="4824"/>
          <w:tab w:val="left" w:pos="5040"/>
        </w:tabs>
        <w:rPr>
          <w:iCs/>
          <w:spacing w:val="0"/>
          <w:sz w:val="24"/>
          <w:szCs w:val="24"/>
        </w:rPr>
      </w:pPr>
      <w:r w:rsidRPr="001C6878">
        <w:rPr>
          <w:iCs/>
          <w:spacing w:val="0"/>
          <w:sz w:val="24"/>
          <w:szCs w:val="24"/>
        </w:rPr>
        <w:tab/>
      </w:r>
      <w:r w:rsidR="00A3223F" w:rsidRPr="001C6878">
        <w:rPr>
          <w:iCs/>
          <w:spacing w:val="0"/>
          <w:sz w:val="24"/>
          <w:szCs w:val="24"/>
        </w:rPr>
        <w:t>FY1</w:t>
      </w:r>
      <w:r w:rsidR="002A2DD3" w:rsidRPr="001C6878">
        <w:rPr>
          <w:iCs/>
          <w:spacing w:val="0"/>
          <w:sz w:val="24"/>
          <w:szCs w:val="24"/>
        </w:rPr>
        <w:t>5</w:t>
      </w:r>
      <w:r w:rsidR="00A3223F" w:rsidRPr="001C6878">
        <w:rPr>
          <w:iCs/>
          <w:spacing w:val="0"/>
          <w:sz w:val="24"/>
          <w:szCs w:val="24"/>
        </w:rPr>
        <w:t xml:space="preserve"> Activities Report to House and Senate Committees on Ways and Means</w:t>
      </w:r>
    </w:p>
    <w:p w:rsidR="00A3223F" w:rsidRPr="001C6878" w:rsidRDefault="001C6878" w:rsidP="00A3223F">
      <w:pPr>
        <w:tabs>
          <w:tab w:val="left" w:pos="5040"/>
        </w:tabs>
        <w:jc w:val="center"/>
        <w:rPr>
          <w:iCs/>
          <w:spacing w:val="0"/>
          <w:sz w:val="22"/>
          <w:szCs w:val="22"/>
        </w:rPr>
      </w:pPr>
      <w:r w:rsidRPr="001C6878">
        <w:rPr>
          <w:iCs/>
          <w:spacing w:val="0"/>
          <w:sz w:val="22"/>
          <w:szCs w:val="22"/>
        </w:rPr>
        <w:t>2/19</w:t>
      </w:r>
      <w:r w:rsidR="00A3223F" w:rsidRPr="001C6878">
        <w:rPr>
          <w:iCs/>
          <w:spacing w:val="0"/>
          <w:sz w:val="22"/>
          <w:szCs w:val="22"/>
        </w:rPr>
        <w:t>/2015</w:t>
      </w:r>
    </w:p>
    <w:p w:rsidR="00A3223F" w:rsidRPr="001C6878" w:rsidRDefault="00A3223F" w:rsidP="00A3223F">
      <w:pPr>
        <w:tabs>
          <w:tab w:val="left" w:pos="5040"/>
        </w:tabs>
        <w:rPr>
          <w:iCs/>
          <w:spacing w:val="0"/>
        </w:rPr>
      </w:pPr>
    </w:p>
    <w:p w:rsidR="005F7B0E" w:rsidRPr="001C6878" w:rsidRDefault="005F7B0E" w:rsidP="00A3223F">
      <w:pPr>
        <w:tabs>
          <w:tab w:val="left" w:pos="5040"/>
        </w:tabs>
        <w:jc w:val="left"/>
        <w:rPr>
          <w:iCs/>
          <w:spacing w:val="0"/>
          <w:sz w:val="22"/>
          <w:szCs w:val="22"/>
        </w:rPr>
      </w:pPr>
    </w:p>
    <w:p w:rsidR="00A3223F" w:rsidRPr="001C6878" w:rsidRDefault="00A3223F" w:rsidP="00A3223F">
      <w:pPr>
        <w:tabs>
          <w:tab w:val="left" w:pos="5040"/>
        </w:tabs>
        <w:jc w:val="left"/>
        <w:rPr>
          <w:spacing w:val="0"/>
          <w:sz w:val="22"/>
          <w:szCs w:val="22"/>
        </w:rPr>
      </w:pPr>
      <w:r w:rsidRPr="001C6878">
        <w:rPr>
          <w:iCs/>
          <w:spacing w:val="0"/>
          <w:sz w:val="22"/>
          <w:szCs w:val="22"/>
        </w:rPr>
        <w:t xml:space="preserve">The eleven Independent Living Centers (ILCs) play a key role in Massachusetts in assisting people with disabilities to </w:t>
      </w:r>
      <w:r w:rsidRPr="001C6878">
        <w:rPr>
          <w:spacing w:val="0"/>
          <w:sz w:val="22"/>
          <w:szCs w:val="22"/>
        </w:rPr>
        <w:t>maximize their independence and self-determination in all of life’s activities.  This includes a focus on assisting people to move from institutions into the community, and to attain personal goals related to independence and self-sufficiency.  As consumer-controlled organizations, this work is done through a wide range of services which are based on a peer role modeling approach.</w:t>
      </w:r>
    </w:p>
    <w:p w:rsidR="00A3223F" w:rsidRPr="001C6878" w:rsidRDefault="00A3223F" w:rsidP="00A3223F">
      <w:pPr>
        <w:tabs>
          <w:tab w:val="left" w:pos="5040"/>
        </w:tabs>
        <w:jc w:val="left"/>
        <w:rPr>
          <w:spacing w:val="0"/>
          <w:sz w:val="22"/>
          <w:szCs w:val="22"/>
        </w:rPr>
      </w:pPr>
    </w:p>
    <w:p w:rsidR="00A3223F" w:rsidRPr="001C6878" w:rsidRDefault="00A3223F" w:rsidP="00A3223F">
      <w:pPr>
        <w:tabs>
          <w:tab w:val="left" w:pos="5040"/>
        </w:tabs>
        <w:jc w:val="left"/>
        <w:rPr>
          <w:spacing w:val="0"/>
          <w:sz w:val="22"/>
          <w:szCs w:val="22"/>
        </w:rPr>
      </w:pPr>
      <w:r w:rsidRPr="001C6878">
        <w:rPr>
          <w:spacing w:val="0"/>
          <w:sz w:val="22"/>
          <w:szCs w:val="22"/>
        </w:rPr>
        <w:t xml:space="preserve">Federal regulations dictate the composition and activities of ILCs, and require all ILCs to provide four ‘core services’.  Many ILCs provide other services, most notably Personal Care Attendant services under </w:t>
      </w:r>
      <w:proofErr w:type="spellStart"/>
      <w:r w:rsidRPr="001C6878">
        <w:rPr>
          <w:spacing w:val="0"/>
          <w:sz w:val="22"/>
          <w:szCs w:val="22"/>
        </w:rPr>
        <w:t>MassHealth</w:t>
      </w:r>
      <w:proofErr w:type="spellEnd"/>
      <w:r w:rsidRPr="001C6878">
        <w:rPr>
          <w:spacing w:val="0"/>
          <w:sz w:val="22"/>
          <w:szCs w:val="22"/>
        </w:rPr>
        <w:t>, Transition Coordination under the Money Follows the Person Demonstration grant, Transition to Adulthood services, and Deaf and Hard of Hearing Independent Living services with funding from the Massachusetts Commission for the Deaf and Hard of Hearing.  The core services are:</w:t>
      </w:r>
    </w:p>
    <w:p w:rsidR="00A3223F" w:rsidRPr="001C6878" w:rsidRDefault="00A3223F" w:rsidP="00A3223F">
      <w:pPr>
        <w:tabs>
          <w:tab w:val="left" w:pos="5040"/>
        </w:tabs>
        <w:jc w:val="left"/>
        <w:rPr>
          <w:spacing w:val="0"/>
          <w:sz w:val="22"/>
          <w:szCs w:val="22"/>
        </w:rPr>
      </w:pPr>
    </w:p>
    <w:p w:rsidR="00A3223F" w:rsidRPr="001C6878" w:rsidRDefault="00A3223F" w:rsidP="00576279">
      <w:pPr>
        <w:tabs>
          <w:tab w:val="left" w:pos="5040"/>
        </w:tabs>
        <w:ind w:left="540"/>
        <w:jc w:val="left"/>
        <w:rPr>
          <w:spacing w:val="0"/>
          <w:sz w:val="22"/>
          <w:szCs w:val="22"/>
        </w:rPr>
      </w:pPr>
      <w:r w:rsidRPr="001C6878">
        <w:rPr>
          <w:spacing w:val="0"/>
          <w:sz w:val="22"/>
          <w:szCs w:val="22"/>
          <w:u w:val="single"/>
        </w:rPr>
        <w:t>Peer Counseling</w:t>
      </w:r>
      <w:r w:rsidRPr="001C6878">
        <w:rPr>
          <w:spacing w:val="0"/>
          <w:sz w:val="22"/>
          <w:szCs w:val="22"/>
        </w:rPr>
        <w:t xml:space="preserve"> – the opportunity to tap the experience of other people with disabilities who have successfully strived to lead productive and meaningful lives in their communities through a peer role modeling approach.  Peer counseling issues include:  personal growth, problem solving, socializing or issues faced specifically by persons with disabilities.</w:t>
      </w:r>
    </w:p>
    <w:p w:rsidR="00A3223F" w:rsidRPr="001C6878" w:rsidRDefault="00A3223F" w:rsidP="00576279">
      <w:pPr>
        <w:tabs>
          <w:tab w:val="left" w:pos="5040"/>
        </w:tabs>
        <w:ind w:left="540"/>
        <w:jc w:val="left"/>
        <w:rPr>
          <w:spacing w:val="0"/>
          <w:sz w:val="22"/>
          <w:szCs w:val="22"/>
        </w:rPr>
      </w:pPr>
    </w:p>
    <w:p w:rsidR="00A3223F" w:rsidRPr="001C6878" w:rsidRDefault="00A3223F" w:rsidP="00576279">
      <w:pPr>
        <w:tabs>
          <w:tab w:val="left" w:pos="5040"/>
        </w:tabs>
        <w:ind w:left="540"/>
        <w:jc w:val="left"/>
        <w:rPr>
          <w:spacing w:val="0"/>
          <w:sz w:val="22"/>
          <w:szCs w:val="22"/>
        </w:rPr>
      </w:pPr>
      <w:r w:rsidRPr="001C6878">
        <w:rPr>
          <w:spacing w:val="0"/>
          <w:sz w:val="22"/>
          <w:szCs w:val="22"/>
          <w:u w:val="single"/>
        </w:rPr>
        <w:t>Skills Training</w:t>
      </w:r>
      <w:r w:rsidRPr="001C6878">
        <w:rPr>
          <w:spacing w:val="0"/>
          <w:sz w:val="22"/>
          <w:szCs w:val="22"/>
        </w:rPr>
        <w:t xml:space="preserve"> – the acquisition of skills needed for living independently, such as how to find housing, Personal Care Attendant management, budgeting, self-advocacy or managing entitlements or benefits.</w:t>
      </w:r>
    </w:p>
    <w:p w:rsidR="00A3223F" w:rsidRPr="001C6878" w:rsidRDefault="00A3223F" w:rsidP="00576279">
      <w:pPr>
        <w:tabs>
          <w:tab w:val="left" w:pos="5040"/>
        </w:tabs>
        <w:ind w:left="540"/>
        <w:jc w:val="left"/>
        <w:rPr>
          <w:spacing w:val="0"/>
          <w:sz w:val="22"/>
          <w:szCs w:val="22"/>
        </w:rPr>
      </w:pPr>
    </w:p>
    <w:p w:rsidR="00A3223F" w:rsidRPr="001C6878" w:rsidRDefault="00A3223F" w:rsidP="00576279">
      <w:pPr>
        <w:tabs>
          <w:tab w:val="left" w:pos="5040"/>
        </w:tabs>
        <w:ind w:left="540"/>
        <w:jc w:val="left"/>
        <w:rPr>
          <w:spacing w:val="0"/>
          <w:sz w:val="22"/>
          <w:szCs w:val="22"/>
        </w:rPr>
      </w:pPr>
      <w:r w:rsidRPr="001C6878">
        <w:rPr>
          <w:spacing w:val="0"/>
          <w:sz w:val="22"/>
          <w:szCs w:val="22"/>
          <w:u w:val="single"/>
        </w:rPr>
        <w:t>Information and Referral</w:t>
      </w:r>
      <w:r w:rsidRPr="001C6878">
        <w:rPr>
          <w:spacing w:val="0"/>
          <w:sz w:val="22"/>
          <w:szCs w:val="22"/>
        </w:rPr>
        <w:t xml:space="preserve"> – providing information and referrals related to disability such as where to look for accessible housing, adaptive equipment, medical providers, legal assistance and a large number of other programs and resources.</w:t>
      </w:r>
    </w:p>
    <w:p w:rsidR="00A3223F" w:rsidRPr="001C6878" w:rsidRDefault="00A3223F" w:rsidP="00576279">
      <w:pPr>
        <w:tabs>
          <w:tab w:val="left" w:pos="5040"/>
        </w:tabs>
        <w:ind w:left="540"/>
        <w:jc w:val="left"/>
        <w:rPr>
          <w:spacing w:val="0"/>
          <w:sz w:val="22"/>
          <w:szCs w:val="22"/>
        </w:rPr>
      </w:pPr>
    </w:p>
    <w:p w:rsidR="00A3223F" w:rsidRPr="001C6878" w:rsidRDefault="00A3223F" w:rsidP="00576279">
      <w:pPr>
        <w:tabs>
          <w:tab w:val="left" w:pos="5040"/>
        </w:tabs>
        <w:ind w:left="540"/>
        <w:jc w:val="left"/>
        <w:rPr>
          <w:spacing w:val="0"/>
          <w:sz w:val="22"/>
          <w:szCs w:val="22"/>
        </w:rPr>
      </w:pPr>
      <w:r w:rsidRPr="001C6878">
        <w:rPr>
          <w:spacing w:val="0"/>
          <w:sz w:val="22"/>
          <w:szCs w:val="22"/>
          <w:u w:val="single"/>
        </w:rPr>
        <w:t>Advocacy</w:t>
      </w:r>
      <w:r w:rsidRPr="001C6878">
        <w:rPr>
          <w:spacing w:val="0"/>
          <w:sz w:val="22"/>
          <w:szCs w:val="22"/>
        </w:rPr>
        <w:t xml:space="preserve"> – helping persons with disabilities to know and assert their rights with, for example, the health care system, landlords, accessing financial benefits and in the community in general.</w:t>
      </w:r>
    </w:p>
    <w:p w:rsidR="00A3223F" w:rsidRPr="001C6878" w:rsidRDefault="00A3223F" w:rsidP="00A3223F">
      <w:pPr>
        <w:tabs>
          <w:tab w:val="left" w:pos="5040"/>
        </w:tabs>
        <w:jc w:val="left"/>
        <w:rPr>
          <w:spacing w:val="0"/>
          <w:sz w:val="22"/>
          <w:szCs w:val="22"/>
        </w:rPr>
      </w:pPr>
    </w:p>
    <w:p w:rsidR="00A3223F" w:rsidRPr="001C6878" w:rsidRDefault="00A3223F" w:rsidP="00A3223F">
      <w:pPr>
        <w:tabs>
          <w:tab w:val="left" w:pos="5040"/>
        </w:tabs>
        <w:jc w:val="left"/>
        <w:rPr>
          <w:spacing w:val="0"/>
          <w:sz w:val="22"/>
          <w:szCs w:val="22"/>
        </w:rPr>
      </w:pPr>
      <w:r w:rsidRPr="001C6878">
        <w:rPr>
          <w:spacing w:val="0"/>
          <w:sz w:val="22"/>
          <w:szCs w:val="22"/>
        </w:rPr>
        <w:t>Information on the services and achievements of the In</w:t>
      </w:r>
      <w:r w:rsidR="005F7B0E" w:rsidRPr="001C6878">
        <w:rPr>
          <w:spacing w:val="0"/>
          <w:sz w:val="22"/>
          <w:szCs w:val="22"/>
        </w:rPr>
        <w:t>dependent Living Centers in FY15</w:t>
      </w:r>
      <w:r w:rsidRPr="001C6878">
        <w:rPr>
          <w:spacing w:val="0"/>
          <w:sz w:val="22"/>
          <w:szCs w:val="22"/>
        </w:rPr>
        <w:t xml:space="preserve"> is provided below.  This information is based on reports filed by the ILCs for </w:t>
      </w:r>
      <w:r w:rsidR="005F7B0E" w:rsidRPr="001C6878">
        <w:rPr>
          <w:spacing w:val="0"/>
          <w:sz w:val="22"/>
          <w:szCs w:val="22"/>
        </w:rPr>
        <w:t>the federal fiscal year (10/1/14 – 9/30/15</w:t>
      </w:r>
      <w:r w:rsidRPr="001C6878">
        <w:rPr>
          <w:spacing w:val="0"/>
          <w:sz w:val="22"/>
          <w:szCs w:val="22"/>
        </w:rPr>
        <w:t>), the last 12 month period of ILC performance available.</w:t>
      </w:r>
    </w:p>
    <w:p w:rsidR="00A3223F" w:rsidRPr="001C6878" w:rsidRDefault="00A3223F" w:rsidP="00A3223F">
      <w:pPr>
        <w:tabs>
          <w:tab w:val="left" w:pos="5040"/>
        </w:tabs>
        <w:jc w:val="left"/>
        <w:rPr>
          <w:spacing w:val="0"/>
        </w:rPr>
      </w:pPr>
    </w:p>
    <w:p w:rsidR="001C6878" w:rsidRPr="001C6878" w:rsidRDefault="001C6878" w:rsidP="001C6878">
      <w:pPr>
        <w:spacing w:after="160" w:line="259" w:lineRule="auto"/>
        <w:jc w:val="left"/>
        <w:rPr>
          <w:spacing w:val="0"/>
        </w:rPr>
      </w:pPr>
    </w:p>
    <w:p w:rsidR="001C6878" w:rsidRPr="001C6878" w:rsidRDefault="001C6878" w:rsidP="001C6878">
      <w:pPr>
        <w:tabs>
          <w:tab w:val="left" w:pos="5040"/>
        </w:tabs>
        <w:jc w:val="center"/>
        <w:rPr>
          <w:spacing w:val="0"/>
          <w:sz w:val="28"/>
          <w:szCs w:val="28"/>
        </w:rPr>
      </w:pPr>
      <w:r w:rsidRPr="001C6878">
        <w:rPr>
          <w:spacing w:val="0"/>
          <w:sz w:val="28"/>
          <w:szCs w:val="28"/>
        </w:rPr>
        <w:lastRenderedPageBreak/>
        <w:t>FY15 Independent Living Center activity</w:t>
      </w:r>
    </w:p>
    <w:p w:rsidR="001C6878" w:rsidRPr="001C6878" w:rsidRDefault="001C6878" w:rsidP="001C6878">
      <w:pPr>
        <w:tabs>
          <w:tab w:val="left" w:pos="5040"/>
        </w:tabs>
        <w:jc w:val="left"/>
        <w:rPr>
          <w:spacing w:val="0"/>
          <w:sz w:val="28"/>
          <w:szCs w:val="28"/>
        </w:rPr>
      </w:pPr>
    </w:p>
    <w:p w:rsidR="001C6878" w:rsidRPr="001C6878" w:rsidRDefault="001C6878" w:rsidP="001C6878">
      <w:pPr>
        <w:tabs>
          <w:tab w:val="left" w:pos="5040"/>
        </w:tabs>
        <w:jc w:val="left"/>
        <w:rPr>
          <w:spacing w:val="0"/>
          <w:sz w:val="22"/>
          <w:szCs w:val="22"/>
        </w:rPr>
      </w:pPr>
    </w:p>
    <w:p w:rsidR="001C6878" w:rsidRPr="001C6878" w:rsidRDefault="001C6878" w:rsidP="001C6878">
      <w:pPr>
        <w:tabs>
          <w:tab w:val="left" w:pos="5040"/>
        </w:tabs>
        <w:jc w:val="left"/>
        <w:rPr>
          <w:spacing w:val="0"/>
          <w:sz w:val="22"/>
          <w:szCs w:val="22"/>
        </w:rPr>
      </w:pPr>
      <w:r w:rsidRPr="001C6878">
        <w:rPr>
          <w:spacing w:val="0"/>
          <w:sz w:val="22"/>
          <w:szCs w:val="22"/>
        </w:rPr>
        <w:t>In FFY15 25,928 consumers requested and received services from the ILCs</w:t>
      </w:r>
      <w:r>
        <w:rPr>
          <w:spacing w:val="0"/>
          <w:sz w:val="22"/>
          <w:szCs w:val="22"/>
        </w:rPr>
        <w:t xml:space="preserve">.  </w:t>
      </w:r>
      <w:r w:rsidRPr="001C6878">
        <w:rPr>
          <w:spacing w:val="0"/>
          <w:sz w:val="22"/>
          <w:szCs w:val="22"/>
        </w:rPr>
        <w:t>The specific types of services requested and received were:</w:t>
      </w:r>
    </w:p>
    <w:p w:rsidR="001C6878" w:rsidRPr="001C6878" w:rsidRDefault="001C6878" w:rsidP="001C6878">
      <w:pPr>
        <w:tabs>
          <w:tab w:val="left" w:pos="5040"/>
        </w:tabs>
        <w:jc w:val="left"/>
        <w:rPr>
          <w:spacing w:val="0"/>
        </w:rPr>
      </w:pPr>
    </w:p>
    <w:tbl>
      <w:tblPr>
        <w:tblStyle w:val="TableGrid"/>
        <w:tblW w:w="0" w:type="auto"/>
        <w:tblInd w:w="85" w:type="dxa"/>
        <w:tblLook w:val="04A0" w:firstRow="1" w:lastRow="0" w:firstColumn="1" w:lastColumn="0" w:noHBand="0" w:noVBand="1"/>
      </w:tblPr>
      <w:tblGrid>
        <w:gridCol w:w="5760"/>
        <w:gridCol w:w="1530"/>
        <w:gridCol w:w="1620"/>
      </w:tblGrid>
      <w:tr w:rsidR="001C6878" w:rsidRPr="001C6878" w:rsidTr="001C6878">
        <w:trPr>
          <w:trHeight w:val="890"/>
        </w:trPr>
        <w:tc>
          <w:tcPr>
            <w:tcW w:w="5760" w:type="dxa"/>
            <w:shd w:val="clear" w:color="auto" w:fill="C6D9F1" w:themeFill="text2" w:themeFillTint="33"/>
            <w:vAlign w:val="bottom"/>
          </w:tcPr>
          <w:p w:rsidR="001C6878" w:rsidRPr="001C6878" w:rsidRDefault="001C6878" w:rsidP="006A7449">
            <w:pPr>
              <w:tabs>
                <w:tab w:val="left" w:pos="5040"/>
                <w:tab w:val="left" w:pos="6840"/>
              </w:tabs>
              <w:ind w:left="1440" w:hanging="1440"/>
              <w:jc w:val="left"/>
              <w:rPr>
                <w:color w:val="333333"/>
                <w:spacing w:val="0"/>
              </w:rPr>
            </w:pPr>
          </w:p>
          <w:p w:rsidR="001C6878" w:rsidRPr="001C6878" w:rsidRDefault="001C6878" w:rsidP="006A7449">
            <w:pPr>
              <w:tabs>
                <w:tab w:val="left" w:pos="5040"/>
                <w:tab w:val="left" w:pos="6840"/>
              </w:tabs>
              <w:jc w:val="left"/>
              <w:rPr>
                <w:b/>
                <w:color w:val="333333"/>
                <w:spacing w:val="0"/>
              </w:rPr>
            </w:pPr>
            <w:r w:rsidRPr="001C6878">
              <w:rPr>
                <w:b/>
                <w:color w:val="333333"/>
                <w:spacing w:val="0"/>
              </w:rPr>
              <w:t>Services</w:t>
            </w:r>
          </w:p>
        </w:tc>
        <w:tc>
          <w:tcPr>
            <w:tcW w:w="1530" w:type="dxa"/>
            <w:shd w:val="clear" w:color="auto" w:fill="C6D9F1" w:themeFill="text2" w:themeFillTint="33"/>
            <w:vAlign w:val="bottom"/>
          </w:tcPr>
          <w:p w:rsidR="001C6878" w:rsidRPr="001C6878" w:rsidRDefault="001C6878" w:rsidP="006A7449">
            <w:pPr>
              <w:tabs>
                <w:tab w:val="left" w:pos="5040"/>
                <w:tab w:val="left" w:pos="6840"/>
              </w:tabs>
              <w:jc w:val="left"/>
              <w:rPr>
                <w:color w:val="333333"/>
                <w:spacing w:val="0"/>
              </w:rPr>
            </w:pPr>
            <w:r w:rsidRPr="001C6878">
              <w:rPr>
                <w:b/>
                <w:bCs/>
                <w:color w:val="333333"/>
                <w:spacing w:val="0"/>
              </w:rPr>
              <w:t>Consumers</w:t>
            </w:r>
            <w:r w:rsidRPr="001C6878">
              <w:rPr>
                <w:b/>
                <w:bCs/>
                <w:color w:val="333333"/>
                <w:spacing w:val="0"/>
              </w:rPr>
              <w:br/>
              <w:t>Requesting</w:t>
            </w:r>
            <w:r w:rsidRPr="001C6878">
              <w:rPr>
                <w:b/>
                <w:bCs/>
                <w:color w:val="333333"/>
                <w:spacing w:val="0"/>
              </w:rPr>
              <w:br/>
              <w:t>Services</w:t>
            </w:r>
          </w:p>
        </w:tc>
        <w:tc>
          <w:tcPr>
            <w:tcW w:w="1620" w:type="dxa"/>
            <w:shd w:val="clear" w:color="auto" w:fill="C6D9F1" w:themeFill="text2" w:themeFillTint="33"/>
            <w:vAlign w:val="bottom"/>
          </w:tcPr>
          <w:p w:rsidR="001C6878" w:rsidRPr="001C6878" w:rsidRDefault="001C6878" w:rsidP="006A7449">
            <w:pPr>
              <w:tabs>
                <w:tab w:val="left" w:pos="5040"/>
                <w:tab w:val="left" w:pos="6840"/>
              </w:tabs>
              <w:jc w:val="left"/>
              <w:rPr>
                <w:color w:val="333333"/>
                <w:spacing w:val="0"/>
              </w:rPr>
            </w:pPr>
            <w:r w:rsidRPr="001C6878">
              <w:rPr>
                <w:b/>
                <w:bCs/>
                <w:color w:val="333333"/>
                <w:spacing w:val="0"/>
              </w:rPr>
              <w:t>Consumers</w:t>
            </w:r>
            <w:r w:rsidRPr="001C6878">
              <w:rPr>
                <w:b/>
                <w:bCs/>
                <w:color w:val="333333"/>
                <w:spacing w:val="0"/>
              </w:rPr>
              <w:br/>
              <w:t>Receiving</w:t>
            </w:r>
            <w:r w:rsidRPr="001C6878">
              <w:rPr>
                <w:b/>
                <w:bCs/>
                <w:color w:val="333333"/>
                <w:spacing w:val="0"/>
              </w:rPr>
              <w:br/>
              <w:t>Services</w:t>
            </w:r>
          </w:p>
        </w:tc>
      </w:tr>
      <w:tr w:rsidR="001C6878" w:rsidRPr="001C6878" w:rsidTr="006A7449">
        <w:tc>
          <w:tcPr>
            <w:tcW w:w="5760" w:type="dxa"/>
          </w:tcPr>
          <w:p w:rsidR="001C6878" w:rsidRPr="001C6878" w:rsidRDefault="001C6878" w:rsidP="006A7449">
            <w:pPr>
              <w:tabs>
                <w:tab w:val="left" w:pos="5040"/>
                <w:tab w:val="left" w:pos="6840"/>
              </w:tabs>
              <w:jc w:val="left"/>
              <w:rPr>
                <w:color w:val="333333"/>
                <w:spacing w:val="0"/>
              </w:rPr>
            </w:pPr>
            <w:r w:rsidRPr="001C6878">
              <w:rPr>
                <w:color w:val="333333"/>
                <w:spacing w:val="0"/>
              </w:rPr>
              <w:t>Peer Counseling Services</w:t>
            </w:r>
          </w:p>
        </w:tc>
        <w:tc>
          <w:tcPr>
            <w:tcW w:w="1530" w:type="dxa"/>
          </w:tcPr>
          <w:p w:rsidR="001C6878" w:rsidRPr="001C6878" w:rsidRDefault="001C6878" w:rsidP="006A7449">
            <w:pPr>
              <w:tabs>
                <w:tab w:val="left" w:pos="5040"/>
                <w:tab w:val="left" w:pos="6840"/>
              </w:tabs>
              <w:jc w:val="right"/>
              <w:rPr>
                <w:color w:val="333333"/>
                <w:spacing w:val="0"/>
              </w:rPr>
            </w:pPr>
            <w:r w:rsidRPr="001C6878">
              <w:rPr>
                <w:color w:val="333333"/>
                <w:spacing w:val="0"/>
              </w:rPr>
              <w:t>1,358</w:t>
            </w:r>
          </w:p>
        </w:tc>
        <w:tc>
          <w:tcPr>
            <w:tcW w:w="1620" w:type="dxa"/>
          </w:tcPr>
          <w:p w:rsidR="001C6878" w:rsidRPr="001C6878" w:rsidRDefault="001C6878" w:rsidP="006A7449">
            <w:pPr>
              <w:tabs>
                <w:tab w:val="left" w:pos="5040"/>
                <w:tab w:val="left" w:pos="6840"/>
              </w:tabs>
              <w:jc w:val="right"/>
              <w:rPr>
                <w:color w:val="333333"/>
                <w:spacing w:val="0"/>
              </w:rPr>
            </w:pPr>
            <w:r w:rsidRPr="001C6878">
              <w:rPr>
                <w:color w:val="333333"/>
                <w:spacing w:val="0"/>
              </w:rPr>
              <w:t>1,336</w:t>
            </w:r>
          </w:p>
        </w:tc>
      </w:tr>
      <w:tr w:rsidR="001C6878" w:rsidRPr="001C6878" w:rsidTr="006A7449">
        <w:tc>
          <w:tcPr>
            <w:tcW w:w="5760" w:type="dxa"/>
          </w:tcPr>
          <w:p w:rsidR="001C6878" w:rsidRPr="001C6878" w:rsidRDefault="001C6878" w:rsidP="006A7449">
            <w:pPr>
              <w:tabs>
                <w:tab w:val="left" w:pos="5040"/>
                <w:tab w:val="left" w:pos="6840"/>
              </w:tabs>
              <w:jc w:val="left"/>
              <w:rPr>
                <w:color w:val="333333"/>
                <w:spacing w:val="0"/>
              </w:rPr>
            </w:pPr>
            <w:r w:rsidRPr="001C6878">
              <w:rPr>
                <w:color w:val="333333"/>
                <w:spacing w:val="0"/>
              </w:rPr>
              <w:t>IL Skills Training</w:t>
            </w:r>
          </w:p>
        </w:tc>
        <w:tc>
          <w:tcPr>
            <w:tcW w:w="1530" w:type="dxa"/>
          </w:tcPr>
          <w:p w:rsidR="001C6878" w:rsidRPr="001C6878" w:rsidRDefault="001C6878" w:rsidP="006A7449">
            <w:pPr>
              <w:tabs>
                <w:tab w:val="left" w:pos="5040"/>
                <w:tab w:val="left" w:pos="6840"/>
              </w:tabs>
              <w:jc w:val="right"/>
              <w:rPr>
                <w:color w:val="333333"/>
                <w:spacing w:val="0"/>
              </w:rPr>
            </w:pPr>
            <w:r w:rsidRPr="001C6878">
              <w:rPr>
                <w:color w:val="333333"/>
                <w:spacing w:val="0"/>
              </w:rPr>
              <w:t>8,344</w:t>
            </w:r>
          </w:p>
        </w:tc>
        <w:tc>
          <w:tcPr>
            <w:tcW w:w="1620" w:type="dxa"/>
          </w:tcPr>
          <w:p w:rsidR="001C6878" w:rsidRPr="001C6878" w:rsidRDefault="001C6878" w:rsidP="006A7449">
            <w:pPr>
              <w:tabs>
                <w:tab w:val="left" w:pos="5040"/>
                <w:tab w:val="left" w:pos="6840"/>
              </w:tabs>
              <w:jc w:val="right"/>
              <w:rPr>
                <w:color w:val="333333"/>
                <w:spacing w:val="0"/>
              </w:rPr>
            </w:pPr>
            <w:r w:rsidRPr="001C6878">
              <w:rPr>
                <w:color w:val="333333"/>
                <w:spacing w:val="0"/>
              </w:rPr>
              <w:t>8,314</w:t>
            </w:r>
          </w:p>
        </w:tc>
      </w:tr>
      <w:tr w:rsidR="001C6878" w:rsidRPr="001C6878" w:rsidTr="006A7449">
        <w:tc>
          <w:tcPr>
            <w:tcW w:w="5760" w:type="dxa"/>
          </w:tcPr>
          <w:p w:rsidR="001C6878" w:rsidRPr="001C6878" w:rsidRDefault="001C6878" w:rsidP="006A7449">
            <w:pPr>
              <w:tabs>
                <w:tab w:val="left" w:pos="5040"/>
                <w:tab w:val="left" w:pos="6840"/>
              </w:tabs>
              <w:jc w:val="left"/>
              <w:rPr>
                <w:color w:val="333333"/>
                <w:spacing w:val="0"/>
              </w:rPr>
            </w:pPr>
            <w:r w:rsidRPr="001C6878">
              <w:rPr>
                <w:color w:val="333333"/>
                <w:spacing w:val="0"/>
              </w:rPr>
              <w:t>Information and Referral</w:t>
            </w:r>
          </w:p>
        </w:tc>
        <w:tc>
          <w:tcPr>
            <w:tcW w:w="1530" w:type="dxa"/>
          </w:tcPr>
          <w:p w:rsidR="001C6878" w:rsidRPr="001C6878" w:rsidRDefault="001C6878" w:rsidP="006A7449">
            <w:pPr>
              <w:tabs>
                <w:tab w:val="left" w:pos="5040"/>
                <w:tab w:val="left" w:pos="6840"/>
              </w:tabs>
              <w:jc w:val="right"/>
              <w:rPr>
                <w:color w:val="333333"/>
                <w:spacing w:val="0"/>
              </w:rPr>
            </w:pPr>
            <w:r w:rsidRPr="001C6878">
              <w:rPr>
                <w:color w:val="333333"/>
                <w:spacing w:val="0"/>
              </w:rPr>
              <w:t>11,257</w:t>
            </w:r>
          </w:p>
        </w:tc>
        <w:tc>
          <w:tcPr>
            <w:tcW w:w="1620" w:type="dxa"/>
          </w:tcPr>
          <w:p w:rsidR="001C6878" w:rsidRPr="001C6878" w:rsidRDefault="001C6878" w:rsidP="006A7449">
            <w:pPr>
              <w:tabs>
                <w:tab w:val="left" w:pos="5040"/>
                <w:tab w:val="left" w:pos="6840"/>
              </w:tabs>
              <w:jc w:val="right"/>
              <w:rPr>
                <w:color w:val="333333"/>
                <w:spacing w:val="0"/>
              </w:rPr>
            </w:pPr>
            <w:r w:rsidRPr="001C6878">
              <w:rPr>
                <w:color w:val="333333"/>
                <w:spacing w:val="0"/>
              </w:rPr>
              <w:t>10,974</w:t>
            </w:r>
          </w:p>
        </w:tc>
      </w:tr>
      <w:tr w:rsidR="001C6878" w:rsidRPr="001C6878" w:rsidTr="006A7449">
        <w:tc>
          <w:tcPr>
            <w:tcW w:w="5760" w:type="dxa"/>
          </w:tcPr>
          <w:p w:rsidR="001C6878" w:rsidRPr="001C6878" w:rsidRDefault="001C6878" w:rsidP="006A7449">
            <w:pPr>
              <w:tabs>
                <w:tab w:val="left" w:pos="5040"/>
                <w:tab w:val="left" w:pos="6840"/>
              </w:tabs>
              <w:jc w:val="left"/>
              <w:rPr>
                <w:color w:val="333333"/>
                <w:spacing w:val="0"/>
              </w:rPr>
            </w:pPr>
            <w:r w:rsidRPr="001C6878">
              <w:rPr>
                <w:color w:val="333333"/>
                <w:spacing w:val="0"/>
              </w:rPr>
              <w:t>Advocacy/Legal Services</w:t>
            </w:r>
          </w:p>
        </w:tc>
        <w:tc>
          <w:tcPr>
            <w:tcW w:w="1530" w:type="dxa"/>
          </w:tcPr>
          <w:p w:rsidR="001C6878" w:rsidRPr="001C6878" w:rsidRDefault="001C6878" w:rsidP="006A7449">
            <w:pPr>
              <w:tabs>
                <w:tab w:val="left" w:pos="5040"/>
                <w:tab w:val="left" w:pos="6840"/>
              </w:tabs>
              <w:jc w:val="right"/>
              <w:rPr>
                <w:color w:val="333333"/>
                <w:spacing w:val="0"/>
              </w:rPr>
            </w:pPr>
            <w:r w:rsidRPr="001C6878">
              <w:rPr>
                <w:color w:val="333333"/>
                <w:spacing w:val="0"/>
              </w:rPr>
              <w:t>2,415</w:t>
            </w:r>
          </w:p>
        </w:tc>
        <w:tc>
          <w:tcPr>
            <w:tcW w:w="1620" w:type="dxa"/>
          </w:tcPr>
          <w:p w:rsidR="001C6878" w:rsidRPr="001C6878" w:rsidRDefault="001C6878" w:rsidP="006A7449">
            <w:pPr>
              <w:tabs>
                <w:tab w:val="left" w:pos="5040"/>
                <w:tab w:val="left" w:pos="6840"/>
              </w:tabs>
              <w:jc w:val="right"/>
              <w:rPr>
                <w:color w:val="333333"/>
                <w:spacing w:val="0"/>
              </w:rPr>
            </w:pPr>
            <w:r w:rsidRPr="001C6878">
              <w:rPr>
                <w:color w:val="333333"/>
                <w:spacing w:val="0"/>
              </w:rPr>
              <w:t>2,379</w:t>
            </w:r>
          </w:p>
        </w:tc>
      </w:tr>
      <w:tr w:rsidR="001C6878" w:rsidRPr="001C6878" w:rsidTr="006A7449">
        <w:tc>
          <w:tcPr>
            <w:tcW w:w="5760" w:type="dxa"/>
          </w:tcPr>
          <w:p w:rsidR="001C6878" w:rsidRPr="001C6878" w:rsidRDefault="001C6878" w:rsidP="006A7449">
            <w:pPr>
              <w:tabs>
                <w:tab w:val="left" w:pos="5040"/>
                <w:tab w:val="left" w:pos="6840"/>
              </w:tabs>
              <w:jc w:val="left"/>
              <w:rPr>
                <w:color w:val="333333"/>
                <w:spacing w:val="0"/>
              </w:rPr>
            </w:pPr>
            <w:r w:rsidRPr="001C6878">
              <w:rPr>
                <w:color w:val="333333"/>
                <w:spacing w:val="0"/>
              </w:rPr>
              <w:t>Personal Assistance Services</w:t>
            </w:r>
          </w:p>
        </w:tc>
        <w:tc>
          <w:tcPr>
            <w:tcW w:w="1530" w:type="dxa"/>
          </w:tcPr>
          <w:p w:rsidR="001C6878" w:rsidRPr="001C6878" w:rsidRDefault="001C6878" w:rsidP="006A7449">
            <w:pPr>
              <w:tabs>
                <w:tab w:val="left" w:pos="5040"/>
                <w:tab w:val="left" w:pos="6840"/>
              </w:tabs>
              <w:jc w:val="right"/>
              <w:rPr>
                <w:color w:val="333333"/>
                <w:spacing w:val="0"/>
              </w:rPr>
            </w:pPr>
            <w:r w:rsidRPr="001C6878">
              <w:rPr>
                <w:color w:val="333333"/>
                <w:spacing w:val="0"/>
              </w:rPr>
              <w:t>10,757</w:t>
            </w:r>
          </w:p>
        </w:tc>
        <w:tc>
          <w:tcPr>
            <w:tcW w:w="1620" w:type="dxa"/>
          </w:tcPr>
          <w:p w:rsidR="001C6878" w:rsidRPr="001C6878" w:rsidRDefault="001C6878" w:rsidP="006A7449">
            <w:pPr>
              <w:tabs>
                <w:tab w:val="left" w:pos="5040"/>
                <w:tab w:val="left" w:pos="6840"/>
              </w:tabs>
              <w:jc w:val="right"/>
              <w:rPr>
                <w:color w:val="333333"/>
                <w:spacing w:val="0"/>
              </w:rPr>
            </w:pPr>
            <w:r w:rsidRPr="001C6878">
              <w:rPr>
                <w:color w:val="333333"/>
                <w:spacing w:val="0"/>
              </w:rPr>
              <w:t>10,527</w:t>
            </w:r>
          </w:p>
        </w:tc>
      </w:tr>
      <w:tr w:rsidR="001C6878" w:rsidRPr="001C6878" w:rsidTr="006A7449">
        <w:tc>
          <w:tcPr>
            <w:tcW w:w="5760" w:type="dxa"/>
          </w:tcPr>
          <w:p w:rsidR="001C6878" w:rsidRPr="001C6878" w:rsidRDefault="001C6878" w:rsidP="006A7449">
            <w:pPr>
              <w:tabs>
                <w:tab w:val="left" w:pos="5040"/>
                <w:tab w:val="left" w:pos="6840"/>
              </w:tabs>
              <w:jc w:val="left"/>
              <w:rPr>
                <w:color w:val="333333"/>
                <w:spacing w:val="0"/>
              </w:rPr>
            </w:pPr>
            <w:r w:rsidRPr="001C6878">
              <w:rPr>
                <w:color w:val="333333"/>
                <w:spacing w:val="0"/>
              </w:rPr>
              <w:t>Housing, Home Modifications</w:t>
            </w:r>
          </w:p>
        </w:tc>
        <w:tc>
          <w:tcPr>
            <w:tcW w:w="1530" w:type="dxa"/>
          </w:tcPr>
          <w:p w:rsidR="001C6878" w:rsidRPr="001C6878" w:rsidRDefault="001C6878" w:rsidP="006A7449">
            <w:pPr>
              <w:tabs>
                <w:tab w:val="left" w:pos="5040"/>
                <w:tab w:val="left" w:pos="6840"/>
              </w:tabs>
              <w:jc w:val="right"/>
              <w:rPr>
                <w:color w:val="333333"/>
                <w:spacing w:val="0"/>
              </w:rPr>
            </w:pPr>
            <w:r w:rsidRPr="001C6878">
              <w:rPr>
                <w:color w:val="333333"/>
                <w:spacing w:val="0"/>
              </w:rPr>
              <w:t>845</w:t>
            </w:r>
          </w:p>
        </w:tc>
        <w:tc>
          <w:tcPr>
            <w:tcW w:w="1620" w:type="dxa"/>
          </w:tcPr>
          <w:p w:rsidR="001C6878" w:rsidRPr="001C6878" w:rsidRDefault="001C6878" w:rsidP="006A7449">
            <w:pPr>
              <w:tabs>
                <w:tab w:val="left" w:pos="5040"/>
                <w:tab w:val="left" w:pos="6840"/>
              </w:tabs>
              <w:jc w:val="right"/>
              <w:rPr>
                <w:color w:val="333333"/>
                <w:spacing w:val="0"/>
              </w:rPr>
            </w:pPr>
            <w:r w:rsidRPr="001C6878">
              <w:rPr>
                <w:color w:val="333333"/>
                <w:spacing w:val="0"/>
              </w:rPr>
              <w:t>840</w:t>
            </w:r>
          </w:p>
        </w:tc>
      </w:tr>
      <w:tr w:rsidR="001C6878" w:rsidRPr="001C6878" w:rsidTr="006A7449">
        <w:tc>
          <w:tcPr>
            <w:tcW w:w="5760" w:type="dxa"/>
          </w:tcPr>
          <w:p w:rsidR="001C6878" w:rsidRPr="001C6878" w:rsidRDefault="001C6878" w:rsidP="006A7449">
            <w:pPr>
              <w:tabs>
                <w:tab w:val="left" w:pos="5040"/>
                <w:tab w:val="left" w:pos="6840"/>
              </w:tabs>
              <w:jc w:val="left"/>
              <w:rPr>
                <w:color w:val="333333"/>
                <w:spacing w:val="0"/>
              </w:rPr>
            </w:pPr>
            <w:r w:rsidRPr="001C6878">
              <w:rPr>
                <w:color w:val="333333"/>
                <w:spacing w:val="0"/>
              </w:rPr>
              <w:t>Assistive Technology</w:t>
            </w:r>
          </w:p>
        </w:tc>
        <w:tc>
          <w:tcPr>
            <w:tcW w:w="1530" w:type="dxa"/>
          </w:tcPr>
          <w:p w:rsidR="001C6878" w:rsidRPr="001C6878" w:rsidRDefault="001C6878" w:rsidP="006A7449">
            <w:pPr>
              <w:tabs>
                <w:tab w:val="left" w:pos="5040"/>
                <w:tab w:val="left" w:pos="6840"/>
              </w:tabs>
              <w:jc w:val="right"/>
              <w:rPr>
                <w:color w:val="333333"/>
                <w:spacing w:val="0"/>
              </w:rPr>
            </w:pPr>
            <w:r w:rsidRPr="001C6878">
              <w:rPr>
                <w:color w:val="333333"/>
                <w:spacing w:val="0"/>
              </w:rPr>
              <w:t>668</w:t>
            </w:r>
          </w:p>
        </w:tc>
        <w:tc>
          <w:tcPr>
            <w:tcW w:w="1620" w:type="dxa"/>
          </w:tcPr>
          <w:p w:rsidR="001C6878" w:rsidRPr="001C6878" w:rsidRDefault="001C6878" w:rsidP="006A7449">
            <w:pPr>
              <w:tabs>
                <w:tab w:val="left" w:pos="5040"/>
                <w:tab w:val="left" w:pos="6840"/>
              </w:tabs>
              <w:jc w:val="right"/>
              <w:rPr>
                <w:color w:val="333333"/>
                <w:spacing w:val="0"/>
              </w:rPr>
            </w:pPr>
            <w:r w:rsidRPr="001C6878">
              <w:rPr>
                <w:color w:val="333333"/>
                <w:spacing w:val="0"/>
              </w:rPr>
              <w:t>380</w:t>
            </w:r>
          </w:p>
        </w:tc>
      </w:tr>
      <w:tr w:rsidR="001C6878" w:rsidRPr="001C6878" w:rsidTr="006A7449">
        <w:tc>
          <w:tcPr>
            <w:tcW w:w="5760" w:type="dxa"/>
          </w:tcPr>
          <w:p w:rsidR="001C6878" w:rsidRPr="001C6878" w:rsidRDefault="001C6878" w:rsidP="006A7449">
            <w:pPr>
              <w:tabs>
                <w:tab w:val="left" w:pos="5040"/>
                <w:tab w:val="left" w:pos="6840"/>
              </w:tabs>
              <w:jc w:val="left"/>
              <w:rPr>
                <w:color w:val="333333"/>
                <w:spacing w:val="0"/>
              </w:rPr>
            </w:pPr>
            <w:r w:rsidRPr="001C6878">
              <w:rPr>
                <w:color w:val="333333"/>
                <w:spacing w:val="0"/>
              </w:rPr>
              <w:t>Youth Transition Services</w:t>
            </w:r>
          </w:p>
        </w:tc>
        <w:tc>
          <w:tcPr>
            <w:tcW w:w="1530" w:type="dxa"/>
          </w:tcPr>
          <w:p w:rsidR="001C6878" w:rsidRPr="001C6878" w:rsidRDefault="001C6878" w:rsidP="006A7449">
            <w:pPr>
              <w:tabs>
                <w:tab w:val="left" w:pos="5040"/>
                <w:tab w:val="left" w:pos="6840"/>
              </w:tabs>
              <w:jc w:val="right"/>
              <w:rPr>
                <w:color w:val="333333"/>
                <w:spacing w:val="0"/>
              </w:rPr>
            </w:pPr>
            <w:r w:rsidRPr="001C6878">
              <w:rPr>
                <w:color w:val="333333"/>
                <w:spacing w:val="0"/>
              </w:rPr>
              <w:t>503</w:t>
            </w:r>
          </w:p>
        </w:tc>
        <w:tc>
          <w:tcPr>
            <w:tcW w:w="1620" w:type="dxa"/>
          </w:tcPr>
          <w:p w:rsidR="001C6878" w:rsidRPr="001C6878" w:rsidRDefault="001C6878" w:rsidP="006A7449">
            <w:pPr>
              <w:tabs>
                <w:tab w:val="left" w:pos="5040"/>
                <w:tab w:val="left" w:pos="6840"/>
              </w:tabs>
              <w:jc w:val="right"/>
              <w:rPr>
                <w:color w:val="333333"/>
                <w:spacing w:val="0"/>
              </w:rPr>
            </w:pPr>
            <w:r w:rsidRPr="001C6878">
              <w:rPr>
                <w:color w:val="333333"/>
                <w:spacing w:val="0"/>
              </w:rPr>
              <w:t>487</w:t>
            </w:r>
          </w:p>
        </w:tc>
      </w:tr>
      <w:tr w:rsidR="001C6878" w:rsidRPr="001C6878" w:rsidTr="006A7449">
        <w:tc>
          <w:tcPr>
            <w:tcW w:w="5760" w:type="dxa"/>
          </w:tcPr>
          <w:p w:rsidR="001C6878" w:rsidRPr="001C6878" w:rsidRDefault="001C6878" w:rsidP="006A7449">
            <w:pPr>
              <w:tabs>
                <w:tab w:val="left" w:pos="5040"/>
                <w:tab w:val="left" w:pos="6840"/>
              </w:tabs>
              <w:jc w:val="left"/>
              <w:rPr>
                <w:color w:val="333333"/>
                <w:spacing w:val="0"/>
              </w:rPr>
            </w:pPr>
            <w:r w:rsidRPr="001C6878">
              <w:rPr>
                <w:color w:val="333333"/>
                <w:spacing w:val="0"/>
              </w:rPr>
              <w:t>Transportation Services</w:t>
            </w:r>
          </w:p>
        </w:tc>
        <w:tc>
          <w:tcPr>
            <w:tcW w:w="1530" w:type="dxa"/>
          </w:tcPr>
          <w:p w:rsidR="001C6878" w:rsidRPr="001C6878" w:rsidRDefault="001C6878" w:rsidP="006A7449">
            <w:pPr>
              <w:tabs>
                <w:tab w:val="left" w:pos="5040"/>
                <w:tab w:val="left" w:pos="6840"/>
              </w:tabs>
              <w:jc w:val="right"/>
              <w:rPr>
                <w:color w:val="333333"/>
                <w:spacing w:val="0"/>
              </w:rPr>
            </w:pPr>
            <w:r w:rsidRPr="001C6878">
              <w:rPr>
                <w:color w:val="333333"/>
                <w:spacing w:val="0"/>
              </w:rPr>
              <w:t>262</w:t>
            </w:r>
          </w:p>
        </w:tc>
        <w:tc>
          <w:tcPr>
            <w:tcW w:w="1620" w:type="dxa"/>
          </w:tcPr>
          <w:p w:rsidR="001C6878" w:rsidRPr="001C6878" w:rsidRDefault="001C6878" w:rsidP="006A7449">
            <w:pPr>
              <w:tabs>
                <w:tab w:val="left" w:pos="5040"/>
                <w:tab w:val="left" w:pos="6840"/>
              </w:tabs>
              <w:jc w:val="right"/>
              <w:rPr>
                <w:color w:val="333333"/>
                <w:spacing w:val="0"/>
              </w:rPr>
            </w:pPr>
            <w:r w:rsidRPr="001C6878">
              <w:rPr>
                <w:color w:val="333333"/>
                <w:spacing w:val="0"/>
              </w:rPr>
              <w:t>241</w:t>
            </w:r>
          </w:p>
        </w:tc>
      </w:tr>
      <w:tr w:rsidR="001C6878" w:rsidRPr="001C6878" w:rsidTr="006A7449">
        <w:tc>
          <w:tcPr>
            <w:tcW w:w="5760" w:type="dxa"/>
          </w:tcPr>
          <w:p w:rsidR="001C6878" w:rsidRPr="001C6878" w:rsidRDefault="001C6878" w:rsidP="006A7449">
            <w:pPr>
              <w:tabs>
                <w:tab w:val="left" w:pos="5040"/>
                <w:tab w:val="left" w:pos="6840"/>
              </w:tabs>
              <w:jc w:val="left"/>
              <w:rPr>
                <w:color w:val="333333"/>
                <w:spacing w:val="0"/>
              </w:rPr>
            </w:pPr>
            <w:r w:rsidRPr="001C6878">
              <w:rPr>
                <w:color w:val="333333"/>
                <w:spacing w:val="0"/>
              </w:rPr>
              <w:t>Other – Intake, Service Coordination, Options Counseling, etc.</w:t>
            </w:r>
          </w:p>
        </w:tc>
        <w:tc>
          <w:tcPr>
            <w:tcW w:w="1530" w:type="dxa"/>
          </w:tcPr>
          <w:p w:rsidR="001C6878" w:rsidRPr="001C6878" w:rsidRDefault="001C6878" w:rsidP="006A7449">
            <w:pPr>
              <w:tabs>
                <w:tab w:val="left" w:pos="5040"/>
                <w:tab w:val="left" w:pos="6840"/>
              </w:tabs>
              <w:jc w:val="right"/>
              <w:rPr>
                <w:color w:val="333333"/>
                <w:spacing w:val="0"/>
              </w:rPr>
            </w:pPr>
            <w:r w:rsidRPr="001C6878">
              <w:rPr>
                <w:color w:val="333333"/>
                <w:spacing w:val="0"/>
              </w:rPr>
              <w:t>9,950</w:t>
            </w:r>
          </w:p>
        </w:tc>
        <w:tc>
          <w:tcPr>
            <w:tcW w:w="1620" w:type="dxa"/>
          </w:tcPr>
          <w:p w:rsidR="001C6878" w:rsidRPr="001C6878" w:rsidRDefault="001C6878" w:rsidP="006A7449">
            <w:pPr>
              <w:tabs>
                <w:tab w:val="left" w:pos="5040"/>
                <w:tab w:val="left" w:pos="6840"/>
              </w:tabs>
              <w:jc w:val="right"/>
              <w:rPr>
                <w:color w:val="333333"/>
                <w:spacing w:val="0"/>
              </w:rPr>
            </w:pPr>
            <w:r w:rsidRPr="001C6878">
              <w:rPr>
                <w:color w:val="333333"/>
                <w:spacing w:val="0"/>
              </w:rPr>
              <w:t>9,897</w:t>
            </w:r>
          </w:p>
        </w:tc>
      </w:tr>
    </w:tbl>
    <w:p w:rsidR="001C6878" w:rsidRPr="001C6878" w:rsidRDefault="001C6878" w:rsidP="001C6878">
      <w:pPr>
        <w:tabs>
          <w:tab w:val="left" w:pos="5040"/>
          <w:tab w:val="left" w:pos="6840"/>
        </w:tabs>
        <w:ind w:left="1440" w:hanging="1440"/>
        <w:jc w:val="left"/>
        <w:rPr>
          <w:color w:val="333333"/>
          <w:spacing w:val="0"/>
          <w:sz w:val="22"/>
          <w:szCs w:val="22"/>
        </w:rPr>
      </w:pPr>
    </w:p>
    <w:p w:rsidR="001C6878" w:rsidRPr="001C6878" w:rsidRDefault="001C6878" w:rsidP="001C6878">
      <w:pPr>
        <w:tabs>
          <w:tab w:val="left" w:pos="5040"/>
          <w:tab w:val="left" w:pos="6840"/>
        </w:tabs>
        <w:ind w:left="1440" w:hanging="1440"/>
        <w:jc w:val="left"/>
        <w:rPr>
          <w:spacing w:val="0"/>
        </w:rPr>
      </w:pPr>
      <w:r w:rsidRPr="001C6878">
        <w:rPr>
          <w:color w:val="333333"/>
          <w:spacing w:val="0"/>
          <w:sz w:val="22"/>
          <w:szCs w:val="22"/>
        </w:rPr>
        <w:tab/>
      </w:r>
    </w:p>
    <w:p w:rsidR="001C6878" w:rsidRPr="001C6878" w:rsidRDefault="001C6878" w:rsidP="001C6878">
      <w:pPr>
        <w:tabs>
          <w:tab w:val="left" w:pos="5040"/>
        </w:tabs>
        <w:jc w:val="left"/>
        <w:rPr>
          <w:iCs/>
          <w:spacing w:val="0"/>
          <w:sz w:val="22"/>
          <w:szCs w:val="22"/>
        </w:rPr>
      </w:pPr>
      <w:r w:rsidRPr="001C6878">
        <w:rPr>
          <w:iCs/>
          <w:spacing w:val="0"/>
          <w:sz w:val="22"/>
          <w:szCs w:val="22"/>
        </w:rPr>
        <w:t>Assisting individuals to transition from institutions to the community is an integral element of the ILCs mission.  In FFY15 the total number of consumers assisted with this goal were:</w:t>
      </w:r>
    </w:p>
    <w:p w:rsidR="001C6878" w:rsidRPr="001C6878" w:rsidRDefault="001C6878" w:rsidP="001C6878">
      <w:pPr>
        <w:tabs>
          <w:tab w:val="left" w:pos="5040"/>
        </w:tabs>
        <w:jc w:val="left"/>
        <w:rPr>
          <w:iCs/>
          <w:spacing w:val="0"/>
        </w:rPr>
      </w:pPr>
    </w:p>
    <w:tbl>
      <w:tblPr>
        <w:tblStyle w:val="TableGrid"/>
        <w:tblW w:w="0" w:type="auto"/>
        <w:tblInd w:w="715" w:type="dxa"/>
        <w:tblLayout w:type="fixed"/>
        <w:tblLook w:val="04A0" w:firstRow="1" w:lastRow="0" w:firstColumn="1" w:lastColumn="0" w:noHBand="0" w:noVBand="1"/>
      </w:tblPr>
      <w:tblGrid>
        <w:gridCol w:w="2700"/>
        <w:gridCol w:w="2790"/>
        <w:gridCol w:w="2430"/>
      </w:tblGrid>
      <w:tr w:rsidR="001C6878" w:rsidRPr="001C6878" w:rsidTr="001C6878">
        <w:trPr>
          <w:trHeight w:val="503"/>
        </w:trPr>
        <w:tc>
          <w:tcPr>
            <w:tcW w:w="7920" w:type="dxa"/>
            <w:gridSpan w:val="3"/>
            <w:shd w:val="clear" w:color="auto" w:fill="C6D9F1" w:themeFill="text2" w:themeFillTint="33"/>
            <w:vAlign w:val="bottom"/>
          </w:tcPr>
          <w:p w:rsidR="001C6878" w:rsidRPr="001C6878" w:rsidRDefault="001C6878" w:rsidP="006A7449">
            <w:pPr>
              <w:tabs>
                <w:tab w:val="left" w:pos="5040"/>
                <w:tab w:val="left" w:pos="6840"/>
              </w:tabs>
              <w:ind w:left="1440" w:hanging="1440"/>
              <w:jc w:val="left"/>
              <w:rPr>
                <w:b/>
                <w:color w:val="333333"/>
                <w:spacing w:val="0"/>
              </w:rPr>
            </w:pPr>
            <w:r w:rsidRPr="001C6878">
              <w:rPr>
                <w:b/>
                <w:color w:val="333333"/>
                <w:spacing w:val="0"/>
              </w:rPr>
              <w:t xml:space="preserve">Relocation from a Nursing Home or Institution to Community-Based Living  </w:t>
            </w:r>
          </w:p>
        </w:tc>
      </w:tr>
      <w:tr w:rsidR="001C6878" w:rsidRPr="001C6878" w:rsidTr="001C6878">
        <w:trPr>
          <w:trHeight w:val="502"/>
        </w:trPr>
        <w:tc>
          <w:tcPr>
            <w:tcW w:w="2700" w:type="dxa"/>
            <w:shd w:val="clear" w:color="auto" w:fill="C6D9F1" w:themeFill="text2" w:themeFillTint="33"/>
            <w:vAlign w:val="bottom"/>
          </w:tcPr>
          <w:p w:rsidR="001C6878" w:rsidRPr="001C6878" w:rsidRDefault="001C6878" w:rsidP="006A7449">
            <w:pPr>
              <w:tabs>
                <w:tab w:val="left" w:pos="5040"/>
                <w:tab w:val="left" w:pos="6840"/>
              </w:tabs>
              <w:jc w:val="left"/>
              <w:rPr>
                <w:b/>
                <w:color w:val="333333"/>
                <w:spacing w:val="0"/>
              </w:rPr>
            </w:pPr>
            <w:r w:rsidRPr="001C6878">
              <w:rPr>
                <w:b/>
                <w:color w:val="333333"/>
                <w:spacing w:val="0"/>
              </w:rPr>
              <w:t>Goal Set</w:t>
            </w:r>
          </w:p>
        </w:tc>
        <w:tc>
          <w:tcPr>
            <w:tcW w:w="2790" w:type="dxa"/>
            <w:shd w:val="clear" w:color="auto" w:fill="C6D9F1" w:themeFill="text2" w:themeFillTint="33"/>
            <w:vAlign w:val="bottom"/>
          </w:tcPr>
          <w:p w:rsidR="001C6878" w:rsidRPr="001C6878" w:rsidRDefault="001C6878" w:rsidP="006A7449">
            <w:pPr>
              <w:tabs>
                <w:tab w:val="left" w:pos="5040"/>
                <w:tab w:val="left" w:pos="6840"/>
              </w:tabs>
              <w:ind w:left="1440" w:hanging="1440"/>
              <w:jc w:val="left"/>
              <w:rPr>
                <w:b/>
                <w:color w:val="333333"/>
                <w:spacing w:val="0"/>
              </w:rPr>
            </w:pPr>
            <w:r w:rsidRPr="001C6878">
              <w:rPr>
                <w:b/>
                <w:color w:val="333333"/>
                <w:spacing w:val="0"/>
              </w:rPr>
              <w:t>Goal Achieved</w:t>
            </w:r>
          </w:p>
        </w:tc>
        <w:tc>
          <w:tcPr>
            <w:tcW w:w="2430" w:type="dxa"/>
            <w:shd w:val="clear" w:color="auto" w:fill="C6D9F1" w:themeFill="text2" w:themeFillTint="33"/>
            <w:vAlign w:val="bottom"/>
          </w:tcPr>
          <w:p w:rsidR="001C6878" w:rsidRPr="001C6878" w:rsidRDefault="001C6878" w:rsidP="006A7449">
            <w:pPr>
              <w:tabs>
                <w:tab w:val="left" w:pos="5040"/>
                <w:tab w:val="left" w:pos="6840"/>
              </w:tabs>
              <w:ind w:left="1440" w:hanging="1440"/>
              <w:jc w:val="left"/>
              <w:rPr>
                <w:b/>
                <w:color w:val="333333"/>
                <w:spacing w:val="0"/>
              </w:rPr>
            </w:pPr>
            <w:r w:rsidRPr="001C6878">
              <w:rPr>
                <w:b/>
                <w:color w:val="333333"/>
                <w:spacing w:val="0"/>
              </w:rPr>
              <w:t>In Progress</w:t>
            </w:r>
          </w:p>
        </w:tc>
      </w:tr>
      <w:tr w:rsidR="001C6878" w:rsidRPr="001C6878" w:rsidTr="006A7449">
        <w:tc>
          <w:tcPr>
            <w:tcW w:w="2700" w:type="dxa"/>
            <w:vAlign w:val="center"/>
          </w:tcPr>
          <w:p w:rsidR="001C6878" w:rsidRPr="001C6878" w:rsidRDefault="001C6878" w:rsidP="006A7449">
            <w:pPr>
              <w:tabs>
                <w:tab w:val="left" w:pos="5040"/>
                <w:tab w:val="left" w:pos="6840"/>
              </w:tabs>
              <w:jc w:val="center"/>
              <w:rPr>
                <w:color w:val="333333"/>
                <w:spacing w:val="0"/>
              </w:rPr>
            </w:pPr>
            <w:r w:rsidRPr="001C6878">
              <w:rPr>
                <w:color w:val="333333"/>
                <w:spacing w:val="0"/>
              </w:rPr>
              <w:t>713</w:t>
            </w:r>
          </w:p>
        </w:tc>
        <w:tc>
          <w:tcPr>
            <w:tcW w:w="2790" w:type="dxa"/>
            <w:vAlign w:val="center"/>
          </w:tcPr>
          <w:p w:rsidR="001C6878" w:rsidRPr="001C6878" w:rsidRDefault="001C6878" w:rsidP="006A7449">
            <w:pPr>
              <w:tabs>
                <w:tab w:val="left" w:pos="5040"/>
                <w:tab w:val="left" w:pos="6840"/>
              </w:tabs>
              <w:jc w:val="center"/>
              <w:rPr>
                <w:color w:val="333333"/>
                <w:spacing w:val="0"/>
              </w:rPr>
            </w:pPr>
            <w:r w:rsidRPr="001C6878">
              <w:rPr>
                <w:color w:val="333333"/>
                <w:spacing w:val="0"/>
              </w:rPr>
              <w:t>228</w:t>
            </w:r>
          </w:p>
        </w:tc>
        <w:tc>
          <w:tcPr>
            <w:tcW w:w="2430" w:type="dxa"/>
            <w:vAlign w:val="center"/>
          </w:tcPr>
          <w:p w:rsidR="001C6878" w:rsidRPr="001C6878" w:rsidRDefault="001C6878" w:rsidP="006A7449">
            <w:pPr>
              <w:tabs>
                <w:tab w:val="left" w:pos="5040"/>
                <w:tab w:val="left" w:pos="6840"/>
              </w:tabs>
              <w:jc w:val="center"/>
              <w:rPr>
                <w:color w:val="333333"/>
                <w:spacing w:val="0"/>
              </w:rPr>
            </w:pPr>
            <w:r w:rsidRPr="001C6878">
              <w:rPr>
                <w:color w:val="333333"/>
                <w:spacing w:val="0"/>
              </w:rPr>
              <w:t>365</w:t>
            </w:r>
          </w:p>
        </w:tc>
      </w:tr>
    </w:tbl>
    <w:p w:rsidR="001C6878" w:rsidRPr="001C6878" w:rsidRDefault="001C6878" w:rsidP="001C6878">
      <w:pPr>
        <w:tabs>
          <w:tab w:val="left" w:pos="5040"/>
        </w:tabs>
        <w:jc w:val="left"/>
        <w:rPr>
          <w:iCs/>
          <w:spacing w:val="0"/>
          <w:highlight w:val="yellow"/>
        </w:rPr>
      </w:pPr>
    </w:p>
    <w:p w:rsidR="001C6878" w:rsidRPr="001C6878" w:rsidRDefault="001C6878" w:rsidP="001C6878">
      <w:pPr>
        <w:tabs>
          <w:tab w:val="left" w:pos="5040"/>
        </w:tabs>
        <w:jc w:val="left"/>
        <w:rPr>
          <w:iCs/>
          <w:spacing w:val="0"/>
          <w:highlight w:val="yellow"/>
        </w:rPr>
      </w:pPr>
    </w:p>
    <w:p w:rsidR="001C6878" w:rsidRPr="001C6878" w:rsidRDefault="001C6878" w:rsidP="001C6878">
      <w:pPr>
        <w:tabs>
          <w:tab w:val="left" w:pos="5040"/>
        </w:tabs>
        <w:jc w:val="left"/>
        <w:rPr>
          <w:iCs/>
          <w:spacing w:val="0"/>
          <w:sz w:val="22"/>
          <w:szCs w:val="22"/>
        </w:rPr>
      </w:pPr>
      <w:r w:rsidRPr="001C6878">
        <w:rPr>
          <w:iCs/>
          <w:spacing w:val="0"/>
          <w:sz w:val="22"/>
          <w:szCs w:val="22"/>
        </w:rPr>
        <w:t>The Independent Living Centers assist individuals with identifying and working towards other personal goals, which are identified in each individual’s Independent Living Plan.  The types of goals and achievements during FFY15 were as follows:</w:t>
      </w:r>
    </w:p>
    <w:p w:rsidR="001C6878" w:rsidRPr="001C6878" w:rsidRDefault="001C6878" w:rsidP="001C6878">
      <w:pPr>
        <w:tabs>
          <w:tab w:val="left" w:pos="5040"/>
        </w:tabs>
        <w:jc w:val="left"/>
        <w:rPr>
          <w:i/>
          <w:iCs/>
          <w:spacing w:val="0"/>
          <w:highlight w:val="yellow"/>
        </w:rPr>
      </w:pPr>
    </w:p>
    <w:tbl>
      <w:tblPr>
        <w:tblStyle w:val="TableGrid"/>
        <w:tblW w:w="0" w:type="auto"/>
        <w:tblInd w:w="-5" w:type="dxa"/>
        <w:tblLook w:val="04A0" w:firstRow="1" w:lastRow="0" w:firstColumn="1" w:lastColumn="0" w:noHBand="0" w:noVBand="1"/>
      </w:tblPr>
      <w:tblGrid>
        <w:gridCol w:w="4950"/>
        <w:gridCol w:w="1440"/>
        <w:gridCol w:w="1440"/>
        <w:gridCol w:w="1525"/>
      </w:tblGrid>
      <w:tr w:rsidR="001C6878" w:rsidRPr="001C6878" w:rsidTr="001C6878">
        <w:tc>
          <w:tcPr>
            <w:tcW w:w="4950" w:type="dxa"/>
            <w:shd w:val="clear" w:color="auto" w:fill="C6D9F1" w:themeFill="text2" w:themeFillTint="33"/>
            <w:vAlign w:val="bottom"/>
          </w:tcPr>
          <w:p w:rsidR="001C6878" w:rsidRPr="001C6878" w:rsidRDefault="001C6878" w:rsidP="006A7449">
            <w:pPr>
              <w:tabs>
                <w:tab w:val="left" w:pos="5040"/>
                <w:tab w:val="left" w:pos="6840"/>
              </w:tabs>
              <w:jc w:val="left"/>
              <w:rPr>
                <w:b/>
                <w:color w:val="333333"/>
                <w:spacing w:val="0"/>
              </w:rPr>
            </w:pPr>
            <w:r w:rsidRPr="001C6878">
              <w:rPr>
                <w:b/>
                <w:color w:val="333333"/>
                <w:spacing w:val="0"/>
              </w:rPr>
              <w:t>Significant Life Area</w:t>
            </w:r>
          </w:p>
        </w:tc>
        <w:tc>
          <w:tcPr>
            <w:tcW w:w="1440" w:type="dxa"/>
            <w:shd w:val="clear" w:color="auto" w:fill="C6D9F1" w:themeFill="text2" w:themeFillTint="33"/>
            <w:vAlign w:val="bottom"/>
          </w:tcPr>
          <w:p w:rsidR="001C6878" w:rsidRPr="001C6878" w:rsidRDefault="001C6878" w:rsidP="006A7449">
            <w:pPr>
              <w:tabs>
                <w:tab w:val="left" w:pos="5040"/>
                <w:tab w:val="left" w:pos="6840"/>
              </w:tabs>
              <w:jc w:val="left"/>
              <w:rPr>
                <w:b/>
                <w:color w:val="333333"/>
                <w:spacing w:val="0"/>
              </w:rPr>
            </w:pPr>
            <w:r w:rsidRPr="001C6878">
              <w:rPr>
                <w:b/>
                <w:color w:val="333333"/>
                <w:spacing w:val="0"/>
              </w:rPr>
              <w:t>Goals Set</w:t>
            </w:r>
          </w:p>
        </w:tc>
        <w:tc>
          <w:tcPr>
            <w:tcW w:w="1440" w:type="dxa"/>
            <w:shd w:val="clear" w:color="auto" w:fill="C6D9F1" w:themeFill="text2" w:themeFillTint="33"/>
            <w:vAlign w:val="bottom"/>
          </w:tcPr>
          <w:p w:rsidR="001C6878" w:rsidRPr="001C6878" w:rsidRDefault="001C6878" w:rsidP="006A7449">
            <w:pPr>
              <w:tabs>
                <w:tab w:val="left" w:pos="5040"/>
                <w:tab w:val="left" w:pos="6840"/>
              </w:tabs>
              <w:jc w:val="left"/>
              <w:rPr>
                <w:b/>
                <w:color w:val="333333"/>
                <w:spacing w:val="0"/>
              </w:rPr>
            </w:pPr>
            <w:r w:rsidRPr="001C6878">
              <w:rPr>
                <w:b/>
                <w:color w:val="333333"/>
                <w:spacing w:val="0"/>
              </w:rPr>
              <w:t>Goals Achieved</w:t>
            </w:r>
          </w:p>
        </w:tc>
        <w:tc>
          <w:tcPr>
            <w:tcW w:w="1525" w:type="dxa"/>
            <w:shd w:val="clear" w:color="auto" w:fill="C6D9F1" w:themeFill="text2" w:themeFillTint="33"/>
            <w:vAlign w:val="bottom"/>
          </w:tcPr>
          <w:p w:rsidR="001C6878" w:rsidRPr="001C6878" w:rsidRDefault="001C6878" w:rsidP="006A7449">
            <w:pPr>
              <w:tabs>
                <w:tab w:val="left" w:pos="5040"/>
                <w:tab w:val="left" w:pos="6840"/>
              </w:tabs>
              <w:jc w:val="left"/>
              <w:rPr>
                <w:b/>
                <w:color w:val="333333"/>
                <w:spacing w:val="0"/>
              </w:rPr>
            </w:pPr>
            <w:r w:rsidRPr="001C6878">
              <w:rPr>
                <w:b/>
                <w:color w:val="333333"/>
                <w:spacing w:val="0"/>
              </w:rPr>
              <w:t>In Progress</w:t>
            </w:r>
          </w:p>
        </w:tc>
      </w:tr>
      <w:tr w:rsidR="001C6878" w:rsidRPr="001C6878" w:rsidTr="006A7449">
        <w:tc>
          <w:tcPr>
            <w:tcW w:w="4950" w:type="dxa"/>
          </w:tcPr>
          <w:p w:rsidR="001C6878" w:rsidRPr="001C6878" w:rsidRDefault="001C6878" w:rsidP="006A7449">
            <w:pPr>
              <w:tabs>
                <w:tab w:val="left" w:pos="5040"/>
                <w:tab w:val="left" w:pos="6840"/>
              </w:tabs>
              <w:jc w:val="left"/>
              <w:rPr>
                <w:color w:val="333333"/>
                <w:spacing w:val="0"/>
              </w:rPr>
            </w:pPr>
            <w:r w:rsidRPr="001C6878">
              <w:rPr>
                <w:color w:val="333333"/>
                <w:spacing w:val="0"/>
              </w:rPr>
              <w:t>Self-Advocacy/Self-Empowerment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1,400</w:t>
            </w:r>
          </w:p>
        </w:tc>
        <w:tc>
          <w:tcPr>
            <w:tcW w:w="1440" w:type="dxa"/>
            <w:tcBorders>
              <w:top w:val="single" w:sz="4" w:space="0" w:color="auto"/>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454</w:t>
            </w:r>
          </w:p>
        </w:tc>
        <w:tc>
          <w:tcPr>
            <w:tcW w:w="1525" w:type="dxa"/>
            <w:tcBorders>
              <w:top w:val="single" w:sz="4" w:space="0" w:color="auto"/>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886</w:t>
            </w:r>
          </w:p>
        </w:tc>
      </w:tr>
      <w:tr w:rsidR="001C6878" w:rsidRPr="001C6878" w:rsidTr="006A7449">
        <w:tc>
          <w:tcPr>
            <w:tcW w:w="4950" w:type="dxa"/>
          </w:tcPr>
          <w:p w:rsidR="001C6878" w:rsidRPr="001C6878" w:rsidRDefault="001C6878" w:rsidP="006A7449">
            <w:pPr>
              <w:tabs>
                <w:tab w:val="left" w:pos="5040"/>
                <w:tab w:val="left" w:pos="6840"/>
              </w:tabs>
              <w:jc w:val="left"/>
              <w:rPr>
                <w:color w:val="333333"/>
                <w:spacing w:val="0"/>
              </w:rPr>
            </w:pPr>
            <w:r w:rsidRPr="001C6878">
              <w:rPr>
                <w:color w:val="333333"/>
                <w:spacing w:val="0"/>
              </w:rPr>
              <w:t>Communication</w:t>
            </w:r>
          </w:p>
        </w:tc>
        <w:tc>
          <w:tcPr>
            <w:tcW w:w="1440" w:type="dxa"/>
            <w:tcBorders>
              <w:top w:val="nil"/>
              <w:left w:val="single" w:sz="4" w:space="0" w:color="auto"/>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414</w:t>
            </w:r>
          </w:p>
        </w:tc>
        <w:tc>
          <w:tcPr>
            <w:tcW w:w="1440"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131</w:t>
            </w:r>
          </w:p>
        </w:tc>
        <w:tc>
          <w:tcPr>
            <w:tcW w:w="1525"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256</w:t>
            </w:r>
          </w:p>
        </w:tc>
      </w:tr>
      <w:tr w:rsidR="001C6878" w:rsidRPr="001C6878" w:rsidTr="006A7449">
        <w:tc>
          <w:tcPr>
            <w:tcW w:w="4950" w:type="dxa"/>
          </w:tcPr>
          <w:p w:rsidR="001C6878" w:rsidRPr="001C6878" w:rsidRDefault="001C6878" w:rsidP="006A7449">
            <w:pPr>
              <w:tabs>
                <w:tab w:val="left" w:pos="5040"/>
                <w:tab w:val="left" w:pos="6840"/>
              </w:tabs>
              <w:jc w:val="left"/>
              <w:rPr>
                <w:color w:val="333333"/>
                <w:spacing w:val="0"/>
              </w:rPr>
            </w:pPr>
            <w:r w:rsidRPr="001C6878">
              <w:rPr>
                <w:color w:val="333333"/>
                <w:spacing w:val="0"/>
              </w:rPr>
              <w:t xml:space="preserve">Mobility/Transportation </w:t>
            </w:r>
          </w:p>
        </w:tc>
        <w:tc>
          <w:tcPr>
            <w:tcW w:w="1440" w:type="dxa"/>
            <w:tcBorders>
              <w:top w:val="nil"/>
              <w:left w:val="single" w:sz="4" w:space="0" w:color="auto"/>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811</w:t>
            </w:r>
          </w:p>
        </w:tc>
        <w:tc>
          <w:tcPr>
            <w:tcW w:w="1440"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230</w:t>
            </w:r>
          </w:p>
        </w:tc>
        <w:tc>
          <w:tcPr>
            <w:tcW w:w="1525"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505</w:t>
            </w:r>
          </w:p>
        </w:tc>
      </w:tr>
      <w:tr w:rsidR="001C6878" w:rsidRPr="001C6878" w:rsidTr="006A7449">
        <w:tc>
          <w:tcPr>
            <w:tcW w:w="4950" w:type="dxa"/>
          </w:tcPr>
          <w:p w:rsidR="001C6878" w:rsidRPr="001C6878" w:rsidRDefault="001C6878" w:rsidP="006A7449">
            <w:pPr>
              <w:tabs>
                <w:tab w:val="left" w:pos="5040"/>
                <w:tab w:val="left" w:pos="6840"/>
              </w:tabs>
              <w:jc w:val="left"/>
              <w:rPr>
                <w:color w:val="333333"/>
                <w:spacing w:val="0"/>
              </w:rPr>
            </w:pPr>
            <w:r w:rsidRPr="001C6878">
              <w:rPr>
                <w:color w:val="333333"/>
                <w:spacing w:val="0"/>
              </w:rPr>
              <w:t>Community-Based Living</w:t>
            </w:r>
          </w:p>
        </w:tc>
        <w:tc>
          <w:tcPr>
            <w:tcW w:w="1440" w:type="dxa"/>
            <w:tcBorders>
              <w:top w:val="nil"/>
              <w:left w:val="single" w:sz="4" w:space="0" w:color="auto"/>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1,241</w:t>
            </w:r>
          </w:p>
        </w:tc>
        <w:tc>
          <w:tcPr>
            <w:tcW w:w="1440"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575</w:t>
            </w:r>
          </w:p>
        </w:tc>
        <w:tc>
          <w:tcPr>
            <w:tcW w:w="1525"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688</w:t>
            </w:r>
          </w:p>
        </w:tc>
      </w:tr>
      <w:tr w:rsidR="001C6878" w:rsidRPr="001C6878" w:rsidTr="006A7449">
        <w:tc>
          <w:tcPr>
            <w:tcW w:w="4950" w:type="dxa"/>
          </w:tcPr>
          <w:p w:rsidR="001C6878" w:rsidRPr="001C6878" w:rsidRDefault="001C6878" w:rsidP="006A7449">
            <w:pPr>
              <w:tabs>
                <w:tab w:val="left" w:pos="5040"/>
                <w:tab w:val="left" w:pos="6840"/>
              </w:tabs>
              <w:jc w:val="left"/>
              <w:rPr>
                <w:color w:val="333333"/>
                <w:spacing w:val="0"/>
              </w:rPr>
            </w:pPr>
            <w:r w:rsidRPr="001C6878">
              <w:rPr>
                <w:color w:val="333333"/>
                <w:spacing w:val="0"/>
              </w:rPr>
              <w:t>Educational</w:t>
            </w:r>
          </w:p>
        </w:tc>
        <w:tc>
          <w:tcPr>
            <w:tcW w:w="1440" w:type="dxa"/>
            <w:tcBorders>
              <w:top w:val="nil"/>
              <w:left w:val="single" w:sz="4" w:space="0" w:color="auto"/>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719</w:t>
            </w:r>
          </w:p>
        </w:tc>
        <w:tc>
          <w:tcPr>
            <w:tcW w:w="1440"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210</w:t>
            </w:r>
          </w:p>
        </w:tc>
        <w:tc>
          <w:tcPr>
            <w:tcW w:w="1525"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458</w:t>
            </w:r>
          </w:p>
        </w:tc>
      </w:tr>
      <w:tr w:rsidR="001C6878" w:rsidRPr="001C6878" w:rsidTr="006A7449">
        <w:tc>
          <w:tcPr>
            <w:tcW w:w="4950" w:type="dxa"/>
          </w:tcPr>
          <w:p w:rsidR="001C6878" w:rsidRPr="001C6878" w:rsidRDefault="001C6878" w:rsidP="006A7449">
            <w:pPr>
              <w:tabs>
                <w:tab w:val="left" w:pos="5040"/>
                <w:tab w:val="left" w:pos="6840"/>
              </w:tabs>
              <w:jc w:val="left"/>
              <w:rPr>
                <w:color w:val="333333"/>
                <w:spacing w:val="0"/>
              </w:rPr>
            </w:pPr>
            <w:r w:rsidRPr="001C6878">
              <w:rPr>
                <w:color w:val="333333"/>
                <w:spacing w:val="0"/>
              </w:rPr>
              <w:t>Vocational</w:t>
            </w:r>
          </w:p>
        </w:tc>
        <w:tc>
          <w:tcPr>
            <w:tcW w:w="1440" w:type="dxa"/>
            <w:tcBorders>
              <w:top w:val="nil"/>
              <w:left w:val="single" w:sz="4" w:space="0" w:color="auto"/>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893</w:t>
            </w:r>
          </w:p>
        </w:tc>
        <w:tc>
          <w:tcPr>
            <w:tcW w:w="1440"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241</w:t>
            </w:r>
          </w:p>
        </w:tc>
        <w:tc>
          <w:tcPr>
            <w:tcW w:w="1525"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579</w:t>
            </w:r>
          </w:p>
        </w:tc>
      </w:tr>
      <w:tr w:rsidR="001C6878" w:rsidRPr="001C6878" w:rsidTr="006A7449">
        <w:tc>
          <w:tcPr>
            <w:tcW w:w="4950" w:type="dxa"/>
          </w:tcPr>
          <w:p w:rsidR="001C6878" w:rsidRPr="001C6878" w:rsidRDefault="001C6878" w:rsidP="006A7449">
            <w:pPr>
              <w:tabs>
                <w:tab w:val="left" w:pos="5040"/>
                <w:tab w:val="left" w:pos="6840"/>
              </w:tabs>
              <w:jc w:val="left"/>
              <w:rPr>
                <w:color w:val="333333"/>
                <w:spacing w:val="0"/>
              </w:rPr>
            </w:pPr>
            <w:r w:rsidRPr="001C6878">
              <w:rPr>
                <w:color w:val="333333"/>
                <w:spacing w:val="0"/>
              </w:rPr>
              <w:t>Self-care</w:t>
            </w:r>
          </w:p>
        </w:tc>
        <w:tc>
          <w:tcPr>
            <w:tcW w:w="1440" w:type="dxa"/>
            <w:tcBorders>
              <w:top w:val="nil"/>
              <w:left w:val="single" w:sz="4" w:space="0" w:color="auto"/>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12,400</w:t>
            </w:r>
          </w:p>
        </w:tc>
        <w:tc>
          <w:tcPr>
            <w:tcW w:w="1440"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7,067</w:t>
            </w:r>
          </w:p>
        </w:tc>
        <w:tc>
          <w:tcPr>
            <w:tcW w:w="1525"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10,404</w:t>
            </w:r>
          </w:p>
        </w:tc>
      </w:tr>
      <w:tr w:rsidR="001C6878" w:rsidRPr="001C6878" w:rsidTr="006A7449">
        <w:tc>
          <w:tcPr>
            <w:tcW w:w="4950" w:type="dxa"/>
          </w:tcPr>
          <w:p w:rsidR="001C6878" w:rsidRPr="001C6878" w:rsidRDefault="001C6878" w:rsidP="006A7449">
            <w:pPr>
              <w:tabs>
                <w:tab w:val="left" w:pos="5040"/>
                <w:tab w:val="left" w:pos="6840"/>
              </w:tabs>
              <w:jc w:val="left"/>
              <w:rPr>
                <w:color w:val="333333"/>
                <w:spacing w:val="0"/>
              </w:rPr>
            </w:pPr>
            <w:r w:rsidRPr="001C6878">
              <w:rPr>
                <w:color w:val="333333"/>
                <w:spacing w:val="0"/>
              </w:rPr>
              <w:t>Information Access/Technology</w:t>
            </w:r>
          </w:p>
        </w:tc>
        <w:tc>
          <w:tcPr>
            <w:tcW w:w="1440" w:type="dxa"/>
            <w:tcBorders>
              <w:top w:val="nil"/>
              <w:left w:val="single" w:sz="4" w:space="0" w:color="auto"/>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799</w:t>
            </w:r>
          </w:p>
        </w:tc>
        <w:tc>
          <w:tcPr>
            <w:tcW w:w="1440"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310</w:t>
            </w:r>
          </w:p>
        </w:tc>
        <w:tc>
          <w:tcPr>
            <w:tcW w:w="1525"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566</w:t>
            </w:r>
          </w:p>
        </w:tc>
      </w:tr>
      <w:tr w:rsidR="001C6878" w:rsidRPr="001C6878" w:rsidTr="006A7449">
        <w:tc>
          <w:tcPr>
            <w:tcW w:w="4950" w:type="dxa"/>
          </w:tcPr>
          <w:p w:rsidR="001C6878" w:rsidRPr="001C6878" w:rsidRDefault="001C6878" w:rsidP="006A7449">
            <w:pPr>
              <w:tabs>
                <w:tab w:val="left" w:pos="5040"/>
                <w:tab w:val="left" w:pos="6840"/>
              </w:tabs>
              <w:jc w:val="left"/>
              <w:rPr>
                <w:color w:val="333333"/>
                <w:spacing w:val="0"/>
              </w:rPr>
            </w:pPr>
            <w:r w:rsidRPr="001C6878">
              <w:rPr>
                <w:color w:val="333333"/>
                <w:spacing w:val="0"/>
              </w:rPr>
              <w:t>Personal Resource Management</w:t>
            </w:r>
          </w:p>
        </w:tc>
        <w:tc>
          <w:tcPr>
            <w:tcW w:w="1440" w:type="dxa"/>
            <w:tcBorders>
              <w:top w:val="nil"/>
              <w:left w:val="single" w:sz="4" w:space="0" w:color="auto"/>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1,645</w:t>
            </w:r>
          </w:p>
        </w:tc>
        <w:tc>
          <w:tcPr>
            <w:tcW w:w="1440"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473</w:t>
            </w:r>
          </w:p>
        </w:tc>
        <w:tc>
          <w:tcPr>
            <w:tcW w:w="1525"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1,097</w:t>
            </w:r>
          </w:p>
        </w:tc>
      </w:tr>
      <w:tr w:rsidR="001C6878" w:rsidRPr="001C6878" w:rsidTr="006A7449">
        <w:tc>
          <w:tcPr>
            <w:tcW w:w="4950" w:type="dxa"/>
          </w:tcPr>
          <w:p w:rsidR="001C6878" w:rsidRPr="001C6878" w:rsidRDefault="001C6878" w:rsidP="006A7449">
            <w:pPr>
              <w:tabs>
                <w:tab w:val="left" w:pos="5040"/>
                <w:tab w:val="left" w:pos="6840"/>
              </w:tabs>
              <w:jc w:val="left"/>
              <w:rPr>
                <w:color w:val="333333"/>
                <w:spacing w:val="0"/>
              </w:rPr>
            </w:pPr>
            <w:r w:rsidRPr="001C6878">
              <w:rPr>
                <w:color w:val="333333"/>
                <w:spacing w:val="0"/>
              </w:rPr>
              <w:t>Transition from Institution to Community</w:t>
            </w:r>
          </w:p>
        </w:tc>
        <w:tc>
          <w:tcPr>
            <w:tcW w:w="1440" w:type="dxa"/>
            <w:tcBorders>
              <w:top w:val="nil"/>
              <w:left w:val="single" w:sz="4" w:space="0" w:color="auto"/>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713</w:t>
            </w:r>
          </w:p>
        </w:tc>
        <w:tc>
          <w:tcPr>
            <w:tcW w:w="1440"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228</w:t>
            </w:r>
          </w:p>
        </w:tc>
        <w:tc>
          <w:tcPr>
            <w:tcW w:w="1525"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365</w:t>
            </w:r>
          </w:p>
        </w:tc>
      </w:tr>
      <w:tr w:rsidR="001C6878" w:rsidRPr="001C6878" w:rsidTr="006A7449">
        <w:tc>
          <w:tcPr>
            <w:tcW w:w="4950" w:type="dxa"/>
          </w:tcPr>
          <w:p w:rsidR="001C6878" w:rsidRPr="001C6878" w:rsidRDefault="001C6878" w:rsidP="006A7449">
            <w:pPr>
              <w:tabs>
                <w:tab w:val="left" w:pos="5040"/>
                <w:tab w:val="left" w:pos="6840"/>
              </w:tabs>
              <w:jc w:val="left"/>
              <w:rPr>
                <w:color w:val="333333"/>
                <w:spacing w:val="0"/>
              </w:rPr>
            </w:pPr>
            <w:r w:rsidRPr="001C6878">
              <w:rPr>
                <w:color w:val="333333"/>
                <w:spacing w:val="0"/>
              </w:rPr>
              <w:t>Community/Social Participation</w:t>
            </w:r>
          </w:p>
        </w:tc>
        <w:tc>
          <w:tcPr>
            <w:tcW w:w="1440" w:type="dxa"/>
            <w:tcBorders>
              <w:top w:val="nil"/>
              <w:left w:val="single" w:sz="4" w:space="0" w:color="auto"/>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2,338</w:t>
            </w:r>
          </w:p>
        </w:tc>
        <w:tc>
          <w:tcPr>
            <w:tcW w:w="1440"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714</w:t>
            </w:r>
          </w:p>
        </w:tc>
        <w:tc>
          <w:tcPr>
            <w:tcW w:w="1525" w:type="dxa"/>
            <w:tcBorders>
              <w:top w:val="nil"/>
              <w:left w:val="nil"/>
              <w:bottom w:val="single" w:sz="4" w:space="0" w:color="auto"/>
              <w:right w:val="single" w:sz="4" w:space="0" w:color="auto"/>
            </w:tcBorders>
            <w:shd w:val="clear" w:color="auto" w:fill="auto"/>
            <w:vAlign w:val="bottom"/>
          </w:tcPr>
          <w:p w:rsidR="001C6878" w:rsidRPr="001C6878" w:rsidRDefault="001C6878" w:rsidP="006A7449">
            <w:pPr>
              <w:jc w:val="right"/>
              <w:rPr>
                <w:rFonts w:cs="Arial"/>
                <w:spacing w:val="0"/>
              </w:rPr>
            </w:pPr>
            <w:r w:rsidRPr="001C6878">
              <w:rPr>
                <w:rFonts w:cs="Arial"/>
                <w:spacing w:val="0"/>
              </w:rPr>
              <w:t>1,521</w:t>
            </w:r>
          </w:p>
        </w:tc>
      </w:tr>
    </w:tbl>
    <w:p w:rsidR="00A3223F" w:rsidRPr="001C6878" w:rsidRDefault="00A3223F" w:rsidP="00A3223F">
      <w:pPr>
        <w:spacing w:after="160" w:line="259" w:lineRule="auto"/>
        <w:jc w:val="left"/>
        <w:rPr>
          <w:spacing w:val="0"/>
        </w:rPr>
      </w:pPr>
    </w:p>
    <w:sectPr w:rsidR="00A3223F" w:rsidRPr="001C6878" w:rsidSect="00576279">
      <w:footerReference w:type="even" r:id="rId9"/>
      <w:footerReference w:type="default" r:id="rId10"/>
      <w:pgSz w:w="12240" w:h="15840" w:code="1"/>
      <w:pgMar w:top="720" w:right="1296" w:bottom="720" w:left="1296" w:header="0"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869" w:rsidRDefault="003B6869">
      <w:r>
        <w:separator/>
      </w:r>
    </w:p>
  </w:endnote>
  <w:endnote w:type="continuationSeparator" w:id="0">
    <w:p w:rsidR="003B6869" w:rsidRDefault="003B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869" w:rsidRDefault="00472736">
    <w:pPr>
      <w:pStyle w:val="Footer"/>
      <w:framePr w:wrap="around" w:vAnchor="text" w:hAnchor="margin" w:xAlign="center" w:y="1"/>
      <w:rPr>
        <w:rStyle w:val="PageNumber"/>
      </w:rPr>
    </w:pPr>
    <w:r>
      <w:rPr>
        <w:rStyle w:val="PageNumber"/>
      </w:rPr>
      <w:fldChar w:fldCharType="begin"/>
    </w:r>
    <w:r w:rsidR="003B6869">
      <w:rPr>
        <w:rStyle w:val="PageNumber"/>
      </w:rPr>
      <w:instrText xml:space="preserve">PAGE  </w:instrText>
    </w:r>
    <w:r>
      <w:rPr>
        <w:rStyle w:val="PageNumber"/>
      </w:rPr>
      <w:fldChar w:fldCharType="end"/>
    </w:r>
  </w:p>
  <w:p w:rsidR="003B6869" w:rsidRDefault="003B6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869" w:rsidRDefault="00472736">
    <w:pPr>
      <w:pStyle w:val="Footer"/>
      <w:framePr w:wrap="around" w:vAnchor="text" w:hAnchor="margin" w:xAlign="center" w:y="1"/>
      <w:rPr>
        <w:rStyle w:val="PageNumber"/>
      </w:rPr>
    </w:pPr>
    <w:r>
      <w:rPr>
        <w:rStyle w:val="PageNumber"/>
      </w:rPr>
      <w:fldChar w:fldCharType="begin"/>
    </w:r>
    <w:r w:rsidR="003B6869">
      <w:rPr>
        <w:rStyle w:val="PageNumber"/>
      </w:rPr>
      <w:instrText xml:space="preserve">PAGE  </w:instrText>
    </w:r>
    <w:r>
      <w:rPr>
        <w:rStyle w:val="PageNumber"/>
      </w:rPr>
      <w:fldChar w:fldCharType="separate"/>
    </w:r>
    <w:r w:rsidR="008D18B8">
      <w:rPr>
        <w:rStyle w:val="PageNumber"/>
        <w:noProof/>
      </w:rPr>
      <w:t>2</w:t>
    </w:r>
    <w:r>
      <w:rPr>
        <w:rStyle w:val="PageNumber"/>
      </w:rPr>
      <w:fldChar w:fldCharType="end"/>
    </w:r>
  </w:p>
  <w:p w:rsidR="003B6869" w:rsidRDefault="003B6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869" w:rsidRDefault="003B6869">
      <w:r>
        <w:separator/>
      </w:r>
    </w:p>
  </w:footnote>
  <w:footnote w:type="continuationSeparator" w:id="0">
    <w:p w:rsidR="003B6869" w:rsidRDefault="003B6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B929D80"/>
    <w:lvl w:ilvl="0">
      <w:start w:val="1"/>
      <w:numFmt w:val="decimal"/>
      <w:lvlText w:val="%1."/>
      <w:lvlJc w:val="left"/>
      <w:pPr>
        <w:tabs>
          <w:tab w:val="num" w:pos="360"/>
        </w:tabs>
        <w:ind w:left="360" w:hanging="360"/>
      </w:pPr>
    </w:lvl>
  </w:abstractNum>
  <w:abstractNum w:abstractNumId="1">
    <w:nsid w:val="FFFFFF89"/>
    <w:multiLevelType w:val="singleLevel"/>
    <w:tmpl w:val="979CE5C0"/>
    <w:lvl w:ilvl="0">
      <w:start w:val="1"/>
      <w:numFmt w:val="bullet"/>
      <w:lvlText w:val=""/>
      <w:lvlJc w:val="left"/>
      <w:pPr>
        <w:tabs>
          <w:tab w:val="num" w:pos="360"/>
        </w:tabs>
        <w:ind w:left="360" w:hanging="360"/>
      </w:pPr>
      <w:rPr>
        <w:rFonts w:ascii="Symbol" w:hAnsi="Symbol" w:hint="default"/>
      </w:rPr>
    </w:lvl>
  </w:abstractNum>
  <w:abstractNum w:abstractNumId="2">
    <w:nsid w:val="1054197B"/>
    <w:multiLevelType w:val="multilevel"/>
    <w:tmpl w:val="7FDA4D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4">
    <w:nsid w:val="64585E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6">
    <w:nsid w:val="7A5F5E78"/>
    <w:multiLevelType w:val="hybridMultilevel"/>
    <w:tmpl w:val="CC823EBC"/>
    <w:lvl w:ilvl="0" w:tplc="98B4A2D8">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b w:val="0"/>
        <w:i w:val="0"/>
      </w:rPr>
    </w:lvl>
    <w:lvl w:ilvl="2" w:tplc="001B0409">
      <w:start w:val="1"/>
      <w:numFmt w:val="lowerRoman"/>
      <w:lvlText w:val="%3."/>
      <w:lvlJc w:val="right"/>
      <w:pPr>
        <w:tabs>
          <w:tab w:val="num" w:pos="2160"/>
        </w:tabs>
        <w:ind w:left="2160" w:hanging="180"/>
      </w:pPr>
    </w:lvl>
    <w:lvl w:ilvl="3" w:tplc="54924A22">
      <w:start w:val="1"/>
      <w:numFmt w:val="bullet"/>
      <w:lvlText w:val=""/>
      <w:lvlJc w:val="left"/>
      <w:pPr>
        <w:tabs>
          <w:tab w:val="num" w:pos="2880"/>
        </w:tabs>
        <w:ind w:left="2880" w:hanging="360"/>
      </w:pPr>
      <w:rPr>
        <w:rFonts w:ascii="Webdings" w:hAnsi="Webding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360"/>
  <w:displayHorizontalDrawingGridEvery w:val="0"/>
  <w:displayVerticalDrawingGridEvery w:val="0"/>
  <w:doNotUseMarginsForDrawingGridOrigin/>
  <w:noPunctuationKerning/>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7C"/>
    <w:rsid w:val="000544E5"/>
    <w:rsid w:val="000E758B"/>
    <w:rsid w:val="001C6878"/>
    <w:rsid w:val="00224B78"/>
    <w:rsid w:val="00232C51"/>
    <w:rsid w:val="002A2DD3"/>
    <w:rsid w:val="00303BA4"/>
    <w:rsid w:val="00323430"/>
    <w:rsid w:val="00381864"/>
    <w:rsid w:val="003B6869"/>
    <w:rsid w:val="0045325A"/>
    <w:rsid w:val="00471763"/>
    <w:rsid w:val="00472736"/>
    <w:rsid w:val="004963A9"/>
    <w:rsid w:val="004C01EC"/>
    <w:rsid w:val="004D5A04"/>
    <w:rsid w:val="00576279"/>
    <w:rsid w:val="00597D05"/>
    <w:rsid w:val="005F7B0E"/>
    <w:rsid w:val="006011B5"/>
    <w:rsid w:val="00616062"/>
    <w:rsid w:val="0066655B"/>
    <w:rsid w:val="006F6170"/>
    <w:rsid w:val="00700129"/>
    <w:rsid w:val="007234C7"/>
    <w:rsid w:val="007317DA"/>
    <w:rsid w:val="007C41EF"/>
    <w:rsid w:val="007E3771"/>
    <w:rsid w:val="007F2FD6"/>
    <w:rsid w:val="008249EB"/>
    <w:rsid w:val="00895245"/>
    <w:rsid w:val="008D18B8"/>
    <w:rsid w:val="008E0085"/>
    <w:rsid w:val="009F4490"/>
    <w:rsid w:val="009F5C9F"/>
    <w:rsid w:val="00A3223F"/>
    <w:rsid w:val="00A44FB2"/>
    <w:rsid w:val="00AE7548"/>
    <w:rsid w:val="00AF614F"/>
    <w:rsid w:val="00B5753B"/>
    <w:rsid w:val="00B71F35"/>
    <w:rsid w:val="00BA172A"/>
    <w:rsid w:val="00BE1CBD"/>
    <w:rsid w:val="00BF76A8"/>
    <w:rsid w:val="00C22DBD"/>
    <w:rsid w:val="00C247B7"/>
    <w:rsid w:val="00C63B11"/>
    <w:rsid w:val="00C64FA4"/>
    <w:rsid w:val="00CC167C"/>
    <w:rsid w:val="00D077DE"/>
    <w:rsid w:val="00DE5B9B"/>
    <w:rsid w:val="00E3089E"/>
    <w:rsid w:val="00E65D12"/>
    <w:rsid w:val="00E81502"/>
    <w:rsid w:val="00E8619A"/>
    <w:rsid w:val="00EE27CC"/>
    <w:rsid w:val="00F30E16"/>
    <w:rsid w:val="00F85DA4"/>
    <w:rsid w:val="00F860F5"/>
    <w:rsid w:val="00FB1553"/>
    <w:rsid w:val="00FE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63"/>
    <o:shapelayout v:ext="edit">
      <o:idmap v:ext="edit" data="2"/>
    </o:shapelayout>
  </w:shapeDefaults>
  <w:decimalSymbol w:val="."/>
  <w:listSeparator w:val=","/>
  <w15:docId w15:val="{3CD246CD-1A71-4F7B-A036-CE1E74A3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B11"/>
    <w:pPr>
      <w:jc w:val="both"/>
    </w:pPr>
    <w:rPr>
      <w:rFonts w:ascii="Arial" w:hAnsi="Arial"/>
      <w:spacing w:val="-5"/>
    </w:rPr>
  </w:style>
  <w:style w:type="paragraph" w:styleId="Heading1">
    <w:name w:val="heading 1"/>
    <w:basedOn w:val="HeadingBase"/>
    <w:next w:val="BodyText"/>
    <w:qFormat/>
    <w:rsid w:val="00C63B11"/>
    <w:pPr>
      <w:spacing w:after="220"/>
      <w:jc w:val="left"/>
      <w:outlineLvl w:val="0"/>
    </w:pPr>
  </w:style>
  <w:style w:type="paragraph" w:styleId="Heading2">
    <w:name w:val="heading 2"/>
    <w:basedOn w:val="HeadingBase"/>
    <w:next w:val="BodyText"/>
    <w:qFormat/>
    <w:rsid w:val="00C63B11"/>
    <w:pPr>
      <w:jc w:val="left"/>
      <w:outlineLvl w:val="1"/>
    </w:pPr>
    <w:rPr>
      <w:sz w:val="18"/>
    </w:rPr>
  </w:style>
  <w:style w:type="paragraph" w:styleId="Heading3">
    <w:name w:val="heading 3"/>
    <w:basedOn w:val="HeadingBase"/>
    <w:next w:val="BodyText"/>
    <w:qFormat/>
    <w:rsid w:val="00C63B11"/>
    <w:pPr>
      <w:spacing w:after="220"/>
      <w:jc w:val="left"/>
      <w:outlineLvl w:val="2"/>
    </w:pPr>
    <w:rPr>
      <w:rFonts w:ascii="Arial" w:hAnsi="Arial"/>
      <w:sz w:val="22"/>
    </w:rPr>
  </w:style>
  <w:style w:type="paragraph" w:styleId="Heading4">
    <w:name w:val="heading 4"/>
    <w:basedOn w:val="HeadingBase"/>
    <w:next w:val="BodyText"/>
    <w:qFormat/>
    <w:rsid w:val="00C63B11"/>
    <w:pPr>
      <w:ind w:left="360"/>
      <w:outlineLvl w:val="3"/>
    </w:pPr>
    <w:rPr>
      <w:spacing w:val="-5"/>
      <w:sz w:val="18"/>
    </w:rPr>
  </w:style>
  <w:style w:type="paragraph" w:styleId="Heading5">
    <w:name w:val="heading 5"/>
    <w:basedOn w:val="HeadingBase"/>
    <w:next w:val="BodyText"/>
    <w:qFormat/>
    <w:rsid w:val="00C63B11"/>
    <w:pPr>
      <w:ind w:left="720"/>
      <w:outlineLvl w:val="4"/>
    </w:pPr>
    <w:rPr>
      <w:spacing w:val="-5"/>
      <w:sz w:val="18"/>
    </w:rPr>
  </w:style>
  <w:style w:type="paragraph" w:styleId="Heading6">
    <w:name w:val="heading 6"/>
    <w:basedOn w:val="HeadingBase"/>
    <w:next w:val="BodyText"/>
    <w:qFormat/>
    <w:rsid w:val="00C63B11"/>
    <w:pPr>
      <w:ind w:left="1080"/>
      <w:outlineLvl w:val="5"/>
    </w:pPr>
    <w:rPr>
      <w:spacing w:val="-5"/>
      <w:sz w:val="18"/>
    </w:rPr>
  </w:style>
  <w:style w:type="paragraph" w:styleId="Heading7">
    <w:name w:val="heading 7"/>
    <w:basedOn w:val="Normal"/>
    <w:next w:val="Normal"/>
    <w:qFormat/>
    <w:rsid w:val="00C63B11"/>
    <w:pPr>
      <w:keepNext/>
      <w:jc w:val="center"/>
      <w:outlineLvl w:val="6"/>
    </w:pPr>
    <w:rPr>
      <w:rFonts w:ascii="Century Schoolbook" w:hAnsi="Century Schoolbook"/>
      <w:sz w:val="24"/>
    </w:rPr>
  </w:style>
  <w:style w:type="paragraph" w:styleId="Heading8">
    <w:name w:val="heading 8"/>
    <w:basedOn w:val="Normal"/>
    <w:next w:val="Normal"/>
    <w:qFormat/>
    <w:rsid w:val="00C63B11"/>
    <w:pPr>
      <w:keepNext/>
      <w:outlineLvl w:val="7"/>
    </w:pPr>
    <w:rPr>
      <w:rFonts w:ascii="Century Schoolbook" w:hAnsi="Century Schoolbook"/>
      <w:sz w:val="24"/>
    </w:rPr>
  </w:style>
  <w:style w:type="paragraph" w:styleId="Heading9">
    <w:name w:val="heading 9"/>
    <w:basedOn w:val="Normal"/>
    <w:next w:val="Normal"/>
    <w:qFormat/>
    <w:rsid w:val="00C63B11"/>
    <w:pPr>
      <w:keepNext/>
      <w:ind w:left="720"/>
      <w:outlineLvl w:val="8"/>
    </w:pPr>
    <w:rPr>
      <w:rFonts w:ascii="Century Schoolbook" w:hAnsi="Century School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3B11"/>
    <w:pPr>
      <w:tabs>
        <w:tab w:val="center" w:pos="4320"/>
        <w:tab w:val="right" w:pos="8640"/>
      </w:tabs>
    </w:pPr>
  </w:style>
  <w:style w:type="paragraph" w:styleId="Footer">
    <w:name w:val="footer"/>
    <w:basedOn w:val="Normal"/>
    <w:rsid w:val="00C63B11"/>
    <w:pPr>
      <w:tabs>
        <w:tab w:val="center" w:pos="4320"/>
        <w:tab w:val="right" w:pos="8640"/>
      </w:tabs>
    </w:pPr>
  </w:style>
  <w:style w:type="paragraph" w:styleId="Date">
    <w:name w:val="Date"/>
    <w:basedOn w:val="Normal"/>
    <w:next w:val="InsideAddressName"/>
    <w:rsid w:val="00C63B11"/>
    <w:pPr>
      <w:spacing w:after="220" w:line="220" w:lineRule="atLeast"/>
    </w:pPr>
  </w:style>
  <w:style w:type="paragraph" w:customStyle="1" w:styleId="InsideAddressName">
    <w:name w:val="Inside Address Name"/>
    <w:basedOn w:val="InsideAddress"/>
    <w:next w:val="InsideAddress"/>
    <w:rsid w:val="00C63B11"/>
    <w:pPr>
      <w:spacing w:before="220"/>
    </w:pPr>
  </w:style>
  <w:style w:type="paragraph" w:customStyle="1" w:styleId="InsideAddress">
    <w:name w:val="Inside Address"/>
    <w:basedOn w:val="Normal"/>
    <w:rsid w:val="00C63B11"/>
    <w:pPr>
      <w:spacing w:line="220" w:lineRule="atLeast"/>
    </w:pPr>
  </w:style>
  <w:style w:type="paragraph" w:styleId="BodyText">
    <w:name w:val="Body Text"/>
    <w:basedOn w:val="Normal"/>
    <w:rsid w:val="00C63B11"/>
    <w:pPr>
      <w:spacing w:after="220" w:line="220" w:lineRule="atLeast"/>
    </w:pPr>
  </w:style>
  <w:style w:type="paragraph" w:customStyle="1" w:styleId="ReferenceLine">
    <w:name w:val="Reference Line"/>
    <w:basedOn w:val="Normal"/>
    <w:next w:val="MailingInstructions"/>
    <w:rsid w:val="00C63B11"/>
    <w:pPr>
      <w:spacing w:after="220" w:line="220" w:lineRule="atLeast"/>
      <w:jc w:val="left"/>
    </w:pPr>
  </w:style>
  <w:style w:type="paragraph" w:styleId="Salutation">
    <w:name w:val="Salutation"/>
    <w:basedOn w:val="Normal"/>
    <w:next w:val="SubjectLine"/>
    <w:rsid w:val="00C63B11"/>
    <w:pPr>
      <w:spacing w:before="220" w:after="220" w:line="220" w:lineRule="atLeast"/>
      <w:jc w:val="left"/>
    </w:pPr>
  </w:style>
  <w:style w:type="paragraph" w:styleId="Closing">
    <w:name w:val="Closing"/>
    <w:basedOn w:val="Normal"/>
    <w:next w:val="Signature"/>
    <w:rsid w:val="00C63B11"/>
    <w:pPr>
      <w:keepNext/>
      <w:spacing w:after="60" w:line="220" w:lineRule="atLeast"/>
    </w:pPr>
  </w:style>
  <w:style w:type="paragraph" w:styleId="Signature">
    <w:name w:val="Signature"/>
    <w:basedOn w:val="Normal"/>
    <w:next w:val="SignatureJobTitle"/>
    <w:rsid w:val="00C63B11"/>
    <w:pPr>
      <w:keepNext/>
      <w:spacing w:before="880" w:line="220" w:lineRule="atLeast"/>
      <w:jc w:val="left"/>
    </w:pPr>
  </w:style>
  <w:style w:type="paragraph" w:customStyle="1" w:styleId="SignatureJobTitle">
    <w:name w:val="Signature Job Title"/>
    <w:basedOn w:val="Signature"/>
    <w:next w:val="SignatureCompany"/>
    <w:rsid w:val="00C63B11"/>
    <w:pPr>
      <w:spacing w:before="0"/>
    </w:pPr>
  </w:style>
  <w:style w:type="paragraph" w:customStyle="1" w:styleId="ReferenceInitials">
    <w:name w:val="Reference Initials"/>
    <w:basedOn w:val="Normal"/>
    <w:next w:val="Enclosure"/>
    <w:rsid w:val="00C63B11"/>
    <w:pPr>
      <w:keepNext/>
      <w:keepLines/>
      <w:spacing w:before="220" w:line="220" w:lineRule="atLeast"/>
    </w:pPr>
  </w:style>
  <w:style w:type="paragraph" w:customStyle="1" w:styleId="AttentionLine">
    <w:name w:val="Attention Line"/>
    <w:basedOn w:val="Normal"/>
    <w:next w:val="Salutation"/>
    <w:rsid w:val="00C63B11"/>
    <w:pPr>
      <w:spacing w:before="220" w:after="220" w:line="220" w:lineRule="atLeast"/>
    </w:pPr>
  </w:style>
  <w:style w:type="paragraph" w:customStyle="1" w:styleId="CcList">
    <w:name w:val="Cc List"/>
    <w:basedOn w:val="Normal"/>
    <w:rsid w:val="00C63B11"/>
    <w:pPr>
      <w:keepLines/>
      <w:spacing w:line="220" w:lineRule="atLeast"/>
      <w:ind w:left="360" w:hanging="360"/>
    </w:pPr>
  </w:style>
  <w:style w:type="paragraph" w:customStyle="1" w:styleId="CompanyName">
    <w:name w:val="Company Name"/>
    <w:basedOn w:val="Normal"/>
    <w:rsid w:val="00C63B11"/>
    <w:pPr>
      <w:framePr w:w="3845" w:h="1584" w:hSpace="187" w:vSpace="187" w:wrap="notBeside" w:vAnchor="page" w:hAnchor="margin" w:y="894" w:anchorLock="1"/>
      <w:spacing w:line="280" w:lineRule="atLeast"/>
    </w:pPr>
    <w:rPr>
      <w:rFonts w:ascii="Arial Black" w:hAnsi="Arial Black"/>
      <w:spacing w:val="-25"/>
      <w:sz w:val="32"/>
    </w:rPr>
  </w:style>
  <w:style w:type="character" w:styleId="Emphasis">
    <w:name w:val="Emphasis"/>
    <w:qFormat/>
    <w:rsid w:val="00C63B11"/>
    <w:rPr>
      <w:rFonts w:ascii="Arial Black" w:hAnsi="Arial Black"/>
      <w:sz w:val="18"/>
    </w:rPr>
  </w:style>
  <w:style w:type="paragraph" w:customStyle="1" w:styleId="Enclosure">
    <w:name w:val="Enclosure"/>
    <w:basedOn w:val="Normal"/>
    <w:next w:val="CcList"/>
    <w:rsid w:val="00C63B11"/>
    <w:pPr>
      <w:keepNext/>
      <w:keepLines/>
      <w:spacing w:after="220" w:line="220" w:lineRule="atLeast"/>
    </w:pPr>
  </w:style>
  <w:style w:type="paragraph" w:customStyle="1" w:styleId="HeadingBase">
    <w:name w:val="Heading Base"/>
    <w:basedOn w:val="Normal"/>
    <w:next w:val="BodyText"/>
    <w:rsid w:val="00C63B11"/>
    <w:pPr>
      <w:keepNext/>
      <w:keepLines/>
      <w:spacing w:line="220" w:lineRule="atLeast"/>
    </w:pPr>
    <w:rPr>
      <w:rFonts w:ascii="Arial Black" w:hAnsi="Arial Black"/>
      <w:spacing w:val="-10"/>
      <w:kern w:val="20"/>
    </w:rPr>
  </w:style>
  <w:style w:type="paragraph" w:customStyle="1" w:styleId="MailingInstructions">
    <w:name w:val="Mailing Instructions"/>
    <w:basedOn w:val="Normal"/>
    <w:next w:val="InsideAddressName"/>
    <w:rsid w:val="00C63B11"/>
    <w:pPr>
      <w:spacing w:after="220" w:line="220" w:lineRule="atLeast"/>
    </w:pPr>
    <w:rPr>
      <w:caps/>
    </w:rPr>
  </w:style>
  <w:style w:type="paragraph" w:customStyle="1" w:styleId="ReturnAddress">
    <w:name w:val="Return Address"/>
    <w:basedOn w:val="Normal"/>
    <w:rsid w:val="00C63B11"/>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C63B11"/>
    <w:pPr>
      <w:spacing w:before="0"/>
    </w:pPr>
  </w:style>
  <w:style w:type="character" w:customStyle="1" w:styleId="Slogan">
    <w:name w:val="Slogan"/>
    <w:basedOn w:val="DefaultParagraphFont"/>
    <w:rsid w:val="00C63B11"/>
    <w:rPr>
      <w:rFonts w:ascii="Arial Black" w:hAnsi="Arial Black"/>
      <w:sz w:val="18"/>
    </w:rPr>
  </w:style>
  <w:style w:type="paragraph" w:customStyle="1" w:styleId="SubjectLine">
    <w:name w:val="Subject Line"/>
    <w:basedOn w:val="Normal"/>
    <w:next w:val="BodyText"/>
    <w:rsid w:val="00C63B11"/>
    <w:pPr>
      <w:spacing w:after="220" w:line="220" w:lineRule="atLeast"/>
      <w:jc w:val="left"/>
    </w:pPr>
    <w:rPr>
      <w:rFonts w:ascii="Arial Black" w:hAnsi="Arial Black"/>
      <w:spacing w:val="-10"/>
    </w:rPr>
  </w:style>
  <w:style w:type="paragraph" w:styleId="List">
    <w:name w:val="List"/>
    <w:basedOn w:val="BodyText"/>
    <w:rsid w:val="00C63B11"/>
    <w:pPr>
      <w:ind w:left="360" w:hanging="360"/>
    </w:pPr>
  </w:style>
  <w:style w:type="paragraph" w:styleId="ListBullet">
    <w:name w:val="List Bullet"/>
    <w:basedOn w:val="List"/>
    <w:autoRedefine/>
    <w:rsid w:val="00C63B11"/>
    <w:pPr>
      <w:numPr>
        <w:numId w:val="3"/>
      </w:numPr>
    </w:pPr>
  </w:style>
  <w:style w:type="paragraph" w:styleId="ListNumber">
    <w:name w:val="List Number"/>
    <w:basedOn w:val="BodyText"/>
    <w:rsid w:val="00C63B11"/>
    <w:pPr>
      <w:numPr>
        <w:numId w:val="4"/>
      </w:numPr>
    </w:pPr>
  </w:style>
  <w:style w:type="character" w:styleId="Hyperlink">
    <w:name w:val="Hyperlink"/>
    <w:basedOn w:val="DefaultParagraphFont"/>
    <w:rsid w:val="00C63B11"/>
    <w:rPr>
      <w:color w:val="0000FF"/>
      <w:u w:val="single"/>
    </w:rPr>
  </w:style>
  <w:style w:type="paragraph" w:styleId="BodyText2">
    <w:name w:val="Body Text 2"/>
    <w:basedOn w:val="Normal"/>
    <w:rsid w:val="00C63B11"/>
    <w:pPr>
      <w:jc w:val="left"/>
    </w:pPr>
    <w:rPr>
      <w:rFonts w:ascii="Century Schoolbook" w:hAnsi="Century Schoolbook"/>
      <w:sz w:val="24"/>
    </w:rPr>
  </w:style>
  <w:style w:type="paragraph" w:styleId="BodyTextIndent">
    <w:name w:val="Body Text Indent"/>
    <w:basedOn w:val="Normal"/>
    <w:rsid w:val="00C63B11"/>
    <w:pPr>
      <w:ind w:left="180"/>
    </w:pPr>
    <w:rPr>
      <w:rFonts w:ascii="Century Schoolbook" w:hAnsi="Century Schoolbook"/>
      <w:sz w:val="24"/>
    </w:rPr>
  </w:style>
  <w:style w:type="paragraph" w:styleId="BlockText">
    <w:name w:val="Block Text"/>
    <w:basedOn w:val="Normal"/>
    <w:rsid w:val="00C63B11"/>
    <w:pPr>
      <w:ind w:left="360" w:right="360"/>
    </w:pPr>
    <w:rPr>
      <w:rFonts w:ascii="Century Schoolbook" w:hAnsi="Century Schoolbook"/>
      <w:sz w:val="24"/>
    </w:rPr>
  </w:style>
  <w:style w:type="paragraph" w:styleId="Subtitle">
    <w:name w:val="Subtitle"/>
    <w:basedOn w:val="Normal"/>
    <w:qFormat/>
    <w:rsid w:val="00C63B11"/>
    <w:pPr>
      <w:jc w:val="center"/>
    </w:pPr>
    <w:rPr>
      <w:rFonts w:ascii="Times New Roman" w:hAnsi="Times New Roman"/>
      <w:b/>
      <w:spacing w:val="0"/>
      <w:sz w:val="24"/>
    </w:rPr>
  </w:style>
  <w:style w:type="character" w:styleId="PageNumber">
    <w:name w:val="page number"/>
    <w:basedOn w:val="DefaultParagraphFont"/>
    <w:rsid w:val="00C63B11"/>
  </w:style>
  <w:style w:type="paragraph" w:styleId="EnvelopeAddress">
    <w:name w:val="envelope address"/>
    <w:basedOn w:val="Normal"/>
    <w:rsid w:val="00C63B11"/>
    <w:pPr>
      <w:framePr w:w="7920" w:h="1980" w:hRule="exact" w:hSpace="180" w:wrap="auto" w:hAnchor="page" w:xAlign="center" w:yAlign="bottom"/>
      <w:ind w:left="2880"/>
      <w:jc w:val="left"/>
    </w:pPr>
    <w:rPr>
      <w:rFonts w:cs="Arial"/>
      <w:sz w:val="24"/>
      <w:szCs w:val="24"/>
    </w:rPr>
  </w:style>
  <w:style w:type="paragraph" w:styleId="EnvelopeReturn">
    <w:name w:val="envelope return"/>
    <w:basedOn w:val="Normal"/>
    <w:rsid w:val="00C63B11"/>
    <w:pPr>
      <w:jc w:val="left"/>
    </w:pPr>
    <w:rPr>
      <w:rFonts w:cs="Arial"/>
    </w:rPr>
  </w:style>
  <w:style w:type="character" w:styleId="FollowedHyperlink">
    <w:name w:val="FollowedHyperlink"/>
    <w:basedOn w:val="DefaultParagraphFont"/>
    <w:rsid w:val="00C63B11"/>
    <w:rPr>
      <w:color w:val="800080"/>
      <w:u w:val="single"/>
    </w:rPr>
  </w:style>
  <w:style w:type="paragraph" w:styleId="Caption">
    <w:name w:val="caption"/>
    <w:basedOn w:val="Normal"/>
    <w:next w:val="Normal"/>
    <w:qFormat/>
    <w:rsid w:val="00C63B11"/>
    <w:pPr>
      <w:framePr w:w="2157" w:h="0" w:hSpace="180" w:wrap="around" w:vAnchor="text" w:hAnchor="page" w:x="721" w:y="-295"/>
      <w:jc w:val="center"/>
    </w:pPr>
    <w:rPr>
      <w:b/>
      <w:sz w:val="16"/>
    </w:rPr>
  </w:style>
  <w:style w:type="paragraph" w:styleId="BalloonText">
    <w:name w:val="Balloon Text"/>
    <w:basedOn w:val="Normal"/>
    <w:semiHidden/>
    <w:rsid w:val="00BA172A"/>
    <w:rPr>
      <w:rFonts w:ascii="Tahoma" w:hAnsi="Tahoma" w:cs="Tahoma"/>
      <w:sz w:val="16"/>
      <w:szCs w:val="16"/>
    </w:rPr>
  </w:style>
  <w:style w:type="paragraph" w:styleId="Title">
    <w:name w:val="Title"/>
    <w:basedOn w:val="Normal"/>
    <w:qFormat/>
    <w:rsid w:val="00FE5AC9"/>
    <w:pPr>
      <w:jc w:val="center"/>
    </w:pPr>
    <w:rPr>
      <w:b/>
      <w:spacing w:val="0"/>
      <w:sz w:val="22"/>
    </w:rPr>
  </w:style>
  <w:style w:type="paragraph" w:styleId="ListParagraph">
    <w:name w:val="List Paragraph"/>
    <w:basedOn w:val="Normal"/>
    <w:uiPriority w:val="34"/>
    <w:qFormat/>
    <w:rsid w:val="00C64FA4"/>
    <w:pPr>
      <w:ind w:left="720"/>
      <w:contextualSpacing/>
    </w:pPr>
  </w:style>
  <w:style w:type="paragraph" w:customStyle="1" w:styleId="Default">
    <w:name w:val="Default"/>
    <w:rsid w:val="00B71F35"/>
    <w:pPr>
      <w:autoSpaceDE w:val="0"/>
      <w:autoSpaceDN w:val="0"/>
      <w:adjustRightInd w:val="0"/>
    </w:pPr>
    <w:rPr>
      <w:rFonts w:eastAsia="Calibri"/>
      <w:color w:val="000000"/>
      <w:sz w:val="24"/>
      <w:szCs w:val="24"/>
    </w:rPr>
  </w:style>
  <w:style w:type="table" w:styleId="TableGrid">
    <w:name w:val="Table Grid"/>
    <w:basedOn w:val="TableNormal"/>
    <w:uiPriority w:val="39"/>
    <w:rsid w:val="00A322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wmf"/>
  <Relationship Id="rId8" Type="http://schemas.openxmlformats.org/officeDocument/2006/relationships/oleObject" Target="embeddings/oleObject1.bin"/>
  <Relationship Id="rId9" Type="http://schemas.openxmlformats.org/officeDocument/2006/relationships/footer" Target="foot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MSOffice/Templates/Letters%20&amp;%20Faxes/MRC%20Administration.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MRC Administration</Template>
  <TotalTime>0</TotalTime>
  <Pages>2</Pages>
  <Words>593</Words>
  <Characters>3718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mass rehab comm</Company>
  <LinksUpToDate>false</LinksUpToDate>
  <CharactersWithSpaces>4303</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2016-02-26T14:07:00Z</dcterms:created>
  <dc:creator>john donnelly</dc:creator>
  <lastModifiedBy>Scher, Alison (MRC)</lastModifiedBy>
  <lastPrinted>2013-01-17T16:23:00Z</lastPrinted>
  <dcterms:modified xsi:type="dcterms:W3CDTF">2016-02-26T14:07:00Z</dcterms:modified>
  <revision>2</revision>
  <dc:title/>
</coreProperties>
</file>