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80" w:rsidRDefault="00350E8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8F5777" w:rsidRPr="00A859BE" w:rsidRDefault="00350E8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  <w:rPr>
          <w:rFonts w:asciiTheme="majorHAnsi" w:hAnsiTheme="majorHAnsi"/>
        </w:rPr>
      </w:pPr>
      <w:r w:rsidRPr="00A859BE">
        <w:rPr>
          <w:rFonts w:asciiTheme="majorHAnsi" w:hAnsiTheme="majorHAnsi"/>
        </w:rPr>
        <w:t>The Massachusetts</w:t>
      </w:r>
      <w:r w:rsidR="008F5777" w:rsidRPr="00A859BE">
        <w:rPr>
          <w:rFonts w:asciiTheme="majorHAnsi" w:hAnsiTheme="majorHAnsi"/>
        </w:rPr>
        <w:t xml:space="preserve"> Department of Public Health (DPH)</w:t>
      </w:r>
      <w:r w:rsidRPr="00A859BE">
        <w:rPr>
          <w:rFonts w:asciiTheme="majorHAnsi" w:hAnsiTheme="majorHAnsi"/>
        </w:rPr>
        <w:t xml:space="preserve"> Immunization Program is pleased to have Immunization</w:t>
      </w:r>
      <w:r w:rsidR="007F494B" w:rsidRPr="00A859BE">
        <w:rPr>
          <w:rFonts w:asciiTheme="majorHAnsi" w:hAnsiTheme="majorHAnsi"/>
        </w:rPr>
        <w:t xml:space="preserve"> </w:t>
      </w:r>
      <w:r w:rsidR="00B149E4" w:rsidRPr="00A859BE">
        <w:rPr>
          <w:rFonts w:asciiTheme="majorHAnsi" w:hAnsiTheme="majorHAnsi"/>
        </w:rPr>
        <w:t>Quality Assurance</w:t>
      </w:r>
      <w:r w:rsidR="007F494B" w:rsidRPr="00A859BE">
        <w:rPr>
          <w:rFonts w:asciiTheme="majorHAnsi" w:hAnsiTheme="majorHAnsi"/>
        </w:rPr>
        <w:t xml:space="preserve"> Analysts</w:t>
      </w:r>
      <w:r w:rsidR="00BB7DEF" w:rsidRPr="00A859BE">
        <w:rPr>
          <w:rFonts w:asciiTheme="majorHAnsi" w:hAnsiTheme="majorHAnsi"/>
        </w:rPr>
        <w:t xml:space="preserve"> available to provide support and education to </w:t>
      </w:r>
      <w:r w:rsidR="007313BA" w:rsidRPr="00A859BE">
        <w:rPr>
          <w:rFonts w:asciiTheme="majorHAnsi" w:hAnsiTheme="majorHAnsi"/>
        </w:rPr>
        <w:t xml:space="preserve">vaccine coordinators </w:t>
      </w:r>
      <w:r w:rsidR="00787D4F" w:rsidRPr="00A859BE">
        <w:rPr>
          <w:rFonts w:asciiTheme="majorHAnsi" w:hAnsiTheme="majorHAnsi"/>
        </w:rPr>
        <w:t>about the guidelines and requirements of the VFC program.</w:t>
      </w:r>
    </w:p>
    <w:p w:rsidR="00A859BE" w:rsidRPr="004C4BCA" w:rsidRDefault="00A859B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  <w:rPr>
          <w:rFonts w:asciiTheme="majorHAnsi" w:hAnsiTheme="majorHAnsi"/>
          <w:sz w:val="26"/>
          <w:szCs w:val="26"/>
        </w:rPr>
      </w:pPr>
    </w:p>
    <w:p w:rsidR="00A859BE" w:rsidRDefault="008F5777" w:rsidP="00A859B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-144"/>
        <w:jc w:val="left"/>
        <w:rPr>
          <w:rFonts w:asciiTheme="majorHAnsi" w:hAnsiTheme="majorHAnsi"/>
          <w:b/>
          <w:sz w:val="26"/>
          <w:szCs w:val="26"/>
        </w:rPr>
      </w:pPr>
      <w:r w:rsidRPr="00A859BE">
        <w:rPr>
          <w:rFonts w:asciiTheme="majorHAnsi" w:hAnsiTheme="majorHAnsi"/>
          <w:b/>
          <w:sz w:val="26"/>
          <w:szCs w:val="26"/>
        </w:rPr>
        <w:t>On-site Training</w:t>
      </w:r>
    </w:p>
    <w:p w:rsidR="00A62BE2" w:rsidRPr="00A859BE" w:rsidRDefault="00B149E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  <w:rPr>
          <w:rFonts w:asciiTheme="majorHAnsi" w:hAnsiTheme="majorHAnsi"/>
        </w:rPr>
      </w:pPr>
      <w:r w:rsidRPr="00A859BE">
        <w:rPr>
          <w:rFonts w:asciiTheme="majorHAnsi" w:hAnsiTheme="majorHAnsi"/>
        </w:rPr>
        <w:t>Quality Assurance</w:t>
      </w:r>
      <w:r w:rsidR="008F5777" w:rsidRPr="00A859BE">
        <w:rPr>
          <w:rFonts w:asciiTheme="majorHAnsi" w:hAnsiTheme="majorHAnsi"/>
        </w:rPr>
        <w:t xml:space="preserve"> Analysts are available for on-site </w:t>
      </w:r>
      <w:r w:rsidR="00612183" w:rsidRPr="00A859BE">
        <w:rPr>
          <w:rFonts w:asciiTheme="majorHAnsi" w:hAnsiTheme="majorHAnsi"/>
        </w:rPr>
        <w:t xml:space="preserve">vaccine management </w:t>
      </w:r>
      <w:r w:rsidR="008F5777" w:rsidRPr="00A859BE">
        <w:rPr>
          <w:rFonts w:asciiTheme="majorHAnsi" w:hAnsiTheme="majorHAnsi"/>
          <w:bCs/>
        </w:rPr>
        <w:t>o</w:t>
      </w:r>
      <w:r w:rsidR="00864615" w:rsidRPr="00A859BE">
        <w:rPr>
          <w:rFonts w:asciiTheme="majorHAnsi" w:hAnsiTheme="majorHAnsi"/>
          <w:bCs/>
        </w:rPr>
        <w:t xml:space="preserve">rientation </w:t>
      </w:r>
      <w:r w:rsidR="008F5777" w:rsidRPr="00A859BE">
        <w:rPr>
          <w:rFonts w:asciiTheme="majorHAnsi" w:hAnsiTheme="majorHAnsi"/>
          <w:bCs/>
        </w:rPr>
        <w:t>p</w:t>
      </w:r>
      <w:r w:rsidR="00864615" w:rsidRPr="00A859BE">
        <w:rPr>
          <w:rFonts w:asciiTheme="majorHAnsi" w:hAnsiTheme="majorHAnsi"/>
          <w:bCs/>
        </w:rPr>
        <w:t xml:space="preserve">rograms for </w:t>
      </w:r>
      <w:r w:rsidR="008F5777" w:rsidRPr="00A859BE">
        <w:rPr>
          <w:rFonts w:asciiTheme="majorHAnsi" w:hAnsiTheme="majorHAnsi"/>
          <w:bCs/>
        </w:rPr>
        <w:t>n</w:t>
      </w:r>
      <w:r w:rsidR="00864615" w:rsidRPr="00A859BE">
        <w:rPr>
          <w:rFonts w:asciiTheme="majorHAnsi" w:hAnsiTheme="majorHAnsi"/>
          <w:bCs/>
        </w:rPr>
        <w:t xml:space="preserve">ew </w:t>
      </w:r>
      <w:r w:rsidR="008F5777" w:rsidRPr="00A859BE">
        <w:rPr>
          <w:rFonts w:asciiTheme="majorHAnsi" w:hAnsiTheme="majorHAnsi"/>
          <w:bCs/>
        </w:rPr>
        <w:t>p</w:t>
      </w:r>
      <w:r w:rsidR="00864615" w:rsidRPr="00A859BE">
        <w:rPr>
          <w:rFonts w:asciiTheme="majorHAnsi" w:hAnsiTheme="majorHAnsi"/>
          <w:bCs/>
        </w:rPr>
        <w:t>roviders</w:t>
      </w:r>
      <w:r w:rsidR="008F5777" w:rsidRPr="00A859BE">
        <w:rPr>
          <w:rFonts w:asciiTheme="majorHAnsi" w:hAnsiTheme="majorHAnsi"/>
        </w:rPr>
        <w:t xml:space="preserve"> and t</w:t>
      </w:r>
      <w:r w:rsidR="00864615" w:rsidRPr="00A859BE">
        <w:rPr>
          <w:rFonts w:asciiTheme="majorHAnsi" w:hAnsiTheme="majorHAnsi"/>
          <w:bCs/>
        </w:rPr>
        <w:t xml:space="preserve">raining for </w:t>
      </w:r>
      <w:r w:rsidR="008F5777" w:rsidRPr="00A859BE">
        <w:rPr>
          <w:rFonts w:asciiTheme="majorHAnsi" w:hAnsiTheme="majorHAnsi"/>
          <w:bCs/>
        </w:rPr>
        <w:t>n</w:t>
      </w:r>
      <w:r w:rsidR="00864615" w:rsidRPr="00A859BE">
        <w:rPr>
          <w:rFonts w:asciiTheme="majorHAnsi" w:hAnsiTheme="majorHAnsi"/>
          <w:bCs/>
        </w:rPr>
        <w:t xml:space="preserve">ew </w:t>
      </w:r>
      <w:r w:rsidR="00787D4F" w:rsidRPr="00A859BE">
        <w:rPr>
          <w:rFonts w:asciiTheme="majorHAnsi" w:hAnsiTheme="majorHAnsi"/>
          <w:bCs/>
        </w:rPr>
        <w:t xml:space="preserve">vaccine coordinators </w:t>
      </w:r>
      <w:r w:rsidR="00864615" w:rsidRPr="00A859BE">
        <w:rPr>
          <w:rFonts w:asciiTheme="majorHAnsi" w:hAnsiTheme="majorHAnsi"/>
          <w:bCs/>
        </w:rPr>
        <w:t xml:space="preserve">of </w:t>
      </w:r>
      <w:r w:rsidR="00031985" w:rsidRPr="00A859BE">
        <w:rPr>
          <w:rFonts w:asciiTheme="majorHAnsi" w:hAnsiTheme="majorHAnsi"/>
          <w:bCs/>
        </w:rPr>
        <w:t>enrolled</w:t>
      </w:r>
      <w:r w:rsidR="00864615" w:rsidRPr="00A859BE">
        <w:rPr>
          <w:rFonts w:asciiTheme="majorHAnsi" w:hAnsiTheme="majorHAnsi"/>
          <w:bCs/>
        </w:rPr>
        <w:t xml:space="preserve"> </w:t>
      </w:r>
      <w:r w:rsidR="008F5777" w:rsidRPr="00A859BE">
        <w:rPr>
          <w:rFonts w:asciiTheme="majorHAnsi" w:hAnsiTheme="majorHAnsi"/>
          <w:bCs/>
        </w:rPr>
        <w:t>p</w:t>
      </w:r>
      <w:r w:rsidR="00864615" w:rsidRPr="00A859BE">
        <w:rPr>
          <w:rFonts w:asciiTheme="majorHAnsi" w:hAnsiTheme="majorHAnsi"/>
          <w:bCs/>
        </w:rPr>
        <w:t>roviders</w:t>
      </w:r>
      <w:r w:rsidR="008F5777" w:rsidRPr="00A859BE">
        <w:rPr>
          <w:rFonts w:asciiTheme="majorHAnsi" w:hAnsiTheme="majorHAnsi"/>
          <w:bCs/>
        </w:rPr>
        <w:t xml:space="preserve">.  </w:t>
      </w:r>
      <w:r w:rsidR="008F5777" w:rsidRPr="00A859BE">
        <w:rPr>
          <w:rFonts w:asciiTheme="majorHAnsi" w:hAnsiTheme="majorHAnsi"/>
        </w:rPr>
        <w:t>The length of the training varies based on practice needs, but generally lasts</w:t>
      </w:r>
      <w:r w:rsidR="00864615" w:rsidRPr="00A859BE">
        <w:rPr>
          <w:rFonts w:asciiTheme="majorHAnsi" w:hAnsiTheme="majorHAnsi"/>
        </w:rPr>
        <w:t xml:space="preserve"> 2-3 hours</w:t>
      </w:r>
      <w:r w:rsidR="00A62BE2" w:rsidRPr="00A859BE">
        <w:rPr>
          <w:rFonts w:asciiTheme="majorHAnsi" w:hAnsiTheme="majorHAnsi"/>
        </w:rPr>
        <w:t>.  Areas covered during trainings include:</w:t>
      </w:r>
    </w:p>
    <w:p w:rsidR="00A62BE2" w:rsidRPr="00A859BE" w:rsidRDefault="00A62BE2" w:rsidP="003D038B">
      <w:pPr>
        <w:rPr>
          <w:rFonts w:asciiTheme="majorHAnsi" w:hAnsiTheme="majorHAnsi" w:cs="Arial"/>
          <w:sz w:val="22"/>
        </w:rPr>
      </w:pPr>
    </w:p>
    <w:p w:rsidR="008F5777" w:rsidRPr="00A859BE" w:rsidRDefault="008F5777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>Federal Vaccines for Children (VFC) Program</w:t>
      </w:r>
    </w:p>
    <w:p w:rsidR="008F5777" w:rsidRPr="00A859BE" w:rsidRDefault="008F5777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>Guidelines for compliance with federal and state vaccine administration requirements</w:t>
      </w:r>
    </w:p>
    <w:p w:rsidR="008F5777" w:rsidRPr="00A859BE" w:rsidRDefault="008F5777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>Vaccine storage and handling</w:t>
      </w:r>
    </w:p>
    <w:p w:rsidR="008F5777" w:rsidRPr="00A859BE" w:rsidRDefault="008F5777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>Availability of state supplied vaccine</w:t>
      </w:r>
    </w:p>
    <w:p w:rsidR="008F5777" w:rsidRPr="00A859BE" w:rsidRDefault="008F5777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 xml:space="preserve">Inventory control </w:t>
      </w:r>
    </w:p>
    <w:p w:rsidR="008F5777" w:rsidRPr="00A859BE" w:rsidRDefault="008F5777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>Recommended vaccination schedules</w:t>
      </w:r>
    </w:p>
    <w:p w:rsidR="00B63F60" w:rsidRPr="00A859BE" w:rsidRDefault="00B63F60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>School entry vaccination requirements</w:t>
      </w:r>
    </w:p>
    <w:p w:rsidR="00A62BE2" w:rsidRPr="00A859BE" w:rsidRDefault="00A62BE2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 xml:space="preserve">Immunization </w:t>
      </w:r>
      <w:r w:rsidR="008F5777" w:rsidRPr="00A859BE">
        <w:rPr>
          <w:rFonts w:asciiTheme="majorHAnsi" w:hAnsiTheme="majorHAnsi" w:cs="Arial"/>
          <w:szCs w:val="24"/>
        </w:rPr>
        <w:t>b</w:t>
      </w:r>
      <w:r w:rsidRPr="00A859BE">
        <w:rPr>
          <w:rFonts w:asciiTheme="majorHAnsi" w:hAnsiTheme="majorHAnsi" w:cs="Arial"/>
          <w:szCs w:val="24"/>
        </w:rPr>
        <w:t xml:space="preserve">est </w:t>
      </w:r>
      <w:r w:rsidR="008F5777" w:rsidRPr="00A859BE">
        <w:rPr>
          <w:rFonts w:asciiTheme="majorHAnsi" w:hAnsiTheme="majorHAnsi" w:cs="Arial"/>
          <w:szCs w:val="24"/>
        </w:rPr>
        <w:t>p</w:t>
      </w:r>
      <w:r w:rsidRPr="00A859BE">
        <w:rPr>
          <w:rFonts w:asciiTheme="majorHAnsi" w:hAnsiTheme="majorHAnsi" w:cs="Arial"/>
          <w:szCs w:val="24"/>
        </w:rPr>
        <w:t>ractices</w:t>
      </w:r>
    </w:p>
    <w:p w:rsidR="00A62BE2" w:rsidRPr="00A859BE" w:rsidRDefault="00031985" w:rsidP="00A859BE">
      <w:pPr>
        <w:numPr>
          <w:ilvl w:val="0"/>
          <w:numId w:val="20"/>
        </w:numPr>
        <w:rPr>
          <w:rFonts w:asciiTheme="majorHAnsi" w:hAnsiTheme="majorHAnsi" w:cs="Arial"/>
          <w:szCs w:val="24"/>
        </w:rPr>
      </w:pPr>
      <w:r w:rsidRPr="00A859BE">
        <w:rPr>
          <w:rFonts w:asciiTheme="majorHAnsi" w:hAnsiTheme="majorHAnsi" w:cs="Arial"/>
          <w:szCs w:val="24"/>
        </w:rPr>
        <w:t>S</w:t>
      </w:r>
      <w:r w:rsidR="00770E84" w:rsidRPr="00A859BE">
        <w:rPr>
          <w:rFonts w:asciiTheme="majorHAnsi" w:hAnsiTheme="majorHAnsi" w:cs="Arial"/>
          <w:szCs w:val="24"/>
        </w:rPr>
        <w:t xml:space="preserve">ources for </w:t>
      </w:r>
      <w:r w:rsidRPr="00A859BE">
        <w:rPr>
          <w:rFonts w:asciiTheme="majorHAnsi" w:hAnsiTheme="majorHAnsi" w:cs="Arial"/>
          <w:szCs w:val="24"/>
        </w:rPr>
        <w:t xml:space="preserve">immunization </w:t>
      </w:r>
      <w:r w:rsidR="00770E84" w:rsidRPr="00A859BE">
        <w:rPr>
          <w:rFonts w:asciiTheme="majorHAnsi" w:hAnsiTheme="majorHAnsi" w:cs="Arial"/>
          <w:szCs w:val="24"/>
        </w:rPr>
        <w:t>information</w:t>
      </w:r>
      <w:r w:rsidR="00A62BE2" w:rsidRPr="00A859BE">
        <w:rPr>
          <w:rFonts w:asciiTheme="majorHAnsi" w:hAnsiTheme="majorHAnsi" w:cs="Arial"/>
          <w:szCs w:val="24"/>
        </w:rPr>
        <w:t xml:space="preserve"> </w:t>
      </w:r>
    </w:p>
    <w:p w:rsidR="00A859BE" w:rsidRPr="004C4BCA" w:rsidRDefault="00A859BE">
      <w:pPr>
        <w:ind w:right="-144"/>
        <w:jc w:val="both"/>
        <w:rPr>
          <w:rFonts w:ascii="Arial" w:hAnsi="Arial"/>
          <w:sz w:val="26"/>
          <w:szCs w:val="26"/>
        </w:rPr>
      </w:pPr>
    </w:p>
    <w:p w:rsidR="00B149E4" w:rsidRPr="00D62B04" w:rsidRDefault="00B149E4" w:rsidP="00A859BE">
      <w:pPr>
        <w:pStyle w:val="Heading2"/>
        <w:autoSpaceDE/>
        <w:autoSpaceDN/>
        <w:adjustRightInd/>
        <w:spacing w:after="120"/>
      </w:pPr>
      <w:r w:rsidRPr="00A859BE">
        <w:rPr>
          <w:rFonts w:asciiTheme="majorHAnsi" w:hAnsiTheme="majorHAnsi"/>
          <w:sz w:val="26"/>
          <w:szCs w:val="26"/>
        </w:rPr>
        <w:t>Site Visits</w:t>
      </w:r>
    </w:p>
    <w:p w:rsidR="00E324B5" w:rsidRPr="00A859BE" w:rsidRDefault="00B149E4">
      <w:pPr>
        <w:pStyle w:val="BodyText2"/>
        <w:rPr>
          <w:rFonts w:asciiTheme="majorHAnsi" w:hAnsiTheme="majorHAnsi"/>
          <w:sz w:val="24"/>
        </w:rPr>
      </w:pPr>
      <w:r w:rsidRPr="00A859BE">
        <w:rPr>
          <w:rFonts w:asciiTheme="majorHAnsi" w:hAnsiTheme="majorHAnsi"/>
          <w:sz w:val="24"/>
        </w:rPr>
        <w:t>S</w:t>
      </w:r>
      <w:r w:rsidR="00E324B5" w:rsidRPr="00A859BE">
        <w:rPr>
          <w:rFonts w:asciiTheme="majorHAnsi" w:hAnsiTheme="majorHAnsi"/>
          <w:sz w:val="24"/>
        </w:rPr>
        <w:t>ite visits</w:t>
      </w:r>
      <w:r w:rsidRPr="00A859BE">
        <w:rPr>
          <w:rFonts w:asciiTheme="majorHAnsi" w:hAnsiTheme="majorHAnsi"/>
          <w:sz w:val="24"/>
        </w:rPr>
        <w:t>, also called VFC compliance site visits, include</w:t>
      </w:r>
      <w:r w:rsidR="00E324B5" w:rsidRPr="00A859BE">
        <w:rPr>
          <w:rFonts w:asciiTheme="majorHAnsi" w:hAnsiTheme="majorHAnsi"/>
          <w:sz w:val="24"/>
        </w:rPr>
        <w:t xml:space="preserve"> a review of VFC </w:t>
      </w:r>
      <w:r w:rsidRPr="00A859BE">
        <w:rPr>
          <w:rFonts w:asciiTheme="majorHAnsi" w:hAnsiTheme="majorHAnsi"/>
          <w:sz w:val="24"/>
        </w:rPr>
        <w:t>p</w:t>
      </w:r>
      <w:r w:rsidR="00E324B5" w:rsidRPr="00A859BE">
        <w:rPr>
          <w:rFonts w:asciiTheme="majorHAnsi" w:hAnsiTheme="majorHAnsi"/>
          <w:sz w:val="24"/>
        </w:rPr>
        <w:t xml:space="preserve">rogram </w:t>
      </w:r>
      <w:proofErr w:type="gramStart"/>
      <w:r w:rsidR="00E324B5" w:rsidRPr="00A859BE">
        <w:rPr>
          <w:rFonts w:asciiTheme="majorHAnsi" w:hAnsiTheme="majorHAnsi"/>
          <w:sz w:val="24"/>
        </w:rPr>
        <w:t>requirements</w:t>
      </w:r>
      <w:proofErr w:type="gramEnd"/>
      <w:r w:rsidR="00E324B5" w:rsidRPr="00A859BE">
        <w:rPr>
          <w:rFonts w:asciiTheme="majorHAnsi" w:hAnsiTheme="majorHAnsi"/>
          <w:sz w:val="24"/>
        </w:rPr>
        <w:t xml:space="preserve"> and guidelines</w:t>
      </w:r>
      <w:r w:rsidRPr="00A859BE">
        <w:rPr>
          <w:rFonts w:asciiTheme="majorHAnsi" w:hAnsiTheme="majorHAnsi"/>
          <w:sz w:val="24"/>
        </w:rPr>
        <w:t xml:space="preserve">.  </w:t>
      </w:r>
      <w:r w:rsidR="00A6211A" w:rsidRPr="00A859BE">
        <w:rPr>
          <w:rFonts w:asciiTheme="majorHAnsi" w:hAnsiTheme="majorHAnsi"/>
          <w:sz w:val="24"/>
        </w:rPr>
        <w:t xml:space="preserve">Using a standardized questionnaire from the Centers for Disease Control and Prevention (CDC), Quality Assurance Analysts will provide support and information to ensure </w:t>
      </w:r>
      <w:r w:rsidRPr="00A859BE">
        <w:rPr>
          <w:rFonts w:asciiTheme="majorHAnsi" w:hAnsiTheme="majorHAnsi"/>
          <w:sz w:val="24"/>
        </w:rPr>
        <w:t xml:space="preserve">providers are following all program requirements.  </w:t>
      </w:r>
      <w:r w:rsidR="00E324B5" w:rsidRPr="00A859BE">
        <w:rPr>
          <w:rFonts w:asciiTheme="majorHAnsi" w:hAnsiTheme="majorHAnsi"/>
          <w:sz w:val="24"/>
        </w:rPr>
        <w:t>Site visits also contain a formal education component and are an opportunity for providers to ask questions and share their first-hand experience of the challenges and successes of vaccinating children in today’s provider office.</w:t>
      </w:r>
    </w:p>
    <w:p w:rsidR="00A859BE" w:rsidRPr="004C4BCA" w:rsidRDefault="00A859BE" w:rsidP="00A859BE">
      <w:pPr>
        <w:rPr>
          <w:sz w:val="26"/>
          <w:szCs w:val="26"/>
        </w:rPr>
      </w:pPr>
    </w:p>
    <w:p w:rsidR="00350E80" w:rsidRDefault="00787D4F">
      <w:pPr>
        <w:pStyle w:val="Heading3"/>
        <w:rPr>
          <w:sz w:val="26"/>
          <w:szCs w:val="26"/>
        </w:rPr>
      </w:pPr>
      <w:r w:rsidRPr="00A859BE">
        <w:rPr>
          <w:rFonts w:asciiTheme="majorHAnsi" w:hAnsiTheme="majorHAnsi"/>
          <w:sz w:val="26"/>
          <w:szCs w:val="26"/>
        </w:rPr>
        <w:t>Immunization Program Contact Information</w:t>
      </w:r>
    </w:p>
    <w:p w:rsidR="00787D4F" w:rsidRDefault="00787D4F" w:rsidP="00A859BE"/>
    <w:p w:rsidR="00787D4F" w:rsidRPr="00A859BE" w:rsidRDefault="00787D4F" w:rsidP="00A859BE">
      <w:pPr>
        <w:rPr>
          <w:rFonts w:asciiTheme="majorHAnsi" w:hAnsiTheme="majorHAnsi"/>
          <w:b/>
        </w:rPr>
      </w:pPr>
      <w:r w:rsidRPr="00A859BE">
        <w:rPr>
          <w:rFonts w:asciiTheme="majorHAnsi" w:hAnsiTheme="majorHAnsi"/>
          <w:b/>
        </w:rPr>
        <w:t>Vaccine Unit</w:t>
      </w:r>
      <w:r w:rsidRPr="00A859BE">
        <w:rPr>
          <w:rFonts w:asciiTheme="majorHAnsi" w:hAnsiTheme="majorHAnsi"/>
          <w:b/>
        </w:rPr>
        <w:tab/>
      </w:r>
      <w:r w:rsidRPr="00A859BE">
        <w:rPr>
          <w:rFonts w:asciiTheme="majorHAnsi" w:hAnsiTheme="majorHAnsi"/>
          <w:b/>
        </w:rPr>
        <w:tab/>
      </w:r>
      <w:r w:rsidRPr="00A859BE">
        <w:rPr>
          <w:rFonts w:asciiTheme="majorHAnsi" w:hAnsiTheme="majorHAnsi"/>
          <w:b/>
        </w:rPr>
        <w:tab/>
      </w:r>
      <w:r w:rsidRP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Pr="00A859BE">
        <w:rPr>
          <w:rFonts w:asciiTheme="majorHAnsi" w:hAnsiTheme="majorHAnsi"/>
          <w:b/>
        </w:rPr>
        <w:t>617-983-6828</w:t>
      </w:r>
    </w:p>
    <w:p w:rsidR="00787D4F" w:rsidRPr="00A859BE" w:rsidRDefault="00787D4F" w:rsidP="00A859BE">
      <w:pPr>
        <w:rPr>
          <w:rFonts w:asciiTheme="majorHAnsi" w:hAnsiTheme="majorHAnsi"/>
        </w:rPr>
      </w:pPr>
      <w:r w:rsidRPr="00A859BE">
        <w:rPr>
          <w:rFonts w:asciiTheme="majorHAnsi" w:hAnsiTheme="majorHAnsi"/>
        </w:rPr>
        <w:t xml:space="preserve">Call with questions about ordering or storing vaccine, about temperature logs, or requests for in-person training. </w:t>
      </w:r>
    </w:p>
    <w:p w:rsidR="00787D4F" w:rsidRPr="00A859BE" w:rsidRDefault="00787D4F" w:rsidP="00A859BE">
      <w:pPr>
        <w:rPr>
          <w:rFonts w:asciiTheme="majorHAnsi" w:hAnsiTheme="majorHAnsi"/>
        </w:rPr>
      </w:pPr>
    </w:p>
    <w:p w:rsidR="00787D4F" w:rsidRPr="00A859BE" w:rsidRDefault="00787D4F" w:rsidP="00A859BE">
      <w:pPr>
        <w:rPr>
          <w:rFonts w:asciiTheme="majorHAnsi" w:hAnsiTheme="majorHAnsi"/>
          <w:b/>
        </w:rPr>
      </w:pPr>
      <w:r w:rsidRPr="00A859BE">
        <w:rPr>
          <w:rFonts w:asciiTheme="majorHAnsi" w:hAnsiTheme="majorHAnsi"/>
          <w:b/>
        </w:rPr>
        <w:t>MIIS Help Desk</w:t>
      </w:r>
      <w:r w:rsidRPr="00A859BE">
        <w:rPr>
          <w:rFonts w:asciiTheme="majorHAnsi" w:hAnsiTheme="majorHAnsi"/>
          <w:b/>
        </w:rPr>
        <w:tab/>
      </w:r>
      <w:r w:rsidRPr="00A859BE">
        <w:rPr>
          <w:rFonts w:asciiTheme="majorHAnsi" w:hAnsiTheme="majorHAnsi"/>
          <w:b/>
        </w:rPr>
        <w:tab/>
      </w:r>
      <w:r w:rsidRP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Pr="00A859BE">
        <w:rPr>
          <w:rFonts w:asciiTheme="majorHAnsi" w:hAnsiTheme="majorHAnsi"/>
          <w:b/>
        </w:rPr>
        <w:t>617-983-4335</w:t>
      </w:r>
    </w:p>
    <w:p w:rsidR="00787D4F" w:rsidRPr="00A859BE" w:rsidRDefault="00787D4F" w:rsidP="00A859BE">
      <w:pPr>
        <w:rPr>
          <w:rFonts w:asciiTheme="majorHAnsi" w:hAnsiTheme="majorHAnsi"/>
        </w:rPr>
      </w:pPr>
      <w:r w:rsidRPr="00A859BE">
        <w:rPr>
          <w:rFonts w:asciiTheme="majorHAnsi" w:hAnsiTheme="majorHAnsi"/>
        </w:rPr>
        <w:t>Call with questions about registering for the Massachusetts Immunization Information System (MIIS) or about existing MIIS user accounts.</w:t>
      </w:r>
    </w:p>
    <w:p w:rsidR="00787D4F" w:rsidRPr="00A859BE" w:rsidRDefault="00787D4F" w:rsidP="00A859BE">
      <w:pPr>
        <w:rPr>
          <w:rFonts w:asciiTheme="majorHAnsi" w:hAnsiTheme="majorHAnsi"/>
        </w:rPr>
      </w:pPr>
    </w:p>
    <w:p w:rsidR="00787D4F" w:rsidRPr="00A859BE" w:rsidRDefault="00787D4F" w:rsidP="00A859BE">
      <w:pPr>
        <w:rPr>
          <w:rFonts w:asciiTheme="majorHAnsi" w:hAnsiTheme="majorHAnsi"/>
          <w:b/>
        </w:rPr>
      </w:pPr>
      <w:r w:rsidRPr="00A859BE">
        <w:rPr>
          <w:rFonts w:asciiTheme="majorHAnsi" w:hAnsiTheme="majorHAnsi"/>
          <w:b/>
        </w:rPr>
        <w:t>Immunization Assessment Unit</w:t>
      </w:r>
      <w:r w:rsidRP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="00A859BE">
        <w:rPr>
          <w:rFonts w:asciiTheme="majorHAnsi" w:hAnsiTheme="majorHAnsi"/>
          <w:b/>
        </w:rPr>
        <w:tab/>
      </w:r>
      <w:r w:rsidRPr="00A859BE">
        <w:rPr>
          <w:rFonts w:asciiTheme="majorHAnsi" w:hAnsiTheme="majorHAnsi"/>
          <w:b/>
        </w:rPr>
        <w:t>617-983-4330</w:t>
      </w:r>
    </w:p>
    <w:p w:rsidR="00787D4F" w:rsidRDefault="00787D4F" w:rsidP="00A859BE">
      <w:pPr>
        <w:rPr>
          <w:rFonts w:asciiTheme="majorHAnsi" w:hAnsiTheme="majorHAnsi"/>
        </w:rPr>
      </w:pPr>
      <w:r w:rsidRPr="00A859BE">
        <w:rPr>
          <w:rFonts w:asciiTheme="majorHAnsi" w:hAnsiTheme="majorHAnsi"/>
        </w:rPr>
        <w:t>Call with questions about</w:t>
      </w:r>
      <w:r w:rsidR="00A859BE" w:rsidRPr="00A859BE">
        <w:rPr>
          <w:rFonts w:asciiTheme="majorHAnsi" w:hAnsiTheme="majorHAnsi"/>
        </w:rPr>
        <w:t xml:space="preserve"> measuring or improving</w:t>
      </w:r>
      <w:r w:rsidRPr="00A859BE">
        <w:rPr>
          <w:rFonts w:asciiTheme="majorHAnsi" w:hAnsiTheme="majorHAnsi"/>
        </w:rPr>
        <w:t xml:space="preserve"> immunization rates in your practice</w:t>
      </w:r>
      <w:r w:rsidR="00A859BE" w:rsidRPr="00A859BE">
        <w:rPr>
          <w:rFonts w:asciiTheme="majorHAnsi" w:hAnsiTheme="majorHAnsi"/>
        </w:rPr>
        <w:t>.</w:t>
      </w:r>
    </w:p>
    <w:p w:rsidR="004C4BCA" w:rsidRPr="00A859BE" w:rsidRDefault="004C4BCA" w:rsidP="00A859BE">
      <w:pPr>
        <w:rPr>
          <w:rFonts w:asciiTheme="majorHAnsi" w:hAnsiTheme="majorHAnsi"/>
        </w:rPr>
      </w:pPr>
    </w:p>
    <w:p w:rsidR="004C4BCA" w:rsidRDefault="004C4BCA" w:rsidP="004C4BCA">
      <w:pPr>
        <w:jc w:val="both"/>
        <w:rPr>
          <w:rFonts w:asciiTheme="majorHAnsi" w:hAnsiTheme="majorHAnsi"/>
        </w:rPr>
      </w:pPr>
      <w:r w:rsidRPr="004C4BCA">
        <w:rPr>
          <w:rFonts w:asciiTheme="majorHAnsi" w:hAnsiTheme="majorHAnsi"/>
          <w:b/>
        </w:rPr>
        <w:t>Epidemiology and Immunization Main Number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617-983-6800</w:t>
      </w:r>
    </w:p>
    <w:p w:rsidR="00350E80" w:rsidRPr="004C4BCA" w:rsidRDefault="004C4BCA" w:rsidP="004C4BCA">
      <w:pPr>
        <w:jc w:val="both"/>
        <w:rPr>
          <w:rFonts w:asciiTheme="majorHAnsi" w:hAnsiTheme="majorHAnsi"/>
          <w:sz w:val="20"/>
        </w:rPr>
      </w:pPr>
      <w:r w:rsidRPr="004C4BCA">
        <w:rPr>
          <w:rFonts w:asciiTheme="majorHAnsi" w:hAnsiTheme="majorHAnsi"/>
        </w:rPr>
        <w:t>Call with questions about immunization schedul</w:t>
      </w:r>
      <w:r>
        <w:rPr>
          <w:rFonts w:asciiTheme="majorHAnsi" w:hAnsiTheme="majorHAnsi"/>
        </w:rPr>
        <w:t xml:space="preserve">es, </w:t>
      </w:r>
      <w:r w:rsidRPr="004C4BCA">
        <w:rPr>
          <w:rFonts w:asciiTheme="majorHAnsi" w:hAnsiTheme="majorHAnsi"/>
        </w:rPr>
        <w:t xml:space="preserve">administration, or to report a </w:t>
      </w:r>
      <w:r>
        <w:rPr>
          <w:rFonts w:asciiTheme="majorHAnsi" w:hAnsiTheme="majorHAnsi"/>
        </w:rPr>
        <w:t xml:space="preserve">case of </w:t>
      </w:r>
      <w:r w:rsidRPr="004C4BCA">
        <w:rPr>
          <w:rFonts w:asciiTheme="majorHAnsi" w:hAnsiTheme="majorHAnsi"/>
        </w:rPr>
        <w:t>vaccine preventable disease</w:t>
      </w:r>
      <w:r>
        <w:rPr>
          <w:rFonts w:asciiTheme="majorHAnsi" w:hAnsiTheme="majorHAnsi"/>
        </w:rPr>
        <w:t>.</w:t>
      </w:r>
    </w:p>
    <w:sectPr w:rsidR="00350E80" w:rsidRPr="004C4BCA" w:rsidSect="004C4BCA">
      <w:headerReference w:type="default" r:id="rId8"/>
      <w:pgSz w:w="12240" w:h="15840"/>
      <w:pgMar w:top="1152" w:right="1440" w:bottom="1152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27" w:rsidRDefault="003E0F27">
      <w:r>
        <w:separator/>
      </w:r>
    </w:p>
  </w:endnote>
  <w:endnote w:type="continuationSeparator" w:id="0">
    <w:p w:rsidR="003E0F27" w:rsidRDefault="003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27" w:rsidRDefault="003E0F27">
      <w:r>
        <w:separator/>
      </w:r>
    </w:p>
  </w:footnote>
  <w:footnote w:type="continuationSeparator" w:id="0">
    <w:p w:rsidR="003E0F27" w:rsidRDefault="003E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22" w:rsidRPr="00A859BE" w:rsidRDefault="000C7822">
    <w:pPr>
      <w:pStyle w:val="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0"/>
      <w:rPr>
        <w:rFonts w:asciiTheme="majorHAnsi" w:hAnsiTheme="majorHAnsi"/>
        <w:bCs/>
        <w:sz w:val="20"/>
      </w:rPr>
    </w:pPr>
    <w:r w:rsidRPr="00A859BE">
      <w:rPr>
        <w:rFonts w:asciiTheme="majorHAnsi" w:hAnsiTheme="majorHAnsi"/>
        <w:bCs/>
        <w:sz w:val="20"/>
      </w:rPr>
      <w:t>Massachusetts Department of Public Health</w:t>
    </w:r>
  </w:p>
  <w:p w:rsidR="000C7822" w:rsidRPr="00A859BE" w:rsidRDefault="000C7822">
    <w:pPr>
      <w:pStyle w:val="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0"/>
      <w:rPr>
        <w:rFonts w:asciiTheme="majorHAnsi" w:hAnsiTheme="majorHAnsi"/>
        <w:bCs/>
        <w:sz w:val="10"/>
        <w:szCs w:val="10"/>
      </w:rPr>
    </w:pPr>
  </w:p>
  <w:p w:rsidR="000C7822" w:rsidRPr="00A859BE" w:rsidRDefault="000C7822">
    <w:pPr>
      <w:pStyle w:val="Header"/>
      <w:jc w:val="center"/>
      <w:rPr>
        <w:rFonts w:asciiTheme="majorHAnsi" w:hAnsiTheme="majorHAnsi"/>
        <w:sz w:val="28"/>
        <w:szCs w:val="28"/>
      </w:rPr>
    </w:pPr>
    <w:r w:rsidRPr="00A859BE">
      <w:rPr>
        <w:rFonts w:asciiTheme="majorHAnsi" w:hAnsiTheme="majorHAnsi"/>
        <w:b/>
        <w:bCs/>
        <w:sz w:val="28"/>
        <w:szCs w:val="28"/>
      </w:rPr>
      <w:t xml:space="preserve">Immunization Program </w:t>
    </w:r>
    <w:r w:rsidR="00B149E4" w:rsidRPr="00A859BE">
      <w:rPr>
        <w:rFonts w:asciiTheme="majorHAnsi" w:hAnsiTheme="majorHAnsi"/>
        <w:b/>
        <w:bCs/>
        <w:sz w:val="28"/>
        <w:szCs w:val="28"/>
      </w:rPr>
      <w:t>Quality Assurance</w:t>
    </w:r>
    <w:r w:rsidRPr="00A859BE">
      <w:rPr>
        <w:rFonts w:asciiTheme="majorHAnsi" w:hAnsiTheme="majorHAnsi"/>
        <w:b/>
        <w:bCs/>
        <w:sz w:val="28"/>
        <w:szCs w:val="28"/>
      </w:rPr>
      <w:t xml:space="preserve"> Analysts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E47"/>
    <w:multiLevelType w:val="hybridMultilevel"/>
    <w:tmpl w:val="6CB4D174"/>
    <w:lvl w:ilvl="0" w:tplc="33581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4516A"/>
    <w:multiLevelType w:val="hybridMultilevel"/>
    <w:tmpl w:val="0CB24E52"/>
    <w:lvl w:ilvl="0" w:tplc="456E1A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1338F"/>
    <w:multiLevelType w:val="hybridMultilevel"/>
    <w:tmpl w:val="87F06C10"/>
    <w:lvl w:ilvl="0" w:tplc="F52072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111D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9D1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9B5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DA73C3"/>
    <w:multiLevelType w:val="hybridMultilevel"/>
    <w:tmpl w:val="80BC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856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744384"/>
    <w:multiLevelType w:val="multilevel"/>
    <w:tmpl w:val="87F06C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CB450E"/>
    <w:multiLevelType w:val="multilevel"/>
    <w:tmpl w:val="87F06C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7D59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A0752E"/>
    <w:multiLevelType w:val="hybridMultilevel"/>
    <w:tmpl w:val="87F06C10"/>
    <w:lvl w:ilvl="0" w:tplc="F52072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3655F"/>
    <w:multiLevelType w:val="hybridMultilevel"/>
    <w:tmpl w:val="96EC49DC"/>
    <w:lvl w:ilvl="0" w:tplc="F52072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325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5D1529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DA1F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E27B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A33D49"/>
    <w:multiLevelType w:val="hybridMultilevel"/>
    <w:tmpl w:val="C996F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57FE9"/>
    <w:multiLevelType w:val="hybridMultilevel"/>
    <w:tmpl w:val="D6A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2"/>
  </w:num>
  <w:num w:numId="18">
    <w:abstractNumId w:val="9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6"/>
    <w:rsid w:val="00031985"/>
    <w:rsid w:val="00033289"/>
    <w:rsid w:val="0005598D"/>
    <w:rsid w:val="000A2C57"/>
    <w:rsid w:val="000C7822"/>
    <w:rsid w:val="000D601A"/>
    <w:rsid w:val="00133172"/>
    <w:rsid w:val="00173C5A"/>
    <w:rsid w:val="001D7045"/>
    <w:rsid w:val="00223366"/>
    <w:rsid w:val="002362F6"/>
    <w:rsid w:val="002864D6"/>
    <w:rsid w:val="00347C27"/>
    <w:rsid w:val="00350E80"/>
    <w:rsid w:val="00370C11"/>
    <w:rsid w:val="00377AF2"/>
    <w:rsid w:val="003D038B"/>
    <w:rsid w:val="003E0F27"/>
    <w:rsid w:val="00444AF3"/>
    <w:rsid w:val="004813AB"/>
    <w:rsid w:val="004B2B50"/>
    <w:rsid w:val="004C4BCA"/>
    <w:rsid w:val="005C7462"/>
    <w:rsid w:val="005F3CEE"/>
    <w:rsid w:val="00612183"/>
    <w:rsid w:val="00643223"/>
    <w:rsid w:val="00662A9B"/>
    <w:rsid w:val="00664FAE"/>
    <w:rsid w:val="006766DE"/>
    <w:rsid w:val="006B521F"/>
    <w:rsid w:val="007313BA"/>
    <w:rsid w:val="0074042E"/>
    <w:rsid w:val="007405CA"/>
    <w:rsid w:val="00770E84"/>
    <w:rsid w:val="00787D4F"/>
    <w:rsid w:val="007F494B"/>
    <w:rsid w:val="007F57A5"/>
    <w:rsid w:val="00817E74"/>
    <w:rsid w:val="00864615"/>
    <w:rsid w:val="0088741B"/>
    <w:rsid w:val="008D0B41"/>
    <w:rsid w:val="008F5777"/>
    <w:rsid w:val="008F695B"/>
    <w:rsid w:val="00932313"/>
    <w:rsid w:val="00946C03"/>
    <w:rsid w:val="0096630D"/>
    <w:rsid w:val="00A6158C"/>
    <w:rsid w:val="00A6211A"/>
    <w:rsid w:val="00A62BE2"/>
    <w:rsid w:val="00A7018E"/>
    <w:rsid w:val="00A80096"/>
    <w:rsid w:val="00A859BE"/>
    <w:rsid w:val="00AA36A6"/>
    <w:rsid w:val="00AE44A4"/>
    <w:rsid w:val="00B149E4"/>
    <w:rsid w:val="00B4189C"/>
    <w:rsid w:val="00B51669"/>
    <w:rsid w:val="00B63F60"/>
    <w:rsid w:val="00BA39CA"/>
    <w:rsid w:val="00BB7DEF"/>
    <w:rsid w:val="00BD287A"/>
    <w:rsid w:val="00C71E55"/>
    <w:rsid w:val="00CC5705"/>
    <w:rsid w:val="00D052B3"/>
    <w:rsid w:val="00D21AC2"/>
    <w:rsid w:val="00D62B04"/>
    <w:rsid w:val="00D80597"/>
    <w:rsid w:val="00DA359A"/>
    <w:rsid w:val="00DE0D4D"/>
    <w:rsid w:val="00E324B5"/>
    <w:rsid w:val="00E85590"/>
    <w:rsid w:val="00EC58DF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right="-1800"/>
      <w:jc w:val="both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right="-1800"/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right="-1800"/>
      <w:jc w:val="both"/>
    </w:pPr>
    <w:rPr>
      <w:rFonts w:ascii="Univers" w:hAnsi="Univer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B2B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01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right="-1800"/>
      <w:jc w:val="both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right="-1800"/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right="-1800"/>
      <w:jc w:val="both"/>
    </w:pPr>
    <w:rPr>
      <w:rFonts w:ascii="Univers" w:hAnsi="Univer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B2B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01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2016-09-26T21:00:00Z</dcterms:created>
  <dcterms:modified xsi:type="dcterms:W3CDTF">2016-09-26T21:00:00Z</dcterms:modified>
  <revision>1</revision>
</coreProperties>
</file>