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5E" w:rsidRPr="00C12E5E" w:rsidRDefault="00A12259" w:rsidP="005D4B9B">
      <w:pPr>
        <w:spacing w:after="0"/>
        <w:jc w:val="center"/>
        <w:rPr>
          <w:sz w:val="32"/>
          <w:szCs w:val="28"/>
        </w:rPr>
      </w:pPr>
      <w:r>
        <w:rPr>
          <w:rFonts w:asciiTheme="majorHAnsi" w:eastAsiaTheme="majorEastAsia" w:hAnsiTheme="majorHAnsi" w:cstheme="majorBidi"/>
          <w:caps/>
          <w:sz w:val="40"/>
        </w:rPr>
        <w:t xml:space="preserve">the </w:t>
      </w:r>
      <w:sdt>
        <w:sdtPr>
          <w:rPr>
            <w:rFonts w:asciiTheme="majorHAnsi" w:eastAsiaTheme="majorEastAsia" w:hAnsiTheme="majorHAnsi" w:cstheme="majorBidi"/>
            <w:caps/>
            <w:sz w:val="40"/>
          </w:rPr>
          <w:alias w:val="Company"/>
          <w:id w:val="23455604"/>
          <w:placeholder>
            <w:docPart w:val="5D036F5A3CDC49DCA32D68BD9C7E49B4"/>
          </w:placeholder>
          <w:dataBinding w:prefixMappings="xmlns:ns0='http://schemas.openxmlformats.org/officeDocument/2006/extended-properties'" w:xpath="/ns0:Properties[1]/ns0:Company[1]" w:storeItemID="{6668398D-A668-4E3E-A5EB-62B293D839F1}"/>
          <w:text/>
        </w:sdtPr>
        <w:sdtEndPr/>
        <w:sdtContent>
          <w:r w:rsidR="009F5338" w:rsidRPr="00353AF0">
            <w:rPr>
              <w:rFonts w:asciiTheme="majorHAnsi" w:eastAsiaTheme="majorEastAsia" w:hAnsiTheme="majorHAnsi" w:cstheme="majorBidi"/>
              <w:caps/>
              <w:sz w:val="40"/>
            </w:rPr>
            <w:t>Commonwealth of Massachusetts</w:t>
          </w:r>
        </w:sdtContent>
      </w:sdt>
    </w:p>
    <w:p w:rsidR="00C12E5E" w:rsidRDefault="00C12E5E" w:rsidP="005D4B9B">
      <w:pPr>
        <w:spacing w:after="0"/>
        <w:jc w:val="center"/>
        <w:rPr>
          <w:b/>
          <w:sz w:val="32"/>
          <w:szCs w:val="28"/>
        </w:rPr>
      </w:pPr>
    </w:p>
    <w:p w:rsidR="00C12E5E" w:rsidRDefault="00C12E5E" w:rsidP="005D4B9B">
      <w:pPr>
        <w:spacing w:after="0"/>
        <w:jc w:val="center"/>
        <w:rPr>
          <w:b/>
          <w:sz w:val="32"/>
          <w:szCs w:val="28"/>
        </w:rPr>
      </w:pPr>
    </w:p>
    <w:p w:rsidR="00C12E5E" w:rsidRDefault="00353AF0" w:rsidP="005D4B9B">
      <w:pPr>
        <w:spacing w:after="0"/>
        <w:jc w:val="center"/>
        <w:rPr>
          <w:b/>
          <w:sz w:val="32"/>
          <w:szCs w:val="28"/>
        </w:rPr>
      </w:pPr>
      <w:r>
        <w:rPr>
          <w:noProof/>
        </w:rPr>
        <w:drawing>
          <wp:inline distT="0" distB="0" distL="0" distR="0">
            <wp:extent cx="1352550" cy="1352550"/>
            <wp:effectExtent l="19050" t="0" r="0" b="0"/>
            <wp:docPr id="1" name="Picture 1" descr="http://upload.wikimedia.org/wikipedia/commons/thumb/8/82/Seal_of_Massachusetts.svg/2000px-Seal_of_Massachusett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2/Seal_of_Massachusetts.svg/2000px-Seal_of_Massachusetts.svg.png"/>
                    <pic:cNvPicPr>
                      <a:picLocks noChangeAspect="1" noChangeArrowheads="1"/>
                    </pic:cNvPicPr>
                  </pic:nvPicPr>
                  <pic:blipFill>
                    <a:blip r:embed="rId9" cstate="print"/>
                    <a:srcRect/>
                    <a:stretch>
                      <a:fillRect/>
                    </a:stretch>
                  </pic:blipFill>
                  <pic:spPr bwMode="auto">
                    <a:xfrm>
                      <a:off x="0" y="0"/>
                      <a:ext cx="1352550" cy="1352550"/>
                    </a:xfrm>
                    <a:prstGeom prst="rect">
                      <a:avLst/>
                    </a:prstGeom>
                    <a:noFill/>
                    <a:ln w="9525">
                      <a:noFill/>
                      <a:miter lim="800000"/>
                      <a:headEnd/>
                      <a:tailEnd/>
                    </a:ln>
                  </pic:spPr>
                </pic:pic>
              </a:graphicData>
            </a:graphic>
          </wp:inline>
        </w:drawing>
      </w:r>
    </w:p>
    <w:p w:rsidR="00C12E5E" w:rsidRDefault="00C12E5E" w:rsidP="005D4B9B">
      <w:pPr>
        <w:spacing w:after="0"/>
        <w:jc w:val="center"/>
        <w:rPr>
          <w:b/>
          <w:sz w:val="32"/>
          <w:szCs w:val="28"/>
        </w:rPr>
      </w:pPr>
    </w:p>
    <w:p w:rsidR="00C12E5E" w:rsidRDefault="00C12E5E" w:rsidP="005D4B9B">
      <w:pPr>
        <w:spacing w:after="0"/>
        <w:jc w:val="center"/>
        <w:rPr>
          <w:b/>
          <w:sz w:val="32"/>
          <w:szCs w:val="28"/>
        </w:rPr>
      </w:pPr>
    </w:p>
    <w:p w:rsidR="00C12E5E" w:rsidRDefault="00C12E5E" w:rsidP="005D4B9B">
      <w:pPr>
        <w:spacing w:after="0"/>
        <w:jc w:val="center"/>
        <w:rPr>
          <w:b/>
          <w:sz w:val="32"/>
          <w:szCs w:val="28"/>
        </w:rPr>
      </w:pPr>
    </w:p>
    <w:p w:rsidR="00C12E5E" w:rsidRDefault="009F5338" w:rsidP="005D4B9B">
      <w:pPr>
        <w:spacing w:after="0"/>
        <w:jc w:val="center"/>
        <w:rPr>
          <w:sz w:val="80"/>
          <w:szCs w:val="80"/>
        </w:rPr>
      </w:pPr>
      <w:r w:rsidRPr="009F5338">
        <w:rPr>
          <w:sz w:val="80"/>
          <w:szCs w:val="80"/>
        </w:rPr>
        <w:t>Fuel Efficiency Standard for State Fleet</w:t>
      </w:r>
    </w:p>
    <w:p w:rsidR="00C12E5E" w:rsidRDefault="00C12E5E" w:rsidP="005D4B9B">
      <w:pPr>
        <w:spacing w:after="0"/>
        <w:jc w:val="center"/>
        <w:rPr>
          <w:sz w:val="44"/>
          <w:szCs w:val="44"/>
        </w:rPr>
      </w:pPr>
    </w:p>
    <w:p w:rsidR="00133F05" w:rsidRDefault="00133F05" w:rsidP="005D4B9B">
      <w:pPr>
        <w:spacing w:after="0"/>
        <w:jc w:val="center"/>
        <w:rPr>
          <w:sz w:val="44"/>
          <w:szCs w:val="44"/>
        </w:rPr>
      </w:pPr>
    </w:p>
    <w:p w:rsidR="00133F05" w:rsidRDefault="00133F05" w:rsidP="005D4B9B">
      <w:pPr>
        <w:spacing w:after="0"/>
        <w:jc w:val="center"/>
        <w:rPr>
          <w:b/>
          <w:sz w:val="32"/>
          <w:szCs w:val="28"/>
        </w:rPr>
      </w:pPr>
    </w:p>
    <w:p w:rsidR="00C12E5E" w:rsidRDefault="00C12E5E" w:rsidP="005D4B9B">
      <w:pPr>
        <w:spacing w:after="0"/>
        <w:jc w:val="center"/>
        <w:rPr>
          <w:b/>
          <w:sz w:val="32"/>
          <w:szCs w:val="28"/>
        </w:rPr>
      </w:pPr>
    </w:p>
    <w:p w:rsidR="00C12E5E" w:rsidRDefault="00C12E5E" w:rsidP="005D4B9B">
      <w:pPr>
        <w:spacing w:after="0"/>
        <w:jc w:val="center"/>
        <w:rPr>
          <w:b/>
          <w:sz w:val="32"/>
          <w:szCs w:val="28"/>
        </w:rPr>
      </w:pPr>
    </w:p>
    <w:p w:rsidR="00C12E5E" w:rsidRDefault="00353AF0" w:rsidP="005D4B9B">
      <w:pPr>
        <w:spacing w:after="0"/>
        <w:jc w:val="center"/>
        <w:rPr>
          <w:b/>
          <w:sz w:val="32"/>
          <w:szCs w:val="28"/>
        </w:rPr>
      </w:pPr>
      <w:r>
        <w:rPr>
          <w:b/>
          <w:noProof/>
          <w:sz w:val="32"/>
          <w:szCs w:val="28"/>
        </w:rPr>
        <w:drawing>
          <wp:anchor distT="0" distB="0" distL="114300" distR="114300" simplePos="0" relativeHeight="251658240" behindDoc="1" locked="0" layoutInCell="1" allowOverlap="1">
            <wp:simplePos x="0" y="0"/>
            <wp:positionH relativeFrom="column">
              <wp:posOffset>2514600</wp:posOffset>
            </wp:positionH>
            <wp:positionV relativeFrom="paragraph">
              <wp:posOffset>114935</wp:posOffset>
            </wp:positionV>
            <wp:extent cx="1400175" cy="819150"/>
            <wp:effectExtent l="19050" t="0" r="9525" b="0"/>
            <wp:wrapNone/>
            <wp:docPr id="17" name="Picture 6" descr="O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jpg"/>
                    <pic:cNvPicPr/>
                  </pic:nvPicPr>
                  <pic:blipFill>
                    <a:blip r:embed="rId10" cstate="print"/>
                    <a:stretch>
                      <a:fillRect/>
                    </a:stretch>
                  </pic:blipFill>
                  <pic:spPr>
                    <a:xfrm>
                      <a:off x="0" y="0"/>
                      <a:ext cx="1400175" cy="819150"/>
                    </a:xfrm>
                    <a:prstGeom prst="rect">
                      <a:avLst/>
                    </a:prstGeom>
                  </pic:spPr>
                </pic:pic>
              </a:graphicData>
            </a:graphic>
          </wp:anchor>
        </w:drawing>
      </w:r>
    </w:p>
    <w:p w:rsidR="00C12E5E" w:rsidRDefault="00C12E5E" w:rsidP="005D4B9B">
      <w:pPr>
        <w:spacing w:after="0"/>
        <w:jc w:val="center"/>
        <w:rPr>
          <w:b/>
          <w:sz w:val="32"/>
          <w:szCs w:val="28"/>
        </w:rPr>
      </w:pPr>
    </w:p>
    <w:p w:rsidR="00D33ECD" w:rsidRDefault="00D33ECD">
      <w:pPr>
        <w:tabs>
          <w:tab w:val="left" w:pos="657"/>
        </w:tabs>
        <w:spacing w:after="0"/>
        <w:jc w:val="center"/>
        <w:rPr>
          <w:b/>
          <w:sz w:val="32"/>
          <w:szCs w:val="28"/>
        </w:rPr>
      </w:pPr>
    </w:p>
    <w:p w:rsidR="00353AF0" w:rsidRDefault="00353AF0">
      <w:pPr>
        <w:rPr>
          <w:b/>
          <w:sz w:val="28"/>
          <w:u w:val="single"/>
        </w:rPr>
      </w:pPr>
      <w:r>
        <w:rPr>
          <w:b/>
          <w:noProof/>
          <w:sz w:val="32"/>
          <w:szCs w:val="28"/>
        </w:rPr>
        <w:drawing>
          <wp:anchor distT="0" distB="0" distL="114300" distR="114300" simplePos="0" relativeHeight="251661312" behindDoc="1" locked="0" layoutInCell="1" allowOverlap="1">
            <wp:simplePos x="0" y="0"/>
            <wp:positionH relativeFrom="column">
              <wp:posOffset>3409950</wp:posOffset>
            </wp:positionH>
            <wp:positionV relativeFrom="paragraph">
              <wp:posOffset>69215</wp:posOffset>
            </wp:positionV>
            <wp:extent cx="981075" cy="1162050"/>
            <wp:effectExtent l="19050" t="0" r="9525" b="0"/>
            <wp:wrapNone/>
            <wp:docPr id="19" name="Picture 18" descr="mad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ep.jpg"/>
                    <pic:cNvPicPr/>
                  </pic:nvPicPr>
                  <pic:blipFill>
                    <a:blip r:embed="rId11" cstate="print"/>
                    <a:stretch>
                      <a:fillRect/>
                    </a:stretch>
                  </pic:blipFill>
                  <pic:spPr>
                    <a:xfrm>
                      <a:off x="0" y="0"/>
                      <a:ext cx="981075" cy="1162050"/>
                    </a:xfrm>
                    <a:prstGeom prst="rect">
                      <a:avLst/>
                    </a:prstGeom>
                  </pic:spPr>
                </pic:pic>
              </a:graphicData>
            </a:graphic>
          </wp:anchor>
        </w:drawing>
      </w:r>
      <w:r>
        <w:rPr>
          <w:b/>
          <w:noProof/>
          <w:sz w:val="32"/>
          <w:szCs w:val="28"/>
        </w:rPr>
        <w:drawing>
          <wp:anchor distT="0" distB="0" distL="114300" distR="114300" simplePos="0" relativeHeight="251660288" behindDoc="1" locked="0" layoutInCell="1" allowOverlap="1">
            <wp:simplePos x="0" y="0"/>
            <wp:positionH relativeFrom="column">
              <wp:posOffset>1828800</wp:posOffset>
            </wp:positionH>
            <wp:positionV relativeFrom="paragraph">
              <wp:posOffset>154940</wp:posOffset>
            </wp:positionV>
            <wp:extent cx="1524000" cy="914400"/>
            <wp:effectExtent l="19050" t="0" r="0" b="0"/>
            <wp:wrapNone/>
            <wp:docPr id="13" name="Picture 4" descr="DO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R.jpg"/>
                    <pic:cNvPicPr/>
                  </pic:nvPicPr>
                  <pic:blipFill>
                    <a:blip r:embed="rId12" cstate="print"/>
                    <a:stretch>
                      <a:fillRect/>
                    </a:stretch>
                  </pic:blipFill>
                  <pic:spPr>
                    <a:xfrm>
                      <a:off x="0" y="0"/>
                      <a:ext cx="1524000" cy="914400"/>
                    </a:xfrm>
                    <a:prstGeom prst="rect">
                      <a:avLst/>
                    </a:prstGeom>
                  </pic:spPr>
                </pic:pic>
              </a:graphicData>
            </a:graphic>
          </wp:anchor>
        </w:drawing>
      </w:r>
      <w:r>
        <w:rPr>
          <w:b/>
          <w:sz w:val="28"/>
          <w:u w:val="single"/>
        </w:rPr>
        <w:br w:type="page"/>
      </w:r>
    </w:p>
    <w:p w:rsidR="0003224F" w:rsidRDefault="00EF51A8">
      <w:pPr>
        <w:spacing w:after="0"/>
        <w:rPr>
          <w:b/>
          <w:sz w:val="28"/>
          <w:u w:val="single"/>
        </w:rPr>
      </w:pPr>
      <w:r>
        <w:rPr>
          <w:b/>
          <w:sz w:val="28"/>
          <w:u w:val="single"/>
        </w:rPr>
        <w:lastRenderedPageBreak/>
        <w:t xml:space="preserve">Section I </w:t>
      </w:r>
      <w:r w:rsidR="00817437">
        <w:rPr>
          <w:b/>
          <w:sz w:val="28"/>
          <w:u w:val="single"/>
        </w:rPr>
        <w:t>–</w:t>
      </w:r>
      <w:r>
        <w:rPr>
          <w:b/>
          <w:sz w:val="28"/>
          <w:u w:val="single"/>
        </w:rPr>
        <w:t xml:space="preserve"> </w:t>
      </w:r>
      <w:r w:rsidR="00F72273">
        <w:rPr>
          <w:b/>
          <w:sz w:val="28"/>
          <w:u w:val="single"/>
        </w:rPr>
        <w:t>Purpose of the Fuel Efficiency Standard</w:t>
      </w:r>
      <w:r w:rsidR="008C4B1B" w:rsidRPr="008C4B1B">
        <w:rPr>
          <w:b/>
          <w:sz w:val="28"/>
          <w:u w:val="single"/>
        </w:rPr>
        <w:t xml:space="preserve"> </w:t>
      </w:r>
    </w:p>
    <w:p w:rsidR="0003224F" w:rsidRDefault="0029224B">
      <w:pPr>
        <w:spacing w:after="0"/>
      </w:pPr>
      <w:r>
        <w:t xml:space="preserve">This fuel efficiency standard </w:t>
      </w:r>
      <w:r w:rsidR="00232B05">
        <w:t>is being issued by the Operational Services Division (OSD), in collaboration with the Department of Energy Resources (DOER) and Massachusetts Department of Environmental Protection (</w:t>
      </w:r>
      <w:proofErr w:type="spellStart"/>
      <w:r w:rsidR="00232B05">
        <w:t>MassDEP</w:t>
      </w:r>
      <w:proofErr w:type="spellEnd"/>
      <w:r w:rsidR="00232B05">
        <w:t>)</w:t>
      </w:r>
      <w:r w:rsidR="009B3D4B">
        <w:t>,</w:t>
      </w:r>
      <w:r w:rsidR="00232B05">
        <w:t xml:space="preserve"> to fulfill the </w:t>
      </w:r>
      <w:r w:rsidR="00DE3B8B">
        <w:t>requirement</w:t>
      </w:r>
      <w:r>
        <w:t>s</w:t>
      </w:r>
      <w:r w:rsidR="00DE3B8B">
        <w:t xml:space="preserve"> of </w:t>
      </w:r>
      <w:r w:rsidR="009B3D4B">
        <w:t>Chapter 169, Section 1 of</w:t>
      </w:r>
      <w:r w:rsidR="00C87588">
        <w:t xml:space="preserve"> the </w:t>
      </w:r>
      <w:r w:rsidR="00DE3B8B">
        <w:t>Green Communities Act</w:t>
      </w:r>
      <w:r w:rsidR="00232B05">
        <w:t>.</w:t>
      </w:r>
      <w:r w:rsidR="007A69A3">
        <w:rPr>
          <w:rStyle w:val="FootnoteReference"/>
        </w:rPr>
        <w:footnoteReference w:id="1"/>
      </w:r>
      <w:r w:rsidR="00B86181">
        <w:t xml:space="preserve">  In addition, t</w:t>
      </w:r>
      <w:r w:rsidR="00232B05">
        <w:t xml:space="preserve">his standard will </w:t>
      </w:r>
      <w:r>
        <w:t xml:space="preserve">help achieve the </w:t>
      </w:r>
      <w:r w:rsidR="00B86181">
        <w:t>g</w:t>
      </w:r>
      <w:r>
        <w:t xml:space="preserve">reenhouse gas emission reduction targets for state agencies </w:t>
      </w:r>
      <w:r w:rsidR="007B661B">
        <w:t>and</w:t>
      </w:r>
      <w:r>
        <w:t xml:space="preserve"> </w:t>
      </w:r>
      <w:r w:rsidR="00B86181">
        <w:t xml:space="preserve">the </w:t>
      </w:r>
      <w:r>
        <w:t xml:space="preserve">statewide emission reduction targets </w:t>
      </w:r>
      <w:r w:rsidR="00B86181">
        <w:t>established in</w:t>
      </w:r>
      <w:r>
        <w:t xml:space="preserve"> the Clean Energy and Climate Plan</w:t>
      </w:r>
      <w:r w:rsidR="00B86181">
        <w:t xml:space="preserve"> for 2020</w:t>
      </w:r>
      <w:r w:rsidR="007A69A3">
        <w:rPr>
          <w:rStyle w:val="FootnoteReference"/>
        </w:rPr>
        <w:footnoteReference w:id="2"/>
      </w:r>
      <w:r w:rsidR="00EC0924">
        <w:t xml:space="preserve">; </w:t>
      </w:r>
      <w:r w:rsidR="00EF51A8">
        <w:t xml:space="preserve">as well as </w:t>
      </w:r>
      <w:r>
        <w:t>support the multi-state memorandum of understanding</w:t>
      </w:r>
      <w:r w:rsidR="007A69A3">
        <w:rPr>
          <w:rStyle w:val="FootnoteReference"/>
        </w:rPr>
        <w:footnoteReference w:id="3"/>
      </w:r>
      <w:r>
        <w:t xml:space="preserve"> </w:t>
      </w:r>
      <w:r w:rsidR="00EF51A8">
        <w:t>that commits</w:t>
      </w:r>
      <w:r w:rsidR="0026046E">
        <w:t xml:space="preserve"> eight</w:t>
      </w:r>
      <w:r w:rsidR="00EF51A8">
        <w:t xml:space="preserve"> states</w:t>
      </w:r>
      <w:r w:rsidR="009A7359">
        <w:t xml:space="preserve"> on the East and West coasts</w:t>
      </w:r>
      <w:r>
        <w:t xml:space="preserve"> to putting </w:t>
      </w:r>
      <w:r w:rsidR="009A7359">
        <w:t>3.3</w:t>
      </w:r>
      <w:r>
        <w:t xml:space="preserve"> million </w:t>
      </w:r>
      <w:r w:rsidR="009A7359">
        <w:t>zero-emission vehicles (ZEVs)</w:t>
      </w:r>
      <w:r>
        <w:t xml:space="preserve"> on the road </w:t>
      </w:r>
      <w:r w:rsidR="00EF51A8">
        <w:t>by 2025.</w:t>
      </w:r>
      <w:r>
        <w:t xml:space="preserve"> </w:t>
      </w:r>
    </w:p>
    <w:p w:rsidR="0003224F" w:rsidRDefault="0003224F">
      <w:pPr>
        <w:spacing w:after="0"/>
      </w:pPr>
    </w:p>
    <w:p w:rsidR="0003224F" w:rsidRDefault="00345DDA">
      <w:pPr>
        <w:spacing w:after="0"/>
      </w:pPr>
      <w:r>
        <w:t>Highly efficient gasoline vehicles</w:t>
      </w:r>
      <w:r w:rsidR="00EC0924">
        <w:t>,</w:t>
      </w:r>
      <w:r>
        <w:t xml:space="preserve"> or those </w:t>
      </w:r>
      <w:r w:rsidR="0029224B">
        <w:t>that use alternative fuels</w:t>
      </w:r>
      <w:r w:rsidR="00EC0924">
        <w:t>,</w:t>
      </w:r>
      <w:r w:rsidR="0029224B">
        <w:t xml:space="preserve"> can reduce </w:t>
      </w:r>
      <w:r w:rsidR="009B3D4B">
        <w:t xml:space="preserve">greenhouse gas </w:t>
      </w:r>
      <w:r w:rsidR="0029224B">
        <w:t xml:space="preserve">emissions, minimize tailpipe emissions of other pollutants, </w:t>
      </w:r>
      <w:r w:rsidR="00232B05">
        <w:t xml:space="preserve">and </w:t>
      </w:r>
      <w:r w:rsidR="0029224B">
        <w:t xml:space="preserve">reduce </w:t>
      </w:r>
      <w:r>
        <w:t xml:space="preserve">the </w:t>
      </w:r>
      <w:r w:rsidR="00EF51A8">
        <w:t xml:space="preserve">total </w:t>
      </w:r>
      <w:r w:rsidR="00232B05">
        <w:t>cost of o</w:t>
      </w:r>
      <w:r>
        <w:t>wnership</w:t>
      </w:r>
      <w:r w:rsidR="00232B05">
        <w:t>. This fuel efficiency standard requires</w:t>
      </w:r>
      <w:r w:rsidR="00EC0924">
        <w:t xml:space="preserve"> the Commonwealth’s</w:t>
      </w:r>
      <w:r w:rsidR="00232B05">
        <w:t xml:space="preserve"> state agencies to purchase more </w:t>
      </w:r>
      <w:r w:rsidR="00EC0924">
        <w:t xml:space="preserve">fuel </w:t>
      </w:r>
      <w:r w:rsidR="00232B05">
        <w:t xml:space="preserve">efficient vehicles </w:t>
      </w:r>
      <w:r w:rsidR="0068037A">
        <w:t>and</w:t>
      </w:r>
      <w:r w:rsidR="00232B05">
        <w:t xml:space="preserve"> </w:t>
      </w:r>
      <w:r w:rsidR="00EC0924">
        <w:t xml:space="preserve">those </w:t>
      </w:r>
      <w:r w:rsidR="00232B05">
        <w:t>using advanced technologies while also providing flexibility in meeting these requirements in recognition of diverse agency needs and changing technologies.</w:t>
      </w:r>
    </w:p>
    <w:p w:rsidR="0003224F" w:rsidRDefault="0003224F">
      <w:pPr>
        <w:spacing w:after="0"/>
      </w:pPr>
    </w:p>
    <w:p w:rsidR="0003224F" w:rsidRDefault="00232B05">
      <w:pPr>
        <w:spacing w:after="0"/>
      </w:pPr>
      <w:r>
        <w:t>O</w:t>
      </w:r>
      <w:r w:rsidR="00EF51A8">
        <w:t>SD</w:t>
      </w:r>
      <w:r>
        <w:t xml:space="preserve">, </w:t>
      </w:r>
      <w:r w:rsidR="00EF51A8">
        <w:t xml:space="preserve">DOER and </w:t>
      </w:r>
      <w:proofErr w:type="spellStart"/>
      <w:r w:rsidR="00EF51A8">
        <w:t>MassDEP</w:t>
      </w:r>
      <w:proofErr w:type="spellEnd"/>
      <w:r>
        <w:t xml:space="preserve"> </w:t>
      </w:r>
      <w:r w:rsidR="00EF51A8">
        <w:t>are</w:t>
      </w:r>
      <w:r>
        <w:t xml:space="preserve"> committed to working collaboratively with</w:t>
      </w:r>
      <w:r w:rsidR="00EF51A8">
        <w:t xml:space="preserve"> agency </w:t>
      </w:r>
      <w:r>
        <w:t>fleet manager</w:t>
      </w:r>
      <w:r w:rsidR="00EF51A8">
        <w:t>s</w:t>
      </w:r>
      <w:r>
        <w:t xml:space="preserve"> to ensure compliance with the standard and </w:t>
      </w:r>
      <w:r w:rsidR="00EF51A8">
        <w:t xml:space="preserve">provide technical assistance and guidance as required.  </w:t>
      </w:r>
      <w:r>
        <w:t xml:space="preserve"> </w:t>
      </w:r>
    </w:p>
    <w:p w:rsidR="00703DA0" w:rsidRDefault="00703DA0">
      <w:pPr>
        <w:spacing w:after="0"/>
      </w:pPr>
    </w:p>
    <w:p w:rsidR="00D70B61" w:rsidRDefault="008C4B1B">
      <w:pPr>
        <w:spacing w:after="0"/>
        <w:rPr>
          <w:b/>
          <w:sz w:val="28"/>
          <w:u w:val="single"/>
        </w:rPr>
      </w:pPr>
      <w:r w:rsidRPr="008C4B1B">
        <w:rPr>
          <w:b/>
          <w:sz w:val="28"/>
          <w:u w:val="single"/>
        </w:rPr>
        <w:t>Section II</w:t>
      </w:r>
      <w:r w:rsidR="00D70B61">
        <w:rPr>
          <w:b/>
          <w:sz w:val="28"/>
          <w:u w:val="single"/>
        </w:rPr>
        <w:t xml:space="preserve"> – Applicability and Effective Date</w:t>
      </w:r>
    </w:p>
    <w:p w:rsidR="00652996" w:rsidRDefault="00652996" w:rsidP="00652996">
      <w:pPr>
        <w:pStyle w:val="ListParagraph"/>
        <w:numPr>
          <w:ilvl w:val="0"/>
          <w:numId w:val="12"/>
        </w:numPr>
        <w:spacing w:after="0"/>
        <w:ind w:left="360"/>
      </w:pPr>
      <w:r>
        <w:t xml:space="preserve">All </w:t>
      </w:r>
      <w:r w:rsidR="004B6DC9">
        <w:t xml:space="preserve">requirements </w:t>
      </w:r>
      <w:r>
        <w:t xml:space="preserve">of the </w:t>
      </w:r>
      <w:r w:rsidR="004B6DC9">
        <w:t>Fuel Efficiency Standard for the State Fleet shall:</w:t>
      </w:r>
    </w:p>
    <w:p w:rsidR="004B6DC9" w:rsidRDefault="00CF0651" w:rsidP="00652996">
      <w:pPr>
        <w:pStyle w:val="ListParagraph"/>
        <w:numPr>
          <w:ilvl w:val="1"/>
          <w:numId w:val="12"/>
        </w:numPr>
        <w:spacing w:after="0"/>
        <w:ind w:left="990" w:hanging="270"/>
      </w:pPr>
      <w:r>
        <w:t>Apply to all light-duty vehicle</w:t>
      </w:r>
      <w:r w:rsidR="00E87CB6">
        <w:t xml:space="preserve"> acquisitions</w:t>
      </w:r>
      <w:r>
        <w:t xml:space="preserve"> with a gross vehicle weight rating (GVWR) of 10,000 pounds or less</w:t>
      </w:r>
      <w:r w:rsidR="00EC0924">
        <w:t>;</w:t>
      </w:r>
    </w:p>
    <w:p w:rsidR="00B90177" w:rsidRDefault="00CF0651" w:rsidP="00CF0651">
      <w:pPr>
        <w:pStyle w:val="ListParagraph"/>
        <w:numPr>
          <w:ilvl w:val="1"/>
          <w:numId w:val="12"/>
        </w:numPr>
        <w:tabs>
          <w:tab w:val="left" w:pos="990"/>
        </w:tabs>
        <w:spacing w:after="0"/>
        <w:ind w:left="900" w:hanging="180"/>
      </w:pPr>
      <w:r>
        <w:t xml:space="preserve">Apply to </w:t>
      </w:r>
      <w:r w:rsidR="00E87CB6">
        <w:t xml:space="preserve">vehicle </w:t>
      </w:r>
      <w:r>
        <w:t xml:space="preserve">acquisitions made by each executive branch state agency and to any </w:t>
      </w:r>
      <w:r w:rsidR="00E87CB6">
        <w:t xml:space="preserve">vehicles </w:t>
      </w:r>
      <w:r>
        <w:t>acquir</w:t>
      </w:r>
      <w:r w:rsidR="00E87CB6">
        <w:t>ed</w:t>
      </w:r>
      <w:r>
        <w:t xml:space="preserve"> through the Office of Vehicle Management</w:t>
      </w:r>
      <w:r w:rsidR="00EC0924">
        <w:t>;</w:t>
      </w:r>
    </w:p>
    <w:p w:rsidR="00CF0651" w:rsidRDefault="00B90177" w:rsidP="00A16E25">
      <w:pPr>
        <w:spacing w:after="0"/>
        <w:ind w:left="900"/>
      </w:pPr>
      <w:r>
        <w:t xml:space="preserve">(Those vehicles meeting the criteria in </w:t>
      </w:r>
      <w:r w:rsidR="00CA2691">
        <w:t xml:space="preserve">both </w:t>
      </w:r>
      <w:r>
        <w:t xml:space="preserve">a) and b) are </w:t>
      </w:r>
      <w:r w:rsidR="00992DD8">
        <w:t xml:space="preserve">hereinafter referred to as “eligible </w:t>
      </w:r>
      <w:r w:rsidR="00E87CB6">
        <w:t>vehicles</w:t>
      </w:r>
      <w:r w:rsidR="00992DD8">
        <w:t>.”</w:t>
      </w:r>
      <w:r>
        <w:t>)</w:t>
      </w:r>
    </w:p>
    <w:p w:rsidR="00CF0651" w:rsidRDefault="00CF0651" w:rsidP="00652996">
      <w:pPr>
        <w:pStyle w:val="ListParagraph"/>
        <w:numPr>
          <w:ilvl w:val="1"/>
          <w:numId w:val="12"/>
        </w:numPr>
        <w:spacing w:after="0"/>
        <w:ind w:left="990" w:hanging="270"/>
      </w:pPr>
      <w:r>
        <w:t>T</w:t>
      </w:r>
      <w:r w:rsidR="00193411">
        <w:t xml:space="preserve">ake effect on </w:t>
      </w:r>
      <w:r w:rsidR="00133F05" w:rsidRPr="00034A91">
        <w:t>September 26</w:t>
      </w:r>
      <w:r w:rsidR="00193411" w:rsidRPr="00034A91">
        <w:t>, 2016</w:t>
      </w:r>
      <w:r w:rsidR="00EC0924">
        <w:t>;</w:t>
      </w:r>
    </w:p>
    <w:p w:rsidR="00652996" w:rsidRDefault="004B6DC9" w:rsidP="00652996">
      <w:pPr>
        <w:pStyle w:val="ListParagraph"/>
        <w:numPr>
          <w:ilvl w:val="1"/>
          <w:numId w:val="12"/>
        </w:numPr>
        <w:spacing w:after="0"/>
        <w:ind w:left="990" w:hanging="270"/>
      </w:pPr>
      <w:r>
        <w:t>B</w:t>
      </w:r>
      <w:r w:rsidR="00652996" w:rsidRPr="008C4B1B">
        <w:t xml:space="preserve">e applied </w:t>
      </w:r>
      <w:r>
        <w:t xml:space="preserve">to total </w:t>
      </w:r>
      <w:r w:rsidR="00580734">
        <w:t xml:space="preserve">eligible vehicle </w:t>
      </w:r>
      <w:r>
        <w:t xml:space="preserve">acquisitions made by each agency each </w:t>
      </w:r>
      <w:r w:rsidR="00652996" w:rsidRPr="008C4B1B">
        <w:t xml:space="preserve">fiscal year (FY) running from July 1st through June 30th.  The </w:t>
      </w:r>
      <w:r w:rsidR="00AA0739" w:rsidRPr="008C4B1B">
        <w:t>FY</w:t>
      </w:r>
      <w:r w:rsidR="00AA0739">
        <w:t>1</w:t>
      </w:r>
      <w:r w:rsidR="00133F05">
        <w:t>7</w:t>
      </w:r>
      <w:r w:rsidR="00AA0739" w:rsidRPr="008C4B1B">
        <w:t xml:space="preserve"> </w:t>
      </w:r>
      <w:r w:rsidR="00652996" w:rsidRPr="008C4B1B">
        <w:t>requirements will be applied to vehicle acquisition</w:t>
      </w:r>
      <w:r w:rsidR="00430882">
        <w:t xml:space="preserve"> request</w:t>
      </w:r>
      <w:r w:rsidR="00A16E25">
        <w:t>s</w:t>
      </w:r>
      <w:r w:rsidR="00652996" w:rsidRPr="008C4B1B">
        <w:t xml:space="preserve"> made between </w:t>
      </w:r>
      <w:r w:rsidR="00133F05" w:rsidRPr="00034A91">
        <w:t>September 26</w:t>
      </w:r>
      <w:r w:rsidR="00652996" w:rsidRPr="00034A91">
        <w:t xml:space="preserve">, </w:t>
      </w:r>
      <w:r w:rsidR="00AA0739" w:rsidRPr="00034A91">
        <w:t>2016</w:t>
      </w:r>
      <w:r w:rsidR="00AA0739" w:rsidRPr="00430882">
        <w:t xml:space="preserve"> </w:t>
      </w:r>
      <w:r w:rsidR="00652996" w:rsidRPr="00430882">
        <w:t xml:space="preserve">and June 30, </w:t>
      </w:r>
      <w:r w:rsidR="00133F05">
        <w:t>2017</w:t>
      </w:r>
      <w:r w:rsidR="00AA0739" w:rsidRPr="008C4B1B">
        <w:t xml:space="preserve"> </w:t>
      </w:r>
      <w:r w:rsidR="00652996" w:rsidRPr="008C4B1B">
        <w:t>only.</w:t>
      </w:r>
      <w:r w:rsidR="00652996">
        <w:t xml:space="preserve"> </w:t>
      </w:r>
    </w:p>
    <w:p w:rsidR="003925D8" w:rsidRDefault="003925D8">
      <w:pPr>
        <w:pStyle w:val="ListParagraph"/>
        <w:tabs>
          <w:tab w:val="left" w:pos="990"/>
        </w:tabs>
        <w:spacing w:after="0"/>
        <w:ind w:left="900"/>
      </w:pPr>
    </w:p>
    <w:p w:rsidR="00CF0651" w:rsidRDefault="00CF0651" w:rsidP="00CE7734">
      <w:pPr>
        <w:pStyle w:val="ListParagraph"/>
        <w:numPr>
          <w:ilvl w:val="0"/>
          <w:numId w:val="12"/>
        </w:numPr>
        <w:spacing w:after="0"/>
        <w:ind w:left="360"/>
      </w:pPr>
      <w:r>
        <w:t xml:space="preserve">As defined in Section VII, </w:t>
      </w:r>
      <w:r w:rsidR="00D0213E">
        <w:t>a</w:t>
      </w:r>
      <w:r>
        <w:t xml:space="preserve">uthorized emergency vehicles, and light and medium duty vehicles that weigh greater than 10,000 pounds shall be exempt from all requirements of this standard.  </w:t>
      </w:r>
    </w:p>
    <w:p w:rsidR="00A00DC0" w:rsidRPr="00652996" w:rsidRDefault="00A00DC0" w:rsidP="00A00DC0">
      <w:pPr>
        <w:tabs>
          <w:tab w:val="left" w:pos="990"/>
        </w:tabs>
        <w:spacing w:after="0"/>
      </w:pPr>
    </w:p>
    <w:p w:rsidR="00D33ECD" w:rsidRDefault="00D70B61" w:rsidP="00D0213E">
      <w:pPr>
        <w:spacing w:after="0"/>
      </w:pPr>
      <w:r>
        <w:rPr>
          <w:b/>
          <w:sz w:val="28"/>
          <w:u w:val="single"/>
        </w:rPr>
        <w:t>Section III –</w:t>
      </w:r>
      <w:r w:rsidR="008C4B1B" w:rsidRPr="008C4B1B">
        <w:rPr>
          <w:b/>
          <w:sz w:val="28"/>
          <w:u w:val="single"/>
        </w:rPr>
        <w:t xml:space="preserve"> Vehicle </w:t>
      </w:r>
      <w:r w:rsidR="00817437">
        <w:rPr>
          <w:b/>
          <w:sz w:val="28"/>
          <w:u w:val="single"/>
        </w:rPr>
        <w:t xml:space="preserve">Fuel Efficiency </w:t>
      </w:r>
      <w:r w:rsidR="008C4B1B" w:rsidRPr="008C4B1B">
        <w:rPr>
          <w:b/>
          <w:sz w:val="28"/>
          <w:u w:val="single"/>
        </w:rPr>
        <w:t xml:space="preserve">Requirements </w:t>
      </w:r>
    </w:p>
    <w:p w:rsidR="003A70C5" w:rsidRDefault="00DB232D" w:rsidP="00D0213E">
      <w:pPr>
        <w:pStyle w:val="ListParagraph"/>
        <w:numPr>
          <w:ilvl w:val="0"/>
          <w:numId w:val="4"/>
        </w:numPr>
        <w:spacing w:after="0" w:line="240" w:lineRule="auto"/>
      </w:pPr>
      <w:r>
        <w:t>W</w:t>
      </w:r>
      <w:r w:rsidR="00C92745">
        <w:t xml:space="preserve">hen </w:t>
      </w:r>
      <w:r w:rsidR="00CF0651">
        <w:t>acquiring</w:t>
      </w:r>
      <w:r w:rsidR="00714AA1">
        <w:t xml:space="preserve"> </w:t>
      </w:r>
      <w:r w:rsidR="00C92745">
        <w:t xml:space="preserve">new </w:t>
      </w:r>
      <w:r w:rsidR="004735B1">
        <w:t>eligible</w:t>
      </w:r>
      <w:r w:rsidR="00A2419D">
        <w:t xml:space="preserve"> </w:t>
      </w:r>
      <w:r w:rsidR="00C92745">
        <w:t xml:space="preserve">vehicles </w:t>
      </w:r>
      <w:r w:rsidR="00A20C17">
        <w:t>each</w:t>
      </w:r>
      <w:r w:rsidR="00C92745">
        <w:t xml:space="preserve"> </w:t>
      </w:r>
      <w:r w:rsidR="00AE5E15" w:rsidRPr="00AE5E15">
        <w:t>agency</w:t>
      </w:r>
      <w:r w:rsidR="00E35850">
        <w:t xml:space="preserve"> </w:t>
      </w:r>
      <w:r w:rsidR="003A70C5">
        <w:t>shall:</w:t>
      </w:r>
    </w:p>
    <w:p w:rsidR="00C92745" w:rsidRDefault="00EC0924" w:rsidP="00714AA1">
      <w:pPr>
        <w:pStyle w:val="ListParagraph"/>
        <w:numPr>
          <w:ilvl w:val="0"/>
          <w:numId w:val="7"/>
        </w:numPr>
        <w:spacing w:after="0" w:line="240" w:lineRule="auto"/>
      </w:pPr>
      <w:r>
        <w:t xml:space="preserve">Achieve </w:t>
      </w:r>
      <w:r w:rsidR="005D4B9B">
        <w:t xml:space="preserve">an average EPA-estimated combined fuel </w:t>
      </w:r>
      <w:r w:rsidR="001D5947">
        <w:t xml:space="preserve">efficiency </w:t>
      </w:r>
      <w:r w:rsidR="005D4B9B">
        <w:t xml:space="preserve">of </w:t>
      </w:r>
      <w:r w:rsidR="009C27DE">
        <w:t>32</w:t>
      </w:r>
      <w:r w:rsidR="005D4B9B">
        <w:t xml:space="preserve"> </w:t>
      </w:r>
      <w:r w:rsidR="00034A91">
        <w:t xml:space="preserve">Miles </w:t>
      </w:r>
      <w:r w:rsidR="005D4B9B">
        <w:t xml:space="preserve">per </w:t>
      </w:r>
      <w:r w:rsidR="00034A91">
        <w:t xml:space="preserve">Gallon (MPG) </w:t>
      </w:r>
      <w:r w:rsidR="005D4B9B">
        <w:t xml:space="preserve">for passenger </w:t>
      </w:r>
      <w:r w:rsidR="004478FE">
        <w:t>car</w:t>
      </w:r>
      <w:r w:rsidR="005D4B9B">
        <w:t>s and</w:t>
      </w:r>
      <w:r w:rsidR="0082103C">
        <w:t>;</w:t>
      </w:r>
      <w:r w:rsidR="005D4B9B">
        <w:t xml:space="preserve"> </w:t>
      </w:r>
    </w:p>
    <w:p w:rsidR="008957F6" w:rsidRDefault="00EC0924" w:rsidP="008957F6">
      <w:pPr>
        <w:pStyle w:val="ListParagraph"/>
        <w:numPr>
          <w:ilvl w:val="0"/>
          <w:numId w:val="7"/>
        </w:numPr>
        <w:spacing w:after="0" w:line="240" w:lineRule="auto"/>
      </w:pPr>
      <w:r>
        <w:lastRenderedPageBreak/>
        <w:t xml:space="preserve">Achieve </w:t>
      </w:r>
      <w:r w:rsidR="0082103C">
        <w:t xml:space="preserve">an average EPA-estimated </w:t>
      </w:r>
      <w:r w:rsidR="005D4B9B">
        <w:t xml:space="preserve">combined fuel </w:t>
      </w:r>
      <w:r w:rsidR="001D5947">
        <w:t xml:space="preserve">efficiency </w:t>
      </w:r>
      <w:r w:rsidR="005D4B9B">
        <w:t xml:space="preserve">of </w:t>
      </w:r>
      <w:r w:rsidR="009C27DE">
        <w:t>22</w:t>
      </w:r>
      <w:r w:rsidR="005D4B9B">
        <w:t xml:space="preserve"> </w:t>
      </w:r>
      <w:r w:rsidR="00034A91">
        <w:t xml:space="preserve">Miles </w:t>
      </w:r>
      <w:r w:rsidR="005D4B9B">
        <w:t xml:space="preserve">per </w:t>
      </w:r>
      <w:r w:rsidR="00034A91">
        <w:t xml:space="preserve">Gallon (MPG) </w:t>
      </w:r>
      <w:r w:rsidR="005D4B9B">
        <w:t>for light duty trucks</w:t>
      </w:r>
      <w:r w:rsidR="003A70C5">
        <w:t xml:space="preserve">, </w:t>
      </w:r>
      <w:r w:rsidR="00C92745">
        <w:t xml:space="preserve">passenger </w:t>
      </w:r>
      <w:r w:rsidR="007A4BD0">
        <w:t xml:space="preserve">and cargo </w:t>
      </w:r>
      <w:r w:rsidR="003A70C5">
        <w:t xml:space="preserve">vans and </w:t>
      </w:r>
      <w:r w:rsidR="00A16E25">
        <w:t>S</w:t>
      </w:r>
      <w:r w:rsidR="003A70C5">
        <w:t xml:space="preserve">port </w:t>
      </w:r>
      <w:r w:rsidR="00A16E25">
        <w:t>U</w:t>
      </w:r>
      <w:r w:rsidR="003A70C5">
        <w:t xml:space="preserve">tility </w:t>
      </w:r>
      <w:r w:rsidR="00A16E25">
        <w:t>V</w:t>
      </w:r>
      <w:r w:rsidR="003A70C5">
        <w:t>ehicles</w:t>
      </w:r>
      <w:r w:rsidR="00A16E25">
        <w:t xml:space="preserve"> (SUVs)</w:t>
      </w:r>
      <w:r>
        <w:t>.</w:t>
      </w:r>
      <w:r w:rsidR="005D4B9B">
        <w:t xml:space="preserve">  </w:t>
      </w:r>
    </w:p>
    <w:p w:rsidR="00992DD8" w:rsidRDefault="00992DD8" w:rsidP="00A00DC0">
      <w:pPr>
        <w:spacing w:after="0" w:line="240" w:lineRule="auto"/>
        <w:ind w:left="360"/>
      </w:pPr>
    </w:p>
    <w:p w:rsidR="00A00DC0" w:rsidRDefault="00A00DC0" w:rsidP="00A00DC0">
      <w:pPr>
        <w:spacing w:after="0" w:line="240" w:lineRule="auto"/>
        <w:ind w:left="360"/>
      </w:pPr>
      <w:r>
        <w:t>The</w:t>
      </w:r>
      <w:r w:rsidR="00B2022A">
        <w:t xml:space="preserve"> above stated</w:t>
      </w:r>
      <w:r>
        <w:t xml:space="preserve"> MPG </w:t>
      </w:r>
      <w:r w:rsidR="00A217FC">
        <w:t>requirements</w:t>
      </w:r>
      <w:r w:rsidR="00034A91">
        <w:rPr>
          <w:rStyle w:val="FootnoteReference"/>
        </w:rPr>
        <w:footnoteReference w:id="4"/>
      </w:r>
      <w:r w:rsidR="00A217FC">
        <w:t xml:space="preserve"> shall</w:t>
      </w:r>
      <w:r w:rsidR="00992DD8">
        <w:t xml:space="preserve"> </w:t>
      </w:r>
      <w:r>
        <w:t xml:space="preserve">apply </w:t>
      </w:r>
      <w:r w:rsidR="00992DD8">
        <w:t xml:space="preserve">to </w:t>
      </w:r>
      <w:r w:rsidR="00953C32">
        <w:t xml:space="preserve">all eligible vehicle acquisitions by </w:t>
      </w:r>
      <w:r w:rsidR="00953C32" w:rsidRPr="00953C32">
        <w:t>each</w:t>
      </w:r>
      <w:r w:rsidR="00AE5E15" w:rsidRPr="00AE5E15">
        <w:t xml:space="preserve"> agency</w:t>
      </w:r>
      <w:r w:rsidR="00992DD8">
        <w:t xml:space="preserve"> </w:t>
      </w:r>
      <w:r>
        <w:t xml:space="preserve">regardless of the </w:t>
      </w:r>
      <w:r w:rsidR="00992DD8">
        <w:t xml:space="preserve">number of vehicles acquired. </w:t>
      </w:r>
    </w:p>
    <w:p w:rsidR="00714AA1" w:rsidRDefault="00A00DC0" w:rsidP="00A00DC0">
      <w:pPr>
        <w:spacing w:after="0" w:line="240" w:lineRule="auto"/>
        <w:ind w:left="360"/>
      </w:pPr>
      <w:r>
        <w:t xml:space="preserve"> </w:t>
      </w:r>
    </w:p>
    <w:p w:rsidR="00C92745" w:rsidRDefault="00D320DE" w:rsidP="005D4B9B">
      <w:pPr>
        <w:pStyle w:val="ListParagraph"/>
        <w:numPr>
          <w:ilvl w:val="0"/>
          <w:numId w:val="4"/>
        </w:numPr>
        <w:spacing w:after="0" w:line="240" w:lineRule="auto"/>
      </w:pPr>
      <w:r>
        <w:t xml:space="preserve">Each </w:t>
      </w:r>
      <w:r w:rsidRPr="00953C32">
        <w:t>agency</w:t>
      </w:r>
      <w:r>
        <w:t xml:space="preserve"> shall acquire a minimum number of </w:t>
      </w:r>
      <w:r w:rsidR="00C92745">
        <w:t xml:space="preserve">vehicles defined in this standard as </w:t>
      </w:r>
      <w:r w:rsidR="00837BBE">
        <w:t>Plug-in Hybrid Electric Vehicles (PHEVs), Battery Electric Vehicles (BEVs)</w:t>
      </w:r>
      <w:r w:rsidR="00A16E25">
        <w:t>,</w:t>
      </w:r>
      <w:r w:rsidR="00837BBE">
        <w:t xml:space="preserve"> Hybrid Electric Vehicles (HEVs) </w:t>
      </w:r>
      <w:r w:rsidR="00C92745">
        <w:t xml:space="preserve">and/or </w:t>
      </w:r>
      <w:r w:rsidR="00C36B18">
        <w:t>A</w:t>
      </w:r>
      <w:r w:rsidR="00C92745">
        <w:t xml:space="preserve">lternative </w:t>
      </w:r>
      <w:r w:rsidR="00C36B18">
        <w:t>F</w:t>
      </w:r>
      <w:r w:rsidR="00C92745">
        <w:t xml:space="preserve">uel </w:t>
      </w:r>
      <w:r w:rsidR="00C36B18">
        <w:t>V</w:t>
      </w:r>
      <w:r w:rsidR="00C92745">
        <w:t>ehicles</w:t>
      </w:r>
      <w:r w:rsidR="00C36B18">
        <w:t xml:space="preserve"> (AFVs)</w:t>
      </w:r>
      <w:r w:rsidR="000206BB">
        <w:t xml:space="preserve"> </w:t>
      </w:r>
      <w:r w:rsidR="00D10ED5">
        <w:t>for all acquisitions subject to this standard</w:t>
      </w:r>
      <w:r w:rsidR="00165CC8">
        <w:t xml:space="preserve">.  </w:t>
      </w:r>
      <w:r w:rsidR="00837BBE">
        <w:t>Beginning in FY201</w:t>
      </w:r>
      <w:r w:rsidR="00133F05">
        <w:t>7</w:t>
      </w:r>
      <w:r w:rsidR="00837BBE">
        <w:t xml:space="preserve">, at least five percent (5%) </w:t>
      </w:r>
      <w:r w:rsidR="00F5576F">
        <w:t xml:space="preserve">of all agency acquisitions must be </w:t>
      </w:r>
      <w:r w:rsidR="00837BBE">
        <w:t>PHEVs, BEVs, HEVs or AFVs</w:t>
      </w:r>
      <w:r w:rsidR="008406B1">
        <w:t>.</w:t>
      </w:r>
      <w:r w:rsidR="008406B1" w:rsidRPr="008406B1">
        <w:t xml:space="preserve"> </w:t>
      </w:r>
      <w:r w:rsidR="0003224F">
        <w:t xml:space="preserve"> </w:t>
      </w:r>
      <w:r w:rsidR="008406B1">
        <w:t>Where applicable, all percentage requirements shall be rounded to the closest whole number.</w:t>
      </w:r>
    </w:p>
    <w:p w:rsidR="00BC5EDE" w:rsidRDefault="00BC5EDE">
      <w:pPr>
        <w:pStyle w:val="ListParagraph"/>
        <w:spacing w:after="0" w:line="240" w:lineRule="auto"/>
        <w:ind w:left="360"/>
      </w:pPr>
    </w:p>
    <w:p w:rsidR="00165CC8" w:rsidRDefault="0082103C" w:rsidP="00165CC8">
      <w:pPr>
        <w:spacing w:after="0" w:line="240" w:lineRule="auto"/>
        <w:ind w:left="360"/>
      </w:pPr>
      <w:r>
        <w:t>Any</w:t>
      </w:r>
      <w:r w:rsidR="00165CC8" w:rsidRPr="00B32D4D">
        <w:t xml:space="preserve"> </w:t>
      </w:r>
      <w:r w:rsidR="00165CC8" w:rsidRPr="00953C32">
        <w:t>agenc</w:t>
      </w:r>
      <w:r w:rsidRPr="00953C32">
        <w:t>y</w:t>
      </w:r>
      <w:r w:rsidR="00165CC8" w:rsidRPr="00B32D4D">
        <w:t xml:space="preserve"> </w:t>
      </w:r>
      <w:r w:rsidR="00165CC8">
        <w:t xml:space="preserve">acquiring </w:t>
      </w:r>
      <w:r w:rsidR="00055EEB">
        <w:t>10</w:t>
      </w:r>
      <w:r w:rsidR="00165CC8">
        <w:t xml:space="preserve"> </w:t>
      </w:r>
      <w:r w:rsidR="00055EEB">
        <w:t xml:space="preserve">or more </w:t>
      </w:r>
      <w:r w:rsidR="00953C32">
        <w:t xml:space="preserve">eligible </w:t>
      </w:r>
      <w:r w:rsidR="00165CC8">
        <w:t>vehicles</w:t>
      </w:r>
      <w:r w:rsidR="00A00DC0">
        <w:t xml:space="preserve"> in a given fiscal year</w:t>
      </w:r>
      <w:r w:rsidR="00055EEB">
        <w:t xml:space="preserve"> </w:t>
      </w:r>
      <w:r w:rsidR="00165CC8">
        <w:t>must acquire</w:t>
      </w:r>
      <w:r w:rsidR="00165CC8" w:rsidRPr="00B32D4D">
        <w:t xml:space="preserve"> at least one </w:t>
      </w:r>
      <w:r w:rsidR="00837BBE">
        <w:t xml:space="preserve">PHEV, BEV, HEV or </w:t>
      </w:r>
      <w:r w:rsidR="00165CC8">
        <w:t>AFV</w:t>
      </w:r>
      <w:r w:rsidR="00165CC8" w:rsidRPr="00B32D4D">
        <w:t>.</w:t>
      </w:r>
      <w:r w:rsidR="00165CC8">
        <w:t xml:space="preserve">  Allowable vehicles include dedicated alternative fuel vehicles, </w:t>
      </w:r>
      <w:r w:rsidR="00AA0739">
        <w:t xml:space="preserve">bi- </w:t>
      </w:r>
      <w:r w:rsidR="00165CC8">
        <w:t xml:space="preserve">fuel vehicles operating on alternative fuel at least 50% of the time, </w:t>
      </w:r>
      <w:r w:rsidR="00034A91">
        <w:t>Hybrid Electric V</w:t>
      </w:r>
      <w:r w:rsidR="00165CC8">
        <w:t>ehicles</w:t>
      </w:r>
      <w:r w:rsidR="00034A91">
        <w:t xml:space="preserve"> (HEVs)</w:t>
      </w:r>
      <w:r w:rsidR="00165CC8">
        <w:t xml:space="preserve">, Plug-in Hybrid </w:t>
      </w:r>
      <w:r w:rsidR="00AA0739">
        <w:t xml:space="preserve">Electric </w:t>
      </w:r>
      <w:r w:rsidR="00165CC8">
        <w:t>Vehicles (PHEVs) and Battery Electric Vehicles (BEVs).</w:t>
      </w:r>
      <w:r w:rsidR="00055EEB">
        <w:t xml:space="preserve"> </w:t>
      </w:r>
    </w:p>
    <w:p w:rsidR="00C92745" w:rsidRDefault="00C92745" w:rsidP="00C92745">
      <w:pPr>
        <w:pStyle w:val="ListParagraph"/>
        <w:spacing w:after="0" w:line="240" w:lineRule="auto"/>
        <w:ind w:left="360"/>
      </w:pPr>
    </w:p>
    <w:p w:rsidR="0003224F" w:rsidRDefault="008C4B1B">
      <w:pPr>
        <w:pStyle w:val="ListParagraph"/>
        <w:spacing w:after="0" w:line="240" w:lineRule="auto"/>
        <w:ind w:left="0"/>
        <w:rPr>
          <w:b/>
          <w:sz w:val="28"/>
          <w:u w:val="single"/>
        </w:rPr>
      </w:pPr>
      <w:r w:rsidRPr="008C4B1B">
        <w:rPr>
          <w:b/>
          <w:sz w:val="28"/>
          <w:u w:val="single"/>
        </w:rPr>
        <w:t>Section I</w:t>
      </w:r>
      <w:r w:rsidR="00D70B61">
        <w:rPr>
          <w:b/>
          <w:sz w:val="28"/>
          <w:u w:val="single"/>
        </w:rPr>
        <w:t>V – Reporting</w:t>
      </w:r>
    </w:p>
    <w:p w:rsidR="00EF51A8" w:rsidRDefault="00A20C17" w:rsidP="00B0745E">
      <w:pPr>
        <w:pStyle w:val="ListParagraph"/>
        <w:numPr>
          <w:ilvl w:val="0"/>
          <w:numId w:val="15"/>
        </w:numPr>
        <w:spacing w:after="0" w:line="240" w:lineRule="auto"/>
      </w:pPr>
      <w:r>
        <w:t xml:space="preserve">By </w:t>
      </w:r>
      <w:r w:rsidR="00430882" w:rsidRPr="00430882">
        <w:t>August 31</w:t>
      </w:r>
      <w:r w:rsidRPr="00430882">
        <w:t xml:space="preserve">, </w:t>
      </w:r>
      <w:r w:rsidR="00AA0739" w:rsidRPr="00430882">
        <w:t>201</w:t>
      </w:r>
      <w:r w:rsidR="00133F05">
        <w:t>7</w:t>
      </w:r>
      <w:r>
        <w:t xml:space="preserve">, all </w:t>
      </w:r>
      <w:r w:rsidR="00CA2691">
        <w:t xml:space="preserve"> executive branch state </w:t>
      </w:r>
      <w:r w:rsidR="00AE5E15" w:rsidRPr="00AE5E15">
        <w:t>agencies</w:t>
      </w:r>
      <w:r>
        <w:t xml:space="preserve"> must provide to </w:t>
      </w:r>
      <w:r w:rsidR="00D10ED5">
        <w:t>the Office of Vehicle Management (</w:t>
      </w:r>
      <w:r>
        <w:t>OVM</w:t>
      </w:r>
      <w:r w:rsidR="00D10ED5">
        <w:t>)</w:t>
      </w:r>
      <w:r>
        <w:t xml:space="preserve"> a list of all </w:t>
      </w:r>
      <w:r w:rsidR="00CA2691">
        <w:t xml:space="preserve">light duty </w:t>
      </w:r>
      <w:r>
        <w:t>vehicles</w:t>
      </w:r>
      <w:r w:rsidR="00A82258">
        <w:t xml:space="preserve"> </w:t>
      </w:r>
      <w:r w:rsidR="004E3AA1">
        <w:t>(</w:t>
      </w:r>
      <w:r w:rsidR="00A82258">
        <w:t xml:space="preserve">excluding </w:t>
      </w:r>
      <w:r w:rsidR="00CA2691">
        <w:t>authorized emergency vehicles</w:t>
      </w:r>
      <w:r w:rsidR="004E3AA1">
        <w:t>)</w:t>
      </w:r>
      <w:r w:rsidR="00A82258">
        <w:t xml:space="preserve"> </w:t>
      </w:r>
      <w:r>
        <w:t>that are currently in operation that have not been purchased through OVM. Such information must include the vehicle make, model, model year,</w:t>
      </w:r>
      <w:r w:rsidR="00C92D3D">
        <w:t xml:space="preserve"> fuel type and the estimated EPA combined mileage rating</w:t>
      </w:r>
      <w:r w:rsidR="009C27DE">
        <w:t>, and whether it is an eco-boost engine</w:t>
      </w:r>
      <w:r w:rsidR="00C92D3D">
        <w:t xml:space="preserve">.  </w:t>
      </w:r>
    </w:p>
    <w:p w:rsidR="0003224F" w:rsidRDefault="0003224F">
      <w:pPr>
        <w:pStyle w:val="ListParagraph"/>
        <w:spacing w:after="0" w:line="240" w:lineRule="auto"/>
        <w:ind w:left="360"/>
      </w:pPr>
    </w:p>
    <w:p w:rsidR="00A20C17" w:rsidRDefault="00A2419D" w:rsidP="00B0745E">
      <w:pPr>
        <w:pStyle w:val="ListParagraph"/>
        <w:numPr>
          <w:ilvl w:val="0"/>
          <w:numId w:val="15"/>
        </w:numPr>
        <w:spacing w:after="0" w:line="240" w:lineRule="auto"/>
      </w:pPr>
      <w:r>
        <w:t xml:space="preserve">By </w:t>
      </w:r>
      <w:r w:rsidR="00415C7B">
        <w:t>August</w:t>
      </w:r>
      <w:r>
        <w:t xml:space="preserve"> 31</w:t>
      </w:r>
      <w:r w:rsidR="006803D7" w:rsidRPr="006803D7">
        <w:rPr>
          <w:vertAlign w:val="superscript"/>
        </w:rPr>
        <w:t>st</w:t>
      </w:r>
      <w:r>
        <w:t xml:space="preserve"> of each year, </w:t>
      </w:r>
      <w:r w:rsidR="00CA2691">
        <w:t xml:space="preserve">all executive branch state </w:t>
      </w:r>
      <w:r>
        <w:t>agencies must provide to OVM a list of all light duty vehicles</w:t>
      </w:r>
      <w:r w:rsidR="00A82258">
        <w:t xml:space="preserve"> </w:t>
      </w:r>
      <w:r w:rsidR="00415C7B">
        <w:t>acquired</w:t>
      </w:r>
      <w:r>
        <w:t xml:space="preserve"> the previous year that have not been </w:t>
      </w:r>
      <w:r w:rsidR="00415C7B">
        <w:t>acquired</w:t>
      </w:r>
      <w:r>
        <w:t xml:space="preserve"> through OVM.</w:t>
      </w:r>
      <w:r w:rsidR="00BF1355">
        <w:t xml:space="preserve"> </w:t>
      </w:r>
      <w:r>
        <w:t xml:space="preserve"> Such purchases are subject to this standard. </w:t>
      </w:r>
    </w:p>
    <w:p w:rsidR="00D0213E" w:rsidRDefault="00D0213E" w:rsidP="00D0213E">
      <w:pPr>
        <w:pStyle w:val="ListParagraph"/>
        <w:spacing w:after="0" w:line="240" w:lineRule="auto"/>
        <w:ind w:left="360"/>
      </w:pPr>
    </w:p>
    <w:p w:rsidR="0003224F" w:rsidRDefault="008C4B1B">
      <w:pPr>
        <w:pStyle w:val="ListParagraph"/>
        <w:spacing w:after="0" w:line="240" w:lineRule="auto"/>
        <w:ind w:left="0"/>
        <w:rPr>
          <w:b/>
          <w:sz w:val="28"/>
          <w:u w:val="single"/>
        </w:rPr>
      </w:pPr>
      <w:r w:rsidRPr="008C4B1B">
        <w:rPr>
          <w:b/>
          <w:sz w:val="28"/>
          <w:u w:val="single"/>
        </w:rPr>
        <w:t xml:space="preserve">Section </w:t>
      </w:r>
      <w:r w:rsidR="00EF51A8">
        <w:rPr>
          <w:b/>
          <w:sz w:val="28"/>
          <w:u w:val="single"/>
        </w:rPr>
        <w:t>V</w:t>
      </w:r>
      <w:r w:rsidRPr="008C4B1B">
        <w:rPr>
          <w:b/>
          <w:sz w:val="28"/>
          <w:u w:val="single"/>
        </w:rPr>
        <w:t xml:space="preserve"> – Green Fleet Committee</w:t>
      </w:r>
    </w:p>
    <w:p w:rsidR="00535BA6" w:rsidRDefault="00535BA6" w:rsidP="00B0745E">
      <w:pPr>
        <w:pStyle w:val="ListParagraph"/>
        <w:numPr>
          <w:ilvl w:val="0"/>
          <w:numId w:val="16"/>
        </w:numPr>
        <w:spacing w:after="0" w:line="240" w:lineRule="auto"/>
      </w:pPr>
      <w:r>
        <w:t>A Green Fleet Committee shall be formed with members from t</w:t>
      </w:r>
      <w:r w:rsidR="005D4B9B">
        <w:t>he Opera</w:t>
      </w:r>
      <w:r w:rsidR="00DA2FD4">
        <w:t>tional Services Division, the Dep</w:t>
      </w:r>
      <w:r>
        <w:t xml:space="preserve">artment of Energy Resources, </w:t>
      </w:r>
      <w:r w:rsidR="00034A91">
        <w:t xml:space="preserve">and </w:t>
      </w:r>
      <w:r w:rsidR="00DA2FD4">
        <w:t>the Department of Environmental Protection</w:t>
      </w:r>
      <w:r w:rsidR="00034A91">
        <w:t xml:space="preserve">.  The Green Fleet Committee </w:t>
      </w:r>
      <w:r w:rsidR="00C03DDA">
        <w:t xml:space="preserve">shall </w:t>
      </w:r>
      <w:r w:rsidR="009C27DE">
        <w:t>be chaired by the Department of Energy Resources and shall</w:t>
      </w:r>
      <w:r>
        <w:t>:</w:t>
      </w:r>
    </w:p>
    <w:p w:rsidR="00034A91" w:rsidRDefault="00034A91" w:rsidP="00034A91">
      <w:pPr>
        <w:pStyle w:val="ListParagraph"/>
        <w:numPr>
          <w:ilvl w:val="1"/>
          <w:numId w:val="16"/>
        </w:numPr>
        <w:spacing w:after="0" w:line="240" w:lineRule="auto"/>
      </w:pPr>
      <w:r>
        <w:t xml:space="preserve">Develop an intra-agency MPG Credit Trading Program that enables each state agency to earn credits if the combined average fuel economy in either vehicle category exceeds the requirement set forth in Section III Subsection 1 in any given year.  </w:t>
      </w:r>
    </w:p>
    <w:p w:rsidR="00034A91" w:rsidRDefault="00034A91" w:rsidP="00034A91">
      <w:pPr>
        <w:pStyle w:val="ListParagraph"/>
        <w:numPr>
          <w:ilvl w:val="1"/>
          <w:numId w:val="16"/>
        </w:numPr>
        <w:spacing w:after="0" w:line="240" w:lineRule="auto"/>
      </w:pPr>
      <w:r>
        <w:t xml:space="preserve">Develop a credit system for </w:t>
      </w:r>
      <w:r w:rsidRPr="00034A91">
        <w:t>other methods of achieving compliance such as</w:t>
      </w:r>
      <w:r>
        <w:t xml:space="preserve">: </w:t>
      </w:r>
    </w:p>
    <w:p w:rsidR="00034A91" w:rsidRDefault="00034A91" w:rsidP="00034A91">
      <w:pPr>
        <w:pStyle w:val="ListParagraph"/>
        <w:numPr>
          <w:ilvl w:val="2"/>
          <w:numId w:val="16"/>
        </w:numPr>
        <w:spacing w:after="0" w:line="240" w:lineRule="auto"/>
      </w:pPr>
      <w:r>
        <w:t xml:space="preserve">vehicles acquired that utilize alternative fuels for at least 50% of their annual fuel consumption and for dedicated alternative fuel vehicles; </w:t>
      </w:r>
    </w:p>
    <w:p w:rsidR="00034A91" w:rsidRDefault="00034A91" w:rsidP="00034A91">
      <w:pPr>
        <w:pStyle w:val="ListParagraph"/>
        <w:numPr>
          <w:ilvl w:val="2"/>
          <w:numId w:val="16"/>
        </w:numPr>
        <w:spacing w:after="0" w:line="240" w:lineRule="auto"/>
      </w:pPr>
      <w:r>
        <w:t>the retirement of older vehicles without replacement;</w:t>
      </w:r>
    </w:p>
    <w:p w:rsidR="00034A91" w:rsidRDefault="00034A91" w:rsidP="00034A91">
      <w:pPr>
        <w:pStyle w:val="ListParagraph"/>
        <w:numPr>
          <w:ilvl w:val="2"/>
          <w:numId w:val="16"/>
        </w:numPr>
        <w:spacing w:after="0" w:line="240" w:lineRule="auto"/>
      </w:pPr>
      <w:r>
        <w:t>utilization of after-market clean vehicle technologies;</w:t>
      </w:r>
    </w:p>
    <w:p w:rsidR="00034A91" w:rsidRDefault="00034A91" w:rsidP="00034A91">
      <w:pPr>
        <w:pStyle w:val="ListParagraph"/>
        <w:numPr>
          <w:ilvl w:val="2"/>
          <w:numId w:val="16"/>
        </w:numPr>
        <w:spacing w:after="0" w:line="240" w:lineRule="auto"/>
      </w:pPr>
      <w:proofErr w:type="gramStart"/>
      <w:r>
        <w:t>the</w:t>
      </w:r>
      <w:proofErr w:type="gramEnd"/>
      <w:r>
        <w:t xml:space="preserve"> use of biodiesel in any fleet vehicles, including those for which this standard does not apply.</w:t>
      </w:r>
    </w:p>
    <w:p w:rsidR="00034A91" w:rsidRDefault="00034A91" w:rsidP="00034A91">
      <w:pPr>
        <w:pStyle w:val="ListParagraph"/>
        <w:numPr>
          <w:ilvl w:val="1"/>
          <w:numId w:val="16"/>
        </w:numPr>
        <w:spacing w:after="0" w:line="240" w:lineRule="auto"/>
      </w:pPr>
      <w:r>
        <w:t>Consider and implement other allowable strategies that support the environmental goals of this standard.</w:t>
      </w:r>
    </w:p>
    <w:p w:rsidR="00034A91" w:rsidRDefault="00034A91" w:rsidP="00034A91">
      <w:pPr>
        <w:pStyle w:val="ListParagraph"/>
        <w:numPr>
          <w:ilvl w:val="1"/>
          <w:numId w:val="16"/>
        </w:numPr>
        <w:spacing w:after="0" w:line="240" w:lineRule="auto"/>
      </w:pPr>
      <w:r>
        <w:t xml:space="preserve">Develop guidance documents and other tools to support agency fleet efforts to meet the requirements of this standard. </w:t>
      </w:r>
    </w:p>
    <w:p w:rsidR="00535BA6" w:rsidRDefault="00535BA6" w:rsidP="00535BA6">
      <w:pPr>
        <w:pStyle w:val="ListParagraph"/>
      </w:pPr>
    </w:p>
    <w:p w:rsidR="00DA2FD4" w:rsidRDefault="000A73E7" w:rsidP="00B0745E">
      <w:pPr>
        <w:pStyle w:val="ListParagraph"/>
        <w:numPr>
          <w:ilvl w:val="1"/>
          <w:numId w:val="16"/>
        </w:numPr>
        <w:spacing w:after="0" w:line="240" w:lineRule="auto"/>
      </w:pPr>
      <w:r>
        <w:t>Evaluate</w:t>
      </w:r>
      <w:r w:rsidR="00EC0924">
        <w:t>,</w:t>
      </w:r>
      <w:r w:rsidR="00095AD9">
        <w:t xml:space="preserve"> and revise if necessary</w:t>
      </w:r>
      <w:r w:rsidR="00EC0924">
        <w:t>,</w:t>
      </w:r>
      <w:r w:rsidR="00535BA6">
        <w:t xml:space="preserve"> the above stated fuel </w:t>
      </w:r>
      <w:r w:rsidR="001D5947">
        <w:t xml:space="preserve">efficiency </w:t>
      </w:r>
      <w:r w:rsidR="00AA0739">
        <w:t xml:space="preserve">requirements </w:t>
      </w:r>
      <w:r w:rsidR="00053DCC">
        <w:t xml:space="preserve">and </w:t>
      </w:r>
      <w:r w:rsidR="00A16E25">
        <w:t xml:space="preserve">hybrid, </w:t>
      </w:r>
      <w:r w:rsidR="00C36B18">
        <w:t>AFV</w:t>
      </w:r>
      <w:r w:rsidR="00053DCC">
        <w:t xml:space="preserve">, </w:t>
      </w:r>
      <w:r w:rsidR="00C36B18">
        <w:t xml:space="preserve">PHEV </w:t>
      </w:r>
      <w:r w:rsidR="00053DCC">
        <w:t xml:space="preserve">and </w:t>
      </w:r>
      <w:r w:rsidR="00C36B18">
        <w:t>BEV</w:t>
      </w:r>
      <w:r w:rsidR="00053DCC">
        <w:t xml:space="preserve"> targets.  Such review shall </w:t>
      </w:r>
      <w:r w:rsidR="00C36B18">
        <w:t>consider</w:t>
      </w:r>
      <w:r w:rsidR="00053DCC">
        <w:t xml:space="preserve"> all </w:t>
      </w:r>
      <w:r w:rsidR="000C3A37">
        <w:t xml:space="preserve">relevant </w:t>
      </w:r>
      <w:r w:rsidR="007A4BD0">
        <w:t xml:space="preserve">laws and </w:t>
      </w:r>
      <w:r w:rsidR="00053DCC">
        <w:t>regulations</w:t>
      </w:r>
      <w:r w:rsidR="00C36B18">
        <w:t xml:space="preserve">, </w:t>
      </w:r>
      <w:r w:rsidR="00053DCC">
        <w:t>including but not limited to</w:t>
      </w:r>
      <w:r w:rsidR="00EC0924">
        <w:t>,</w:t>
      </w:r>
      <w:r w:rsidR="00053DCC">
        <w:t xml:space="preserve"> the Gr</w:t>
      </w:r>
      <w:r w:rsidR="00C36B18">
        <w:t>een Communities Act and the “Multi-State ZEV Action Plan”</w:t>
      </w:r>
      <w:r w:rsidR="00E945E2">
        <w:rPr>
          <w:rStyle w:val="FootnoteReference"/>
        </w:rPr>
        <w:footnoteReference w:id="5"/>
      </w:r>
      <w:r w:rsidR="00C36B18">
        <w:t>, to ensure the Commonwealth is on target to meet the stated mandates</w:t>
      </w:r>
      <w:r w:rsidR="00EC0924">
        <w:t>;</w:t>
      </w:r>
    </w:p>
    <w:p w:rsidR="009C27DE" w:rsidRDefault="00837BBE" w:rsidP="00B0745E">
      <w:pPr>
        <w:pStyle w:val="ListParagraph"/>
        <w:numPr>
          <w:ilvl w:val="1"/>
          <w:numId w:val="16"/>
        </w:numPr>
        <w:spacing w:after="0" w:line="240" w:lineRule="auto"/>
      </w:pPr>
      <w:r>
        <w:t>M</w:t>
      </w:r>
      <w:r w:rsidR="009C27DE">
        <w:t>ake recommendations of vehicles to be added or removed from the</w:t>
      </w:r>
      <w:r w:rsidR="00752B38">
        <w:t xml:space="preserve"> applicable</w:t>
      </w:r>
      <w:r w:rsidR="009C27DE">
        <w:t xml:space="preserve"> state</w:t>
      </w:r>
      <w:r w:rsidR="00752B38">
        <w:t>wide</w:t>
      </w:r>
      <w:r w:rsidR="009C27DE">
        <w:t xml:space="preserve"> contract</w:t>
      </w:r>
      <w:r w:rsidR="00752B38">
        <w:t>(s)</w:t>
      </w:r>
      <w:r w:rsidR="00EC0924">
        <w:t>;</w:t>
      </w:r>
    </w:p>
    <w:p w:rsidR="00F15B09" w:rsidRDefault="00837BBE" w:rsidP="00B0745E">
      <w:pPr>
        <w:pStyle w:val="ListParagraph"/>
        <w:numPr>
          <w:ilvl w:val="1"/>
          <w:numId w:val="16"/>
        </w:numPr>
        <w:spacing w:after="0" w:line="240" w:lineRule="auto"/>
      </w:pPr>
      <w:r>
        <w:t>R</w:t>
      </w:r>
      <w:r w:rsidR="00535BA6">
        <w:t xml:space="preserve">eport on the progress made to achieve the goal of 50% of motor vehicles owned and operated by the Commonwealth </w:t>
      </w:r>
      <w:r w:rsidR="00D45631">
        <w:t>are</w:t>
      </w:r>
      <w:r w:rsidR="00535BA6">
        <w:t xml:space="preserve"> alternative fuel or hybrid, as mandated by Chapter 169, Section 1 of An Act Relative to Green Communities</w:t>
      </w:r>
      <w:r w:rsidR="00FA0697">
        <w:t xml:space="preserve"> and </w:t>
      </w:r>
      <w:r w:rsidR="00D10ED5">
        <w:t>Section III, Sub</w:t>
      </w:r>
      <w:r w:rsidR="00FA0697">
        <w:t xml:space="preserve">section </w:t>
      </w:r>
      <w:r w:rsidR="00D10ED5">
        <w:t>3</w:t>
      </w:r>
      <w:r w:rsidR="00DF4FE0">
        <w:t xml:space="preserve"> </w:t>
      </w:r>
      <w:r w:rsidR="00FA0697">
        <w:t>in this standard</w:t>
      </w:r>
      <w:r w:rsidR="00EC0924">
        <w:t>;</w:t>
      </w:r>
    </w:p>
    <w:p w:rsidR="007A4BD0" w:rsidRDefault="007A4BD0" w:rsidP="00B0745E">
      <w:pPr>
        <w:pStyle w:val="ListParagraph"/>
        <w:numPr>
          <w:ilvl w:val="1"/>
          <w:numId w:val="16"/>
        </w:numPr>
        <w:spacing w:after="0" w:line="240" w:lineRule="auto"/>
      </w:pPr>
      <w:r>
        <w:t xml:space="preserve">Research </w:t>
      </w:r>
      <w:r w:rsidR="0072145A">
        <w:t xml:space="preserve">and communicate </w:t>
      </w:r>
      <w:r>
        <w:t xml:space="preserve">funding opportunities available </w:t>
      </w:r>
      <w:r w:rsidR="0072145A">
        <w:t>to state agencies that can be utilized to meet the requirements of this standard.</w:t>
      </w:r>
    </w:p>
    <w:p w:rsidR="00CC4011" w:rsidRDefault="00CC4011" w:rsidP="009F3CDD">
      <w:pPr>
        <w:pStyle w:val="ListParagraph"/>
        <w:spacing w:after="0" w:line="240" w:lineRule="auto"/>
        <w:ind w:left="1440"/>
      </w:pPr>
    </w:p>
    <w:p w:rsidR="00F15B09" w:rsidRDefault="00F15B09" w:rsidP="009F3CDD">
      <w:pPr>
        <w:pStyle w:val="ListParagraph"/>
        <w:spacing w:after="0" w:line="240" w:lineRule="auto"/>
        <w:ind w:left="0"/>
      </w:pPr>
      <w:r>
        <w:t>The Green Fleet Committee shall</w:t>
      </w:r>
      <w:r w:rsidR="00034A91">
        <w:t xml:space="preserve"> invite </w:t>
      </w:r>
      <w:r w:rsidR="00CC4011">
        <w:t>at least two representatives of agency fleets to participate in an advisory role</w:t>
      </w:r>
      <w:r w:rsidR="00BD5B80">
        <w:t xml:space="preserve"> and attend GFC meetings</w:t>
      </w:r>
      <w:r w:rsidR="009E5B0D">
        <w:t xml:space="preserve"> as appropriate</w:t>
      </w:r>
      <w:r w:rsidR="00BD5B80">
        <w:t>, which shall occur</w:t>
      </w:r>
      <w:r w:rsidR="009E5B0D">
        <w:t xml:space="preserve"> periodically but </w:t>
      </w:r>
      <w:r w:rsidR="00CC4011">
        <w:t>at least annually</w:t>
      </w:r>
      <w:r w:rsidR="00BD5B80">
        <w:t xml:space="preserve">. In their advisory role, fleet representatives shall </w:t>
      </w:r>
      <w:r w:rsidR="00CC4011">
        <w:t xml:space="preserve">review and make recommendations regarding the actions of the GFC and other elements of the standard.  </w:t>
      </w:r>
    </w:p>
    <w:p w:rsidR="0003224F" w:rsidRDefault="0003224F">
      <w:pPr>
        <w:pStyle w:val="ListParagraph"/>
        <w:spacing w:after="0" w:line="240" w:lineRule="auto"/>
        <w:ind w:left="0"/>
        <w:rPr>
          <w:b/>
          <w:sz w:val="28"/>
          <w:u w:val="single"/>
        </w:rPr>
      </w:pPr>
    </w:p>
    <w:p w:rsidR="0080393F" w:rsidRDefault="008C4B1B" w:rsidP="0080393F">
      <w:pPr>
        <w:pStyle w:val="ListParagraph"/>
        <w:tabs>
          <w:tab w:val="left" w:pos="0"/>
          <w:tab w:val="left" w:pos="360"/>
        </w:tabs>
        <w:spacing w:after="0" w:line="240" w:lineRule="auto"/>
        <w:ind w:left="0"/>
        <w:rPr>
          <w:b/>
          <w:sz w:val="28"/>
          <w:u w:val="single"/>
        </w:rPr>
      </w:pPr>
      <w:r w:rsidRPr="008C4B1B">
        <w:rPr>
          <w:b/>
          <w:sz w:val="28"/>
          <w:u w:val="single"/>
        </w:rPr>
        <w:t>Section V</w:t>
      </w:r>
      <w:r w:rsidR="00D70B61">
        <w:rPr>
          <w:b/>
          <w:sz w:val="28"/>
          <w:u w:val="single"/>
        </w:rPr>
        <w:t>I</w:t>
      </w:r>
      <w:r w:rsidRPr="008C4B1B">
        <w:rPr>
          <w:b/>
          <w:sz w:val="28"/>
          <w:u w:val="single"/>
        </w:rPr>
        <w:t xml:space="preserve"> </w:t>
      </w:r>
      <w:r w:rsidR="00B46460">
        <w:rPr>
          <w:b/>
          <w:sz w:val="28"/>
          <w:u w:val="single"/>
        </w:rPr>
        <w:t>–</w:t>
      </w:r>
      <w:r w:rsidRPr="008C4B1B">
        <w:rPr>
          <w:b/>
          <w:sz w:val="28"/>
          <w:u w:val="single"/>
        </w:rPr>
        <w:t xml:space="preserve"> </w:t>
      </w:r>
      <w:r w:rsidR="00B46460">
        <w:rPr>
          <w:b/>
          <w:sz w:val="28"/>
          <w:u w:val="single"/>
        </w:rPr>
        <w:t>Review Process</w:t>
      </w:r>
    </w:p>
    <w:p w:rsidR="00F15B09" w:rsidRPr="002C3718" w:rsidRDefault="00A658E1" w:rsidP="00B0745E">
      <w:pPr>
        <w:pStyle w:val="ListParagraph"/>
        <w:spacing w:after="0" w:line="240" w:lineRule="auto"/>
        <w:ind w:left="0"/>
      </w:pPr>
      <w:r>
        <w:t>T</w:t>
      </w:r>
      <w:r w:rsidR="00F15B09">
        <w:t>he Operational Services Division</w:t>
      </w:r>
      <w:r w:rsidR="00532332">
        <w:t xml:space="preserve"> shall consult with the Departments of Energy Resources and Environmental Protection</w:t>
      </w:r>
      <w:r w:rsidR="0016251C">
        <w:t xml:space="preserve"> in accordance with Section 1 of Chapter 169 of the Green Communities Act. </w:t>
      </w:r>
      <w:r w:rsidR="003E070F">
        <w:t xml:space="preserve">  </w:t>
      </w:r>
      <w:r w:rsidR="0016251C">
        <w:t xml:space="preserve"> OSD,</w:t>
      </w:r>
      <w:r w:rsidR="0072145A">
        <w:t xml:space="preserve"> in consultation with </w:t>
      </w:r>
      <w:r w:rsidR="0016251C">
        <w:t>DOER and DEP</w:t>
      </w:r>
      <w:r w:rsidR="0072145A">
        <w:t>,</w:t>
      </w:r>
      <w:r w:rsidR="0016251C">
        <w:t xml:space="preserve"> shall work with each agency to revise vehicle acquisition requests </w:t>
      </w:r>
      <w:r w:rsidR="008C4B1B">
        <w:t>that do not meet the requirements set forth in Section</w:t>
      </w:r>
      <w:r w:rsidR="003464C8">
        <w:t xml:space="preserve"> III</w:t>
      </w:r>
      <w:r w:rsidR="00131B98">
        <w:t xml:space="preserve"> </w:t>
      </w:r>
      <w:r w:rsidR="008C4B1B">
        <w:t>unless:</w:t>
      </w:r>
    </w:p>
    <w:p w:rsidR="007111D7" w:rsidRPr="002C3718" w:rsidRDefault="008C4B1B" w:rsidP="00B0745E">
      <w:pPr>
        <w:pStyle w:val="ListParagraph"/>
        <w:numPr>
          <w:ilvl w:val="0"/>
          <w:numId w:val="17"/>
        </w:numPr>
        <w:spacing w:after="0" w:line="240" w:lineRule="auto"/>
      </w:pPr>
      <w:r w:rsidRPr="008C4B1B">
        <w:t xml:space="preserve">The agency in question demonstrates it has met the standard through other means, including but not limited to: the use of advanced biodiesel, the use of after-market clean vehicle technologies, or vehicle retirement. </w:t>
      </w:r>
    </w:p>
    <w:p w:rsidR="006D50F4" w:rsidRDefault="003E070F" w:rsidP="006D50F4">
      <w:pPr>
        <w:pStyle w:val="ListParagraph"/>
        <w:numPr>
          <w:ilvl w:val="0"/>
          <w:numId w:val="17"/>
        </w:numPr>
        <w:spacing w:after="0" w:line="240" w:lineRule="auto"/>
      </w:pPr>
      <w:r>
        <w:t xml:space="preserve"> The agency in question</w:t>
      </w:r>
      <w:r w:rsidR="007111D7">
        <w:t xml:space="preserve"> </w:t>
      </w:r>
      <w:r w:rsidR="00837BBE">
        <w:t>applies for an exemption</w:t>
      </w:r>
      <w:r w:rsidR="00BD5B80">
        <w:t xml:space="preserve"> (see Section VII) </w:t>
      </w:r>
      <w:r w:rsidR="00837BBE">
        <w:t xml:space="preserve">from Standard Compliance and </w:t>
      </w:r>
      <w:r w:rsidR="007111D7">
        <w:t>submit</w:t>
      </w:r>
      <w:r>
        <w:t>s</w:t>
      </w:r>
      <w:r w:rsidR="007111D7">
        <w:t xml:space="preserve"> a</w:t>
      </w:r>
      <w:r w:rsidR="002024BB">
        <w:t>n acceptable</w:t>
      </w:r>
      <w:r w:rsidR="007111D7">
        <w:t xml:space="preserve"> plan detailing how</w:t>
      </w:r>
      <w:r>
        <w:t xml:space="preserve"> it</w:t>
      </w:r>
      <w:r w:rsidR="007111D7">
        <w:t xml:space="preserve"> </w:t>
      </w:r>
      <w:r w:rsidR="00FA0697">
        <w:t>intends</w:t>
      </w:r>
      <w:r>
        <w:t xml:space="preserve"> to </w:t>
      </w:r>
      <w:r w:rsidR="00837BBE">
        <w:t>implement Alternative Compliance</w:t>
      </w:r>
      <w:r w:rsidR="00FA0697">
        <w:t>.</w:t>
      </w:r>
    </w:p>
    <w:p w:rsidR="0080393F" w:rsidRDefault="0080393F" w:rsidP="0080393F">
      <w:pPr>
        <w:spacing w:after="0" w:line="240" w:lineRule="auto"/>
        <w:ind w:left="720"/>
      </w:pPr>
    </w:p>
    <w:p w:rsidR="006D50F4" w:rsidRPr="006D50F4" w:rsidRDefault="006D50F4" w:rsidP="006D50F4">
      <w:pPr>
        <w:pStyle w:val="ListParagraph"/>
        <w:tabs>
          <w:tab w:val="left" w:pos="0"/>
        </w:tabs>
        <w:spacing w:after="0" w:line="240" w:lineRule="auto"/>
        <w:ind w:left="0"/>
        <w:rPr>
          <w:b/>
          <w:sz w:val="28"/>
          <w:u w:val="single"/>
        </w:rPr>
      </w:pPr>
      <w:r w:rsidRPr="006D50F4">
        <w:rPr>
          <w:b/>
          <w:sz w:val="28"/>
          <w:u w:val="single"/>
        </w:rPr>
        <w:t>Section VII – Exemption</w:t>
      </w:r>
    </w:p>
    <w:p w:rsidR="0081349F" w:rsidRDefault="006D50F4" w:rsidP="006D50F4">
      <w:pPr>
        <w:tabs>
          <w:tab w:val="left" w:pos="0"/>
          <w:tab w:val="left" w:pos="900"/>
        </w:tabs>
        <w:spacing w:after="0" w:line="240" w:lineRule="auto"/>
      </w:pPr>
      <w:r>
        <w:t xml:space="preserve">In recognition </w:t>
      </w:r>
      <w:r w:rsidR="008B0929">
        <w:t>of those</w:t>
      </w:r>
      <w:r>
        <w:t xml:space="preserve"> circumstances where the requirements set forth in Section III cannot be met </w:t>
      </w:r>
      <w:r w:rsidR="00B22563">
        <w:t xml:space="preserve">through </w:t>
      </w:r>
      <w:r w:rsidR="00215715">
        <w:t xml:space="preserve">the use of </w:t>
      </w:r>
      <w:r w:rsidR="00B22563">
        <w:t>currently available cost-effective technology</w:t>
      </w:r>
      <w:r w:rsidR="00B4645B">
        <w:t xml:space="preserve">, an agency has the option to </w:t>
      </w:r>
      <w:r w:rsidR="003464C8">
        <w:t xml:space="preserve">request an exemption from </w:t>
      </w:r>
      <w:r w:rsidR="00837BBE">
        <w:t xml:space="preserve">Standard Compliance with </w:t>
      </w:r>
      <w:r w:rsidR="003464C8">
        <w:t>the</w:t>
      </w:r>
      <w:r w:rsidR="00B4645B">
        <w:t xml:space="preserve"> requirements </w:t>
      </w:r>
      <w:r w:rsidR="00AA0739">
        <w:t>outlined in Section III</w:t>
      </w:r>
      <w:r w:rsidR="00B4645B">
        <w:t>.  To be eligible for an exemption</w:t>
      </w:r>
      <w:r w:rsidR="005A098A">
        <w:t xml:space="preserve"> </w:t>
      </w:r>
      <w:r w:rsidR="00BC0239">
        <w:t>in</w:t>
      </w:r>
      <w:r w:rsidR="005A098A">
        <w:t xml:space="preserve"> </w:t>
      </w:r>
      <w:r w:rsidR="000E4C22">
        <w:t>a given</w:t>
      </w:r>
      <w:r w:rsidR="005A098A">
        <w:t xml:space="preserve"> fiscal year</w:t>
      </w:r>
      <w:r w:rsidR="00B4645B">
        <w:t xml:space="preserve">, the agency must </w:t>
      </w:r>
      <w:r w:rsidR="00315C2D">
        <w:t xml:space="preserve">first </w:t>
      </w:r>
      <w:r w:rsidR="00B4645B">
        <w:t xml:space="preserve">demonstrate that </w:t>
      </w:r>
      <w:r w:rsidR="000E4C22">
        <w:t xml:space="preserve">substantial efforts </w:t>
      </w:r>
      <w:r w:rsidR="00B4645B">
        <w:t>ha</w:t>
      </w:r>
      <w:r w:rsidR="00BC0239">
        <w:t>ve</w:t>
      </w:r>
      <w:r w:rsidR="00B4645B">
        <w:t xml:space="preserve"> been made to meet the standard</w:t>
      </w:r>
      <w:r w:rsidR="000E4C22">
        <w:t xml:space="preserve"> through cost-effective means</w:t>
      </w:r>
      <w:r w:rsidR="005A098A">
        <w:t xml:space="preserve">.  </w:t>
      </w:r>
      <w:r w:rsidR="008B0929">
        <w:t>T</w:t>
      </w:r>
      <w:r w:rsidR="005A098A">
        <w:t>o be granted an exemption, an agency m</w:t>
      </w:r>
      <w:r w:rsidR="00B4645B">
        <w:t xml:space="preserve">ust </w:t>
      </w:r>
      <w:r w:rsidR="008B0929">
        <w:t>then</w:t>
      </w:r>
      <w:r w:rsidR="005A098A">
        <w:t xml:space="preserve"> </w:t>
      </w:r>
      <w:r w:rsidR="00B4645B">
        <w:t xml:space="preserve">demonstrate its willingness and ability </w:t>
      </w:r>
      <w:r w:rsidR="00837BBE">
        <w:t>to implement an Alternative Compliance plan, through the</w:t>
      </w:r>
      <w:r w:rsidR="00B4645B">
        <w:t xml:space="preserve"> execut</w:t>
      </w:r>
      <w:r w:rsidR="00837BBE">
        <w:t xml:space="preserve">ion of </w:t>
      </w:r>
      <w:r w:rsidR="00B4645B">
        <w:t xml:space="preserve">one or more additional measures that </w:t>
      </w:r>
      <w:r w:rsidR="000E4C22">
        <w:t xml:space="preserve">will measurably reduce </w:t>
      </w:r>
      <w:r w:rsidR="00B4645B">
        <w:t xml:space="preserve">petroleum use, including but not limited to: </w:t>
      </w:r>
    </w:p>
    <w:p w:rsidR="00221EDA" w:rsidRDefault="00B10E6D">
      <w:pPr>
        <w:pStyle w:val="ListParagraph"/>
        <w:numPr>
          <w:ilvl w:val="2"/>
          <w:numId w:val="17"/>
        </w:numPr>
        <w:spacing w:after="0" w:line="240" w:lineRule="auto"/>
        <w:ind w:left="1800" w:firstLine="0"/>
      </w:pPr>
      <w:r>
        <w:t>Increase</w:t>
      </w:r>
      <w:r w:rsidR="00BC0239">
        <w:t xml:space="preserve"> the</w:t>
      </w:r>
      <w:r>
        <w:t xml:space="preserve"> use of alternative fuels</w:t>
      </w:r>
    </w:p>
    <w:p w:rsidR="00221EDA" w:rsidRDefault="00B10E6D">
      <w:pPr>
        <w:pStyle w:val="ListParagraph"/>
        <w:numPr>
          <w:ilvl w:val="2"/>
          <w:numId w:val="17"/>
        </w:numPr>
        <w:spacing w:after="0" w:line="240" w:lineRule="auto"/>
        <w:ind w:left="2160" w:hanging="360"/>
      </w:pPr>
      <w:r>
        <w:t>Increase</w:t>
      </w:r>
      <w:r w:rsidR="00BC0239">
        <w:t xml:space="preserve"> the</w:t>
      </w:r>
      <w:r>
        <w:t xml:space="preserve"> use of biodiesel or higher biodiesel blends</w:t>
      </w:r>
      <w:r w:rsidR="00EC0924">
        <w:t>;</w:t>
      </w:r>
    </w:p>
    <w:p w:rsidR="00221EDA" w:rsidRDefault="00B10E6D">
      <w:pPr>
        <w:pStyle w:val="ListParagraph"/>
        <w:numPr>
          <w:ilvl w:val="2"/>
          <w:numId w:val="17"/>
        </w:numPr>
        <w:spacing w:after="0" w:line="240" w:lineRule="auto"/>
        <w:ind w:left="2160" w:hanging="360"/>
      </w:pPr>
      <w:r>
        <w:t>Adopt</w:t>
      </w:r>
      <w:r w:rsidR="00BC0239">
        <w:t xml:space="preserve"> of </w:t>
      </w:r>
      <w:r w:rsidR="00B4645B">
        <w:t xml:space="preserve">one or more strategies to reduce </w:t>
      </w:r>
      <w:r>
        <w:t>vehicle miles traveled (VMT)</w:t>
      </w:r>
      <w:r w:rsidR="00EC0924">
        <w:t>;</w:t>
      </w:r>
    </w:p>
    <w:p w:rsidR="00B4645B" w:rsidRDefault="00B10E6D">
      <w:pPr>
        <w:pStyle w:val="ListParagraph"/>
        <w:numPr>
          <w:ilvl w:val="2"/>
          <w:numId w:val="17"/>
        </w:numPr>
        <w:spacing w:after="0" w:line="240" w:lineRule="auto"/>
        <w:ind w:left="2160" w:hanging="360"/>
      </w:pPr>
      <w:r>
        <w:t>Institute idle reduction</w:t>
      </w:r>
      <w:r w:rsidR="00B4645B">
        <w:t xml:space="preserve"> technologies</w:t>
      </w:r>
      <w:r w:rsidR="000E4C22">
        <w:t xml:space="preserve"> and/or strategies</w:t>
      </w:r>
      <w:r w:rsidR="00EC0924">
        <w:t>;</w:t>
      </w:r>
    </w:p>
    <w:p w:rsidR="00221EDA" w:rsidRDefault="00B4645B">
      <w:pPr>
        <w:pStyle w:val="ListParagraph"/>
        <w:numPr>
          <w:ilvl w:val="2"/>
          <w:numId w:val="17"/>
        </w:numPr>
        <w:spacing w:after="0" w:line="240" w:lineRule="auto"/>
        <w:ind w:left="2160" w:hanging="360"/>
      </w:pPr>
      <w:r>
        <w:t>Institute other strategies or technologies for reducing petroleum use</w:t>
      </w:r>
      <w:r w:rsidR="00EC0924">
        <w:t>.</w:t>
      </w:r>
      <w:r w:rsidR="0081349F">
        <w:t xml:space="preserve"> </w:t>
      </w:r>
    </w:p>
    <w:p w:rsidR="00B4645B" w:rsidRDefault="00B4645B" w:rsidP="005A098A">
      <w:pPr>
        <w:pStyle w:val="ListParagraph"/>
        <w:spacing w:after="0" w:line="240" w:lineRule="auto"/>
        <w:ind w:left="2160"/>
      </w:pPr>
    </w:p>
    <w:p w:rsidR="00B46460" w:rsidRDefault="00B4645B" w:rsidP="00DA2FD4">
      <w:pPr>
        <w:spacing w:after="0" w:line="240" w:lineRule="auto"/>
      </w:pPr>
      <w:r>
        <w:t xml:space="preserve">The Green Fleet Committee will make a ruling on whether or not to grant the exemption based on the information provided by the agency.  </w:t>
      </w:r>
    </w:p>
    <w:p w:rsidR="00837BBE" w:rsidRDefault="00837BBE" w:rsidP="00DA2FD4">
      <w:pPr>
        <w:spacing w:after="0" w:line="240" w:lineRule="auto"/>
      </w:pPr>
    </w:p>
    <w:p w:rsidR="0003224F" w:rsidRDefault="008C4B1B">
      <w:pPr>
        <w:pStyle w:val="ListParagraph"/>
        <w:spacing w:after="0" w:line="240" w:lineRule="auto"/>
        <w:ind w:left="0"/>
        <w:rPr>
          <w:b/>
          <w:sz w:val="28"/>
          <w:u w:val="single"/>
        </w:rPr>
      </w:pPr>
      <w:r w:rsidRPr="008C4B1B">
        <w:rPr>
          <w:b/>
          <w:sz w:val="28"/>
          <w:u w:val="single"/>
        </w:rPr>
        <w:lastRenderedPageBreak/>
        <w:t>Section VI</w:t>
      </w:r>
      <w:r w:rsidR="00D70B61">
        <w:rPr>
          <w:b/>
          <w:sz w:val="28"/>
          <w:u w:val="single"/>
        </w:rPr>
        <w:t>I</w:t>
      </w:r>
      <w:r w:rsidR="006D50F4">
        <w:rPr>
          <w:b/>
          <w:sz w:val="28"/>
          <w:u w:val="single"/>
        </w:rPr>
        <w:t>I</w:t>
      </w:r>
      <w:r w:rsidRPr="008C4B1B">
        <w:rPr>
          <w:b/>
          <w:sz w:val="28"/>
          <w:u w:val="single"/>
        </w:rPr>
        <w:t xml:space="preserve"> -- Definitions</w:t>
      </w:r>
    </w:p>
    <w:p w:rsidR="003A70C5" w:rsidRDefault="007111D7" w:rsidP="00B0745E">
      <w:pPr>
        <w:pStyle w:val="ListParagraph"/>
        <w:spacing w:after="0" w:line="240" w:lineRule="auto"/>
        <w:ind w:left="0"/>
      </w:pPr>
      <w:r>
        <w:t>T</w:t>
      </w:r>
      <w:r w:rsidR="003A70C5">
        <w:t xml:space="preserve">he definitions in this </w:t>
      </w:r>
      <w:r w:rsidR="00EA3C53">
        <w:t>S</w:t>
      </w:r>
      <w:r w:rsidR="003A70C5">
        <w:t xml:space="preserve">ection apply throughout this </w:t>
      </w:r>
      <w:r w:rsidR="00EA3C53">
        <w:t>rule</w:t>
      </w:r>
      <w:r w:rsidR="003A70C5">
        <w:t xml:space="preserve"> unless the context clearly requires otherwise.</w:t>
      </w:r>
    </w:p>
    <w:p w:rsidR="00CA2691" w:rsidRDefault="008C7E61" w:rsidP="006112E4">
      <w:pPr>
        <w:spacing w:after="0" w:line="240" w:lineRule="auto"/>
      </w:pPr>
      <w:r w:rsidRPr="00CA2691">
        <w:rPr>
          <w:b/>
        </w:rPr>
        <w:t>“After market clean vehicle technologies</w:t>
      </w:r>
      <w:r>
        <w:t>” refers to</w:t>
      </w:r>
      <w:r w:rsidR="008A31F7">
        <w:t xml:space="preserve"> vehicle modifications made after </w:t>
      </w:r>
      <w:r w:rsidR="00F32A79">
        <w:t xml:space="preserve">the original retail sale of the vehicle </w:t>
      </w:r>
      <w:r w:rsidR="008A31F7">
        <w:t>that result in more efficient vehicle operation</w:t>
      </w:r>
      <w:r w:rsidR="001E3399">
        <w:t>,</w:t>
      </w:r>
      <w:r w:rsidR="008A31F7">
        <w:t xml:space="preserve">  reduced tailpipe emissions of pollutants</w:t>
      </w:r>
      <w:r w:rsidR="001E3399">
        <w:t>, and/or increase</w:t>
      </w:r>
      <w:r w:rsidR="00F32A79">
        <w:t>d</w:t>
      </w:r>
      <w:r w:rsidR="001E3399">
        <w:t xml:space="preserve"> use of alternative fuels, </w:t>
      </w:r>
      <w:r w:rsidR="00993EAD">
        <w:t xml:space="preserve">including but not limited to </w:t>
      </w:r>
      <w:r w:rsidR="008A31F7">
        <w:t xml:space="preserve">hybrid </w:t>
      </w:r>
      <w:r w:rsidR="00852963">
        <w:t>an</w:t>
      </w:r>
      <w:bookmarkStart w:id="0" w:name="_GoBack"/>
      <w:bookmarkEnd w:id="0"/>
      <w:r w:rsidR="00852963">
        <w:t>d</w:t>
      </w:r>
      <w:r w:rsidR="008A31F7">
        <w:t xml:space="preserve"> </w:t>
      </w:r>
      <w:r w:rsidR="00F32A79">
        <w:t>alternative fuel</w:t>
      </w:r>
      <w:r w:rsidR="008A31F7">
        <w:t xml:space="preserve"> conversions.</w:t>
      </w:r>
    </w:p>
    <w:p w:rsidR="008C7E61" w:rsidRDefault="008C7E61" w:rsidP="006112E4">
      <w:pPr>
        <w:spacing w:after="0" w:line="240" w:lineRule="auto"/>
      </w:pPr>
      <w:r w:rsidRPr="00CA2691">
        <w:rPr>
          <w:b/>
        </w:rPr>
        <w:t>“Alternative fuel”</w:t>
      </w:r>
      <w:r>
        <w:t xml:space="preserve"> means an energy source used to power a vehicle that is not conventional gasoline </w:t>
      </w:r>
      <w:r w:rsidR="002656FD">
        <w:t>or diesel</w:t>
      </w:r>
      <w:r>
        <w:t xml:space="preserve"> fuel</w:t>
      </w:r>
      <w:r w:rsidR="002A6A8B">
        <w:t>.</w:t>
      </w:r>
      <w:r>
        <w:t xml:space="preserve">  </w:t>
      </w:r>
    </w:p>
    <w:p w:rsidR="008C7E61" w:rsidRDefault="008C7E61" w:rsidP="006112E4">
      <w:pPr>
        <w:spacing w:after="0" w:line="240" w:lineRule="auto"/>
      </w:pPr>
      <w:r>
        <w:t>“</w:t>
      </w:r>
      <w:r w:rsidRPr="00CA2691">
        <w:rPr>
          <w:b/>
        </w:rPr>
        <w:t>Alternative fuel vehicle”</w:t>
      </w:r>
      <w:r>
        <w:t xml:space="preserve"> means a vehicle powered by alternative fuel with the following attributes: </w:t>
      </w:r>
    </w:p>
    <w:p w:rsidR="008C7E61" w:rsidRDefault="008C7E61" w:rsidP="002656FD">
      <w:pPr>
        <w:pStyle w:val="ListParagraph"/>
        <w:numPr>
          <w:ilvl w:val="0"/>
          <w:numId w:val="18"/>
        </w:numPr>
        <w:tabs>
          <w:tab w:val="left" w:pos="1080"/>
        </w:tabs>
        <w:spacing w:after="0" w:line="240" w:lineRule="auto"/>
        <w:ind w:left="1710" w:hanging="720"/>
      </w:pPr>
      <w:r>
        <w:t>The capability of operating only on alternative fuel;</w:t>
      </w:r>
    </w:p>
    <w:p w:rsidR="008C7E61" w:rsidRDefault="008C7E61" w:rsidP="002656FD">
      <w:pPr>
        <w:pStyle w:val="ListParagraph"/>
        <w:numPr>
          <w:ilvl w:val="0"/>
          <w:numId w:val="18"/>
        </w:numPr>
        <w:tabs>
          <w:tab w:val="left" w:pos="1080"/>
        </w:tabs>
        <w:spacing w:after="0" w:line="240" w:lineRule="auto"/>
        <w:ind w:left="1080" w:hanging="90"/>
      </w:pPr>
      <w:r>
        <w:t>Is designed to use alternative fuel and uses at least 50% alternative fuel for the  total fuel consumption of  the vehicle on an annual basis</w:t>
      </w:r>
    </w:p>
    <w:p w:rsidR="008C7E61" w:rsidRDefault="008C7E61" w:rsidP="006112E4">
      <w:pPr>
        <w:tabs>
          <w:tab w:val="left" w:pos="90"/>
        </w:tabs>
        <w:spacing w:after="0" w:line="240" w:lineRule="auto"/>
      </w:pPr>
      <w:r w:rsidRPr="00CA2691">
        <w:rPr>
          <w:b/>
        </w:rPr>
        <w:t>“Authorized emergency vehicle</w:t>
      </w:r>
      <w:r>
        <w:t>” means any publicly owned vehicle operated by a sworn officer in performance of their duties, any authorized emergency vehicle used for fighting fires, any publicly owned authorized emergency vehicle used by an emergency medical technician or paramedic, or used for towing or servicing other vehicles, or repairing damaged lighting or electrical equipment, or any ambulance used by a private entity under contract with a public agency.</w:t>
      </w:r>
    </w:p>
    <w:p w:rsidR="00CA2691" w:rsidRDefault="008C7E61" w:rsidP="006112E4">
      <w:pPr>
        <w:tabs>
          <w:tab w:val="left" w:pos="90"/>
        </w:tabs>
        <w:spacing w:after="0" w:line="240" w:lineRule="auto"/>
      </w:pPr>
      <w:r w:rsidRPr="00CA2691">
        <w:rPr>
          <w:b/>
        </w:rPr>
        <w:t>“Battery Electric Vehicle (BEV)”</w:t>
      </w:r>
      <w:r>
        <w:t xml:space="preserve"> means a vehicle that plugs into the electric grid, operating solely on battery electric power,</w:t>
      </w:r>
      <w:r w:rsidR="002A6A8B">
        <w:t xml:space="preserve"> </w:t>
      </w:r>
      <w:r>
        <w:t>and has</w:t>
      </w:r>
      <w:r w:rsidRPr="006803D7">
        <w:t xml:space="preserve"> zero tailpipe emissions</w:t>
      </w:r>
      <w:r w:rsidR="002A6A8B">
        <w:t>.</w:t>
      </w:r>
    </w:p>
    <w:p w:rsidR="003F21CD" w:rsidRDefault="00CA2691" w:rsidP="006112E4">
      <w:pPr>
        <w:tabs>
          <w:tab w:val="left" w:pos="90"/>
        </w:tabs>
        <w:spacing w:after="0" w:line="240" w:lineRule="auto"/>
      </w:pPr>
      <w:r>
        <w:rPr>
          <w:b/>
        </w:rPr>
        <w:t xml:space="preserve">“Eligible Vehicle” </w:t>
      </w:r>
      <w:r w:rsidR="003F21CD">
        <w:t>means</w:t>
      </w:r>
      <w:r w:rsidR="000C0505">
        <w:t xml:space="preserve"> any vehicle that</w:t>
      </w:r>
      <w:r w:rsidR="00171A30">
        <w:t>:</w:t>
      </w:r>
      <w:r w:rsidR="003F21CD">
        <w:t xml:space="preserve"> </w:t>
      </w:r>
    </w:p>
    <w:p w:rsidR="0057681F" w:rsidRDefault="003F21CD" w:rsidP="002656FD">
      <w:pPr>
        <w:pStyle w:val="ListParagraph"/>
        <w:numPr>
          <w:ilvl w:val="0"/>
          <w:numId w:val="14"/>
        </w:numPr>
        <w:tabs>
          <w:tab w:val="left" w:pos="1620"/>
        </w:tabs>
        <w:spacing w:after="0" w:line="240" w:lineRule="auto"/>
        <w:ind w:left="1080" w:hanging="90"/>
      </w:pPr>
      <w:r>
        <w:t xml:space="preserve"> </w:t>
      </w:r>
      <w:r w:rsidR="000C0505">
        <w:t>H</w:t>
      </w:r>
      <w:r>
        <w:t xml:space="preserve">as a gross vehicle weight rating (GVWR) of 10,000 </w:t>
      </w:r>
      <w:r w:rsidR="002A6A8B">
        <w:t>lbs.</w:t>
      </w:r>
      <w:r>
        <w:t xml:space="preserve"> or less</w:t>
      </w:r>
      <w:r w:rsidR="00171A30">
        <w:t xml:space="preserve"> and,</w:t>
      </w:r>
      <w:r>
        <w:t xml:space="preserve"> </w:t>
      </w:r>
    </w:p>
    <w:p w:rsidR="0057681F" w:rsidRDefault="003F21CD" w:rsidP="002656FD">
      <w:pPr>
        <w:pStyle w:val="ListParagraph"/>
        <w:numPr>
          <w:ilvl w:val="0"/>
          <w:numId w:val="14"/>
        </w:numPr>
        <w:tabs>
          <w:tab w:val="left" w:pos="1620"/>
        </w:tabs>
        <w:spacing w:after="0" w:line="240" w:lineRule="auto"/>
        <w:ind w:left="1080" w:hanging="90"/>
      </w:pPr>
      <w:r>
        <w:t xml:space="preserve"> </w:t>
      </w:r>
      <w:r w:rsidR="000C0505">
        <w:t>H</w:t>
      </w:r>
      <w:r>
        <w:t>as been acquired by an executive branch state agency</w:t>
      </w:r>
      <w:r w:rsidR="00171A30">
        <w:t xml:space="preserve"> regardless of acquisition mechanism</w:t>
      </w:r>
      <w:r w:rsidR="000C0505">
        <w:t xml:space="preserve"> or</w:t>
      </w:r>
      <w:r w:rsidR="00171A30">
        <w:t xml:space="preserve"> by a non-executive branch agency </w:t>
      </w:r>
      <w:r>
        <w:t xml:space="preserve">through the Office of Vehicle Management </w:t>
      </w:r>
    </w:p>
    <w:p w:rsidR="00E81E5E" w:rsidRDefault="00E81E5E" w:rsidP="006112E4">
      <w:pPr>
        <w:spacing w:after="0" w:line="240" w:lineRule="auto"/>
      </w:pPr>
      <w:r w:rsidRPr="00CA2691">
        <w:rPr>
          <w:b/>
        </w:rPr>
        <w:t>“EPA-Estimated Combined Fuel Efficiency”</w:t>
      </w:r>
      <w:r>
        <w:t xml:space="preserve"> means the combined weighted average of city and highway MPG values that is calculated by weighting the city value by 55% and the highway value by 45%.  The test data for city and highway MPG values is derived from vehicle testing done at </w:t>
      </w:r>
      <w:r w:rsidR="001E3399">
        <w:t xml:space="preserve">the Environmental Protection Agency’s </w:t>
      </w:r>
      <w:r>
        <w:t xml:space="preserve">National Vehicle and Fuel Emissions Laboratory and by vehicle manufacturers, who submit their own test data to EPA.  </w:t>
      </w:r>
    </w:p>
    <w:p w:rsidR="00CC4011" w:rsidRDefault="00CC4011" w:rsidP="006112E4">
      <w:pPr>
        <w:spacing w:after="0" w:line="240" w:lineRule="auto"/>
      </w:pPr>
      <w:r w:rsidRPr="00741D39">
        <w:rPr>
          <w:b/>
        </w:rPr>
        <w:t xml:space="preserve">“Harmonic Mean” </w:t>
      </w:r>
      <w:r w:rsidRPr="00741D39">
        <w:t>means the reciprocal of the arithmetic mean of reciprocals; it is commonly used in lieu of the arithmetic mean to calculate an average of rates.  For the purpose of the Fuel Efficiency Standard, the Harmonic Mean is utilized to calculate the average MPG for new agency acquisitions to accurately measure the impact on gallons of gasoline consumed by vehicles driving a fixed annual distance.</w:t>
      </w:r>
    </w:p>
    <w:p w:rsidR="00F31972" w:rsidRDefault="00E81E5E" w:rsidP="006112E4">
      <w:pPr>
        <w:spacing w:after="0" w:line="240" w:lineRule="auto"/>
      </w:pPr>
      <w:r w:rsidRPr="00CA2691">
        <w:rPr>
          <w:b/>
        </w:rPr>
        <w:t>“Hybrid vehicle”</w:t>
      </w:r>
      <w:r>
        <w:t xml:space="preserve"> means a vehicle (a) which draws propulsion energy from onboard sources of stored energy which are both: (1) an internal combustion or heat engine using combustible fuel; and (2) a rechargeable energy storage system; or (b) which, in the case of a passenger vehicle, </w:t>
      </w:r>
      <w:r w:rsidRPr="00EA3C53">
        <w:t>medium duty passenger vehicle or light truck: (1) for model year 2002 and later model year vehicles, has received a certificate of conformity under the Clean Air Act and meets or exceeds the equivalent qualifying California low emission vehicle standard adopted under section 243(e)(2) of said Clean Air Act for that make and model year; (2) for model year 2004 and later model vehicles, has received a certificate that the vehicle meets or exceeds the Tier II Bin 5 emission level established in regulations prescribed by the Administrator of the United States Environmental Protection Agency under section 202(i) of said Clean Air Act for that make and model year vehicle; and (3) achieves an increase of 25 per cent fuel efficiency as compared to the average vehicle of its class as defined by the United States Environmental Protection</w:t>
      </w:r>
      <w:r w:rsidR="002A6A8B">
        <w:t>.</w:t>
      </w:r>
    </w:p>
    <w:p w:rsidR="008A31F7" w:rsidRDefault="008A31F7" w:rsidP="006112E4">
      <w:pPr>
        <w:spacing w:after="0" w:line="240" w:lineRule="auto"/>
      </w:pPr>
      <w:r w:rsidRPr="00CA2691">
        <w:rPr>
          <w:b/>
        </w:rPr>
        <w:t>“Light duty vehicle</w:t>
      </w:r>
      <w:r w:rsidR="00F31972" w:rsidRPr="00CA2691">
        <w:rPr>
          <w:b/>
        </w:rPr>
        <w:t>”</w:t>
      </w:r>
      <w:r>
        <w:t xml:space="preserve"> means a vehicle with a Gross Vehicle Weight Rating (GVWR) </w:t>
      </w:r>
      <w:r w:rsidR="00862577">
        <w:t>equal to or</w:t>
      </w:r>
      <w:r w:rsidR="007A4828">
        <w:t xml:space="preserve"> </w:t>
      </w:r>
      <w:r>
        <w:t xml:space="preserve">less than ten thousand pounds.  </w:t>
      </w:r>
    </w:p>
    <w:p w:rsidR="00E81E5E" w:rsidRDefault="00E81E5E" w:rsidP="006112E4">
      <w:pPr>
        <w:spacing w:after="0" w:line="240" w:lineRule="auto"/>
      </w:pPr>
      <w:r w:rsidRPr="00CA2691">
        <w:rPr>
          <w:b/>
        </w:rPr>
        <w:t>“Medium duty vehicle”</w:t>
      </w:r>
      <w:r>
        <w:t xml:space="preserve"> means a vehicle with a Gross Vehicle Weight Rating (GVWR) greater than ten thousand pounds</w:t>
      </w:r>
      <w:r w:rsidR="00F31972">
        <w:t xml:space="preserve"> and less than twenty-six thousand pounds</w:t>
      </w:r>
      <w:r>
        <w:t>.</w:t>
      </w:r>
    </w:p>
    <w:p w:rsidR="003A70C5" w:rsidRDefault="00E81E5E" w:rsidP="006112E4">
      <w:pPr>
        <w:spacing w:after="0" w:line="240" w:lineRule="auto"/>
      </w:pPr>
      <w:r w:rsidRPr="00CA2691">
        <w:rPr>
          <w:b/>
        </w:rPr>
        <w:t>“P</w:t>
      </w:r>
      <w:r w:rsidR="003A70C5" w:rsidRPr="00CA2691">
        <w:rPr>
          <w:b/>
        </w:rPr>
        <w:t>assenger vehicle”</w:t>
      </w:r>
      <w:r w:rsidR="008370A5">
        <w:t xml:space="preserve"> means </w:t>
      </w:r>
      <w:r w:rsidR="004478FE">
        <w:t>passenger cars, passenger</w:t>
      </w:r>
      <w:r w:rsidR="0067557C">
        <w:t xml:space="preserve"> and cargo</w:t>
      </w:r>
      <w:r w:rsidR="004478FE">
        <w:t xml:space="preserve"> vans, pickup trucks and SUVs</w:t>
      </w:r>
      <w:r w:rsidR="008370A5">
        <w:t> </w:t>
      </w:r>
      <w:r w:rsidR="0067557C">
        <w:t xml:space="preserve">with a Gross Vehicle Weight Rating (GVWR) </w:t>
      </w:r>
      <w:r w:rsidR="00862577">
        <w:t>equal to or less than</w:t>
      </w:r>
      <w:r w:rsidR="0067557C">
        <w:t xml:space="preserve"> 10,000 lbs.</w:t>
      </w:r>
    </w:p>
    <w:p w:rsidR="00B047A0" w:rsidRDefault="006803D7" w:rsidP="006112E4">
      <w:pPr>
        <w:autoSpaceDE w:val="0"/>
        <w:autoSpaceDN w:val="0"/>
        <w:adjustRightInd w:val="0"/>
        <w:spacing w:after="0" w:line="240" w:lineRule="auto"/>
      </w:pPr>
      <w:r w:rsidRPr="00CA2691">
        <w:rPr>
          <w:b/>
        </w:rPr>
        <w:t>“Plug-In Hybrid Electric Vehicle (PHEV)”</w:t>
      </w:r>
      <w:r w:rsidRPr="006803D7">
        <w:t xml:space="preserve"> means a </w:t>
      </w:r>
      <w:r w:rsidR="00E945E2">
        <w:t>v</w:t>
      </w:r>
      <w:r w:rsidRPr="006803D7">
        <w:t xml:space="preserve">ehicle </w:t>
      </w:r>
      <w:r w:rsidR="00E945E2">
        <w:t>powered by an internal combustion engine that can run on conventional or alternative fuel and an electric motor that uses energy stored in a batter</w:t>
      </w:r>
      <w:r w:rsidR="00B047A0">
        <w:t xml:space="preserve">y and that can be </w:t>
      </w:r>
      <w:r w:rsidR="00E945E2">
        <w:t>plugged into an electric powe</w:t>
      </w:r>
      <w:r w:rsidR="00B047A0">
        <w:t>r source to charge</w:t>
      </w:r>
      <w:r w:rsidR="00E945E2">
        <w:t xml:space="preserve">.  </w:t>
      </w:r>
    </w:p>
    <w:sectPr w:rsidR="00B047A0" w:rsidSect="006E7BDA">
      <w:footerReference w:type="defaul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5A" w:rsidRDefault="0037385A" w:rsidP="007A4D5C">
      <w:pPr>
        <w:spacing w:after="0" w:line="240" w:lineRule="auto"/>
      </w:pPr>
      <w:r>
        <w:separator/>
      </w:r>
    </w:p>
  </w:endnote>
  <w:endnote w:type="continuationSeparator" w:id="0">
    <w:p w:rsidR="0037385A" w:rsidRDefault="0037385A" w:rsidP="007A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0692"/>
      <w:docPartObj>
        <w:docPartGallery w:val="Page Numbers (Bottom of Page)"/>
        <w:docPartUnique/>
      </w:docPartObj>
    </w:sdtPr>
    <w:sdtEndPr/>
    <w:sdtContent>
      <w:p w:rsidR="000A73E7" w:rsidRDefault="00DB1AFC">
        <w:pPr>
          <w:pStyle w:val="Footer"/>
          <w:jc w:val="center"/>
        </w:pPr>
        <w:r>
          <w:fldChar w:fldCharType="begin"/>
        </w:r>
        <w:r w:rsidR="00D277D2">
          <w:instrText xml:space="preserve"> PAGE   \* MERGEFORMAT </w:instrText>
        </w:r>
        <w:r>
          <w:fldChar w:fldCharType="separate"/>
        </w:r>
        <w:r w:rsidR="002A6A8B">
          <w:rPr>
            <w:noProof/>
          </w:rPr>
          <w:t>4</w:t>
        </w:r>
        <w:r>
          <w:rPr>
            <w:noProof/>
          </w:rPr>
          <w:fldChar w:fldCharType="end"/>
        </w:r>
      </w:p>
    </w:sdtContent>
  </w:sdt>
  <w:p w:rsidR="000A73E7" w:rsidRDefault="000A7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5A" w:rsidRDefault="0037385A" w:rsidP="007A4D5C">
      <w:pPr>
        <w:spacing w:after="0" w:line="240" w:lineRule="auto"/>
      </w:pPr>
      <w:r>
        <w:separator/>
      </w:r>
    </w:p>
  </w:footnote>
  <w:footnote w:type="continuationSeparator" w:id="0">
    <w:p w:rsidR="0037385A" w:rsidRDefault="0037385A" w:rsidP="007A4D5C">
      <w:pPr>
        <w:spacing w:after="0" w:line="240" w:lineRule="auto"/>
      </w:pPr>
      <w:r>
        <w:continuationSeparator/>
      </w:r>
    </w:p>
  </w:footnote>
  <w:footnote w:id="1">
    <w:p w:rsidR="000A73E7" w:rsidRPr="00E945E2" w:rsidRDefault="000A73E7" w:rsidP="007A69A3">
      <w:pPr>
        <w:pStyle w:val="Footer"/>
        <w:rPr>
          <w:sz w:val="20"/>
          <w:szCs w:val="20"/>
        </w:rPr>
      </w:pPr>
      <w:r>
        <w:rPr>
          <w:rStyle w:val="FootnoteReference"/>
        </w:rPr>
        <w:footnoteRef/>
      </w:r>
      <w:r>
        <w:t xml:space="preserve"> </w:t>
      </w:r>
      <w:r w:rsidRPr="006803D7">
        <w:rPr>
          <w:sz w:val="20"/>
          <w:szCs w:val="20"/>
        </w:rPr>
        <w:t>Chapter 169, Section 1 of “An Act Relative to Green Communities”</w:t>
      </w:r>
      <w:r>
        <w:rPr>
          <w:sz w:val="20"/>
          <w:szCs w:val="20"/>
        </w:rPr>
        <w:t xml:space="preserve">  </w:t>
      </w:r>
    </w:p>
    <w:p w:rsidR="000A73E7" w:rsidRDefault="002A6A8B" w:rsidP="007A69A3">
      <w:pPr>
        <w:pStyle w:val="FootnoteText"/>
      </w:pPr>
      <w:hyperlink r:id="rId1" w:history="1">
        <w:r w:rsidR="000A73E7">
          <w:rPr>
            <w:rStyle w:val="Hyperlink"/>
          </w:rPr>
          <w:t>https://malegislature.gov/Laws/SessionLaws/Acts/2008/Chapter169</w:t>
        </w:r>
      </w:hyperlink>
    </w:p>
  </w:footnote>
  <w:footnote w:id="2">
    <w:p w:rsidR="000A73E7" w:rsidRDefault="000A73E7">
      <w:pPr>
        <w:pStyle w:val="FootnoteText"/>
      </w:pPr>
      <w:r>
        <w:rPr>
          <w:rStyle w:val="FootnoteReference"/>
        </w:rPr>
        <w:footnoteRef/>
      </w:r>
      <w:r>
        <w:t xml:space="preserve">“ MA Clean Energy and Climate Plan for 2020”, December 2010 </w:t>
      </w:r>
    </w:p>
    <w:p w:rsidR="000A73E7" w:rsidRDefault="000A73E7">
      <w:pPr>
        <w:pStyle w:val="FootnoteText"/>
      </w:pPr>
      <w:r w:rsidRPr="007A69A3">
        <w:t>http://www.mass.gov/eea/docs/eea/energy/2020-clean-energy-plan.pdf</w:t>
      </w:r>
    </w:p>
  </w:footnote>
  <w:footnote w:id="3">
    <w:p w:rsidR="000A73E7" w:rsidRDefault="000A73E7">
      <w:pPr>
        <w:pStyle w:val="FootnoteText"/>
      </w:pPr>
      <w:r>
        <w:rPr>
          <w:rStyle w:val="FootnoteReference"/>
        </w:rPr>
        <w:footnoteRef/>
      </w:r>
      <w:r>
        <w:t xml:space="preserve"> State Zero Emission Vehicle Programs Memorandum of Understanding</w:t>
      </w:r>
      <w:r w:rsidRPr="00E945E2">
        <w:t>,</w:t>
      </w:r>
      <w:r>
        <w:t xml:space="preserve"> October 2013</w:t>
      </w:r>
    </w:p>
    <w:p w:rsidR="000A73E7" w:rsidRDefault="000A73E7">
      <w:pPr>
        <w:pStyle w:val="FootnoteText"/>
      </w:pPr>
      <w:r w:rsidRPr="001410DD">
        <w:t>http://www.nescaum.org/documents/zev-mou-8-governors-signed-20131024.pdf/view</w:t>
      </w:r>
      <w:r w:rsidRPr="00E945E2">
        <w:t xml:space="preserve"> </w:t>
      </w:r>
    </w:p>
  </w:footnote>
  <w:footnote w:id="4">
    <w:p w:rsidR="00034A91" w:rsidRDefault="00034A91">
      <w:pPr>
        <w:pStyle w:val="FootnoteText"/>
      </w:pPr>
      <w:r>
        <w:rPr>
          <w:rStyle w:val="FootnoteReference"/>
        </w:rPr>
        <w:footnoteRef/>
      </w:r>
      <w:r>
        <w:t xml:space="preserve"> Average MPG calculations for new agency acquisitions will be made using a Harmonic Mean, not a simple Arithmetic Mean, in an effort to measure the impact on the volume of fuel consumed per a fixed distance traveled.  </w:t>
      </w:r>
    </w:p>
  </w:footnote>
  <w:footnote w:id="5">
    <w:p w:rsidR="000A73E7" w:rsidRDefault="000A73E7">
      <w:pPr>
        <w:pStyle w:val="FootnoteText"/>
      </w:pPr>
      <w:r w:rsidRPr="00E945E2">
        <w:rPr>
          <w:rStyle w:val="FootnoteReference"/>
        </w:rPr>
        <w:footnoteRef/>
      </w:r>
      <w:r w:rsidRPr="00E945E2">
        <w:t xml:space="preserve"> ZEV Program Implementation Task Force, Multi-State ZEV Action Plan, May 2014 http://www.nescaum.org/topics/zero-emission-vehicles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305C"/>
    <w:multiLevelType w:val="hybridMultilevel"/>
    <w:tmpl w:val="A600C548"/>
    <w:lvl w:ilvl="0" w:tplc="88B2907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968B5"/>
    <w:multiLevelType w:val="hybridMultilevel"/>
    <w:tmpl w:val="7F4AC4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1D413B"/>
    <w:multiLevelType w:val="hybridMultilevel"/>
    <w:tmpl w:val="4F32B6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B04FA"/>
    <w:multiLevelType w:val="hybridMultilevel"/>
    <w:tmpl w:val="15F0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73428"/>
    <w:multiLevelType w:val="hybridMultilevel"/>
    <w:tmpl w:val="DF185DAE"/>
    <w:lvl w:ilvl="0" w:tplc="5A0E56F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97379"/>
    <w:multiLevelType w:val="hybridMultilevel"/>
    <w:tmpl w:val="58A63B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FD1240C"/>
    <w:multiLevelType w:val="hybridMultilevel"/>
    <w:tmpl w:val="294CCC4E"/>
    <w:lvl w:ilvl="0" w:tplc="85BC0F5C">
      <w:start w:val="1"/>
      <w:numFmt w:val="bullet"/>
      <w:lvlText w:val="•"/>
      <w:lvlJc w:val="left"/>
      <w:pPr>
        <w:tabs>
          <w:tab w:val="num" w:pos="720"/>
        </w:tabs>
        <w:ind w:left="720" w:hanging="360"/>
      </w:pPr>
      <w:rPr>
        <w:rFonts w:ascii="Arial" w:hAnsi="Arial" w:hint="default"/>
      </w:rPr>
    </w:lvl>
    <w:lvl w:ilvl="1" w:tplc="A9828E00" w:tentative="1">
      <w:start w:val="1"/>
      <w:numFmt w:val="bullet"/>
      <w:lvlText w:val="•"/>
      <w:lvlJc w:val="left"/>
      <w:pPr>
        <w:tabs>
          <w:tab w:val="num" w:pos="1440"/>
        </w:tabs>
        <w:ind w:left="1440" w:hanging="360"/>
      </w:pPr>
      <w:rPr>
        <w:rFonts w:ascii="Arial" w:hAnsi="Arial" w:hint="default"/>
      </w:rPr>
    </w:lvl>
    <w:lvl w:ilvl="2" w:tplc="34DEB1F8" w:tentative="1">
      <w:start w:val="1"/>
      <w:numFmt w:val="bullet"/>
      <w:lvlText w:val="•"/>
      <w:lvlJc w:val="left"/>
      <w:pPr>
        <w:tabs>
          <w:tab w:val="num" w:pos="2160"/>
        </w:tabs>
        <w:ind w:left="2160" w:hanging="360"/>
      </w:pPr>
      <w:rPr>
        <w:rFonts w:ascii="Arial" w:hAnsi="Arial" w:hint="default"/>
      </w:rPr>
    </w:lvl>
    <w:lvl w:ilvl="3" w:tplc="F1BE93DC" w:tentative="1">
      <w:start w:val="1"/>
      <w:numFmt w:val="bullet"/>
      <w:lvlText w:val="•"/>
      <w:lvlJc w:val="left"/>
      <w:pPr>
        <w:tabs>
          <w:tab w:val="num" w:pos="2880"/>
        </w:tabs>
        <w:ind w:left="2880" w:hanging="360"/>
      </w:pPr>
      <w:rPr>
        <w:rFonts w:ascii="Arial" w:hAnsi="Arial" w:hint="default"/>
      </w:rPr>
    </w:lvl>
    <w:lvl w:ilvl="4" w:tplc="F564B17A" w:tentative="1">
      <w:start w:val="1"/>
      <w:numFmt w:val="bullet"/>
      <w:lvlText w:val="•"/>
      <w:lvlJc w:val="left"/>
      <w:pPr>
        <w:tabs>
          <w:tab w:val="num" w:pos="3600"/>
        </w:tabs>
        <w:ind w:left="3600" w:hanging="360"/>
      </w:pPr>
      <w:rPr>
        <w:rFonts w:ascii="Arial" w:hAnsi="Arial" w:hint="default"/>
      </w:rPr>
    </w:lvl>
    <w:lvl w:ilvl="5" w:tplc="4816081E" w:tentative="1">
      <w:start w:val="1"/>
      <w:numFmt w:val="bullet"/>
      <w:lvlText w:val="•"/>
      <w:lvlJc w:val="left"/>
      <w:pPr>
        <w:tabs>
          <w:tab w:val="num" w:pos="4320"/>
        </w:tabs>
        <w:ind w:left="4320" w:hanging="360"/>
      </w:pPr>
      <w:rPr>
        <w:rFonts w:ascii="Arial" w:hAnsi="Arial" w:hint="default"/>
      </w:rPr>
    </w:lvl>
    <w:lvl w:ilvl="6" w:tplc="B3484AFE" w:tentative="1">
      <w:start w:val="1"/>
      <w:numFmt w:val="bullet"/>
      <w:lvlText w:val="•"/>
      <w:lvlJc w:val="left"/>
      <w:pPr>
        <w:tabs>
          <w:tab w:val="num" w:pos="5040"/>
        </w:tabs>
        <w:ind w:left="5040" w:hanging="360"/>
      </w:pPr>
      <w:rPr>
        <w:rFonts w:ascii="Arial" w:hAnsi="Arial" w:hint="default"/>
      </w:rPr>
    </w:lvl>
    <w:lvl w:ilvl="7" w:tplc="65C81788" w:tentative="1">
      <w:start w:val="1"/>
      <w:numFmt w:val="bullet"/>
      <w:lvlText w:val="•"/>
      <w:lvlJc w:val="left"/>
      <w:pPr>
        <w:tabs>
          <w:tab w:val="num" w:pos="5760"/>
        </w:tabs>
        <w:ind w:left="5760" w:hanging="360"/>
      </w:pPr>
      <w:rPr>
        <w:rFonts w:ascii="Arial" w:hAnsi="Arial" w:hint="default"/>
      </w:rPr>
    </w:lvl>
    <w:lvl w:ilvl="8" w:tplc="41E8C332" w:tentative="1">
      <w:start w:val="1"/>
      <w:numFmt w:val="bullet"/>
      <w:lvlText w:val="•"/>
      <w:lvlJc w:val="left"/>
      <w:pPr>
        <w:tabs>
          <w:tab w:val="num" w:pos="6480"/>
        </w:tabs>
        <w:ind w:left="6480" w:hanging="360"/>
      </w:pPr>
      <w:rPr>
        <w:rFonts w:ascii="Arial" w:hAnsi="Arial" w:hint="default"/>
      </w:rPr>
    </w:lvl>
  </w:abstractNum>
  <w:abstractNum w:abstractNumId="7">
    <w:nsid w:val="33B01687"/>
    <w:multiLevelType w:val="hybridMultilevel"/>
    <w:tmpl w:val="07E6705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4605C0"/>
    <w:multiLevelType w:val="hybridMultilevel"/>
    <w:tmpl w:val="84EE20CC"/>
    <w:lvl w:ilvl="0" w:tplc="5A0E56FC">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2E6F59"/>
    <w:multiLevelType w:val="hybridMultilevel"/>
    <w:tmpl w:val="D10C7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E41963"/>
    <w:multiLevelType w:val="hybridMultilevel"/>
    <w:tmpl w:val="B0D2D652"/>
    <w:lvl w:ilvl="0" w:tplc="87E6EC3E">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B06647"/>
    <w:multiLevelType w:val="hybridMultilevel"/>
    <w:tmpl w:val="EC647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BD1525"/>
    <w:multiLevelType w:val="hybridMultilevel"/>
    <w:tmpl w:val="CA5E2BBE"/>
    <w:lvl w:ilvl="0" w:tplc="417216F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9A3665"/>
    <w:multiLevelType w:val="hybridMultilevel"/>
    <w:tmpl w:val="4B1603F8"/>
    <w:lvl w:ilvl="0" w:tplc="04090017">
      <w:start w:val="1"/>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F5B11FC"/>
    <w:multiLevelType w:val="hybridMultilevel"/>
    <w:tmpl w:val="5BBA8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39118E"/>
    <w:multiLevelType w:val="hybridMultilevel"/>
    <w:tmpl w:val="F5F44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B1EF8"/>
    <w:multiLevelType w:val="multilevel"/>
    <w:tmpl w:val="B2D0879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BF37806"/>
    <w:multiLevelType w:val="hybridMultilevel"/>
    <w:tmpl w:val="C70498E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0"/>
  </w:num>
  <w:num w:numId="2">
    <w:abstractNumId w:val="14"/>
  </w:num>
  <w:num w:numId="3">
    <w:abstractNumId w:val="16"/>
  </w:num>
  <w:num w:numId="4">
    <w:abstractNumId w:val="8"/>
  </w:num>
  <w:num w:numId="5">
    <w:abstractNumId w:val="15"/>
  </w:num>
  <w:num w:numId="6">
    <w:abstractNumId w:val="9"/>
  </w:num>
  <w:num w:numId="7">
    <w:abstractNumId w:val="1"/>
  </w:num>
  <w:num w:numId="8">
    <w:abstractNumId w:val="11"/>
  </w:num>
  <w:num w:numId="9">
    <w:abstractNumId w:val="6"/>
  </w:num>
  <w:num w:numId="10">
    <w:abstractNumId w:val="2"/>
  </w:num>
  <w:num w:numId="11">
    <w:abstractNumId w:val="3"/>
  </w:num>
  <w:num w:numId="12">
    <w:abstractNumId w:val="7"/>
  </w:num>
  <w:num w:numId="13">
    <w:abstractNumId w:val="10"/>
  </w:num>
  <w:num w:numId="14">
    <w:abstractNumId w:val="5"/>
  </w:num>
  <w:num w:numId="15">
    <w:abstractNumId w:val="12"/>
  </w:num>
  <w:num w:numId="16">
    <w:abstractNumId w:val="4"/>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B9B"/>
    <w:rsid w:val="000014DC"/>
    <w:rsid w:val="00011F2D"/>
    <w:rsid w:val="00013C26"/>
    <w:rsid w:val="00017180"/>
    <w:rsid w:val="000205E1"/>
    <w:rsid w:val="000206BB"/>
    <w:rsid w:val="0003224F"/>
    <w:rsid w:val="00034A91"/>
    <w:rsid w:val="00053DCC"/>
    <w:rsid w:val="00055603"/>
    <w:rsid w:val="00055EEB"/>
    <w:rsid w:val="000626DD"/>
    <w:rsid w:val="00064766"/>
    <w:rsid w:val="00066FA7"/>
    <w:rsid w:val="00077C56"/>
    <w:rsid w:val="000878FE"/>
    <w:rsid w:val="00095AD9"/>
    <w:rsid w:val="000A73E7"/>
    <w:rsid w:val="000B22B4"/>
    <w:rsid w:val="000B61AE"/>
    <w:rsid w:val="000C0505"/>
    <w:rsid w:val="000C3A37"/>
    <w:rsid w:val="000C475B"/>
    <w:rsid w:val="000C4A2C"/>
    <w:rsid w:val="000E4C22"/>
    <w:rsid w:val="000E6016"/>
    <w:rsid w:val="000F75DC"/>
    <w:rsid w:val="00103DB1"/>
    <w:rsid w:val="00122657"/>
    <w:rsid w:val="00131B98"/>
    <w:rsid w:val="00133F05"/>
    <w:rsid w:val="001410DD"/>
    <w:rsid w:val="00153831"/>
    <w:rsid w:val="0016251C"/>
    <w:rsid w:val="00165CC8"/>
    <w:rsid w:val="00171A30"/>
    <w:rsid w:val="00193411"/>
    <w:rsid w:val="001C59F4"/>
    <w:rsid w:val="001D1B20"/>
    <w:rsid w:val="001D52F0"/>
    <w:rsid w:val="001D5947"/>
    <w:rsid w:val="001E3399"/>
    <w:rsid w:val="002024BB"/>
    <w:rsid w:val="002140A4"/>
    <w:rsid w:val="002145B0"/>
    <w:rsid w:val="00215715"/>
    <w:rsid w:val="00221EDA"/>
    <w:rsid w:val="00223553"/>
    <w:rsid w:val="00223C41"/>
    <w:rsid w:val="00227D05"/>
    <w:rsid w:val="00232B05"/>
    <w:rsid w:val="00235175"/>
    <w:rsid w:val="00235468"/>
    <w:rsid w:val="00245EDB"/>
    <w:rsid w:val="0026046E"/>
    <w:rsid w:val="002656FD"/>
    <w:rsid w:val="0029224B"/>
    <w:rsid w:val="002A6A8B"/>
    <w:rsid w:val="002B178B"/>
    <w:rsid w:val="002C3718"/>
    <w:rsid w:val="00303FA3"/>
    <w:rsid w:val="00304A86"/>
    <w:rsid w:val="00307E06"/>
    <w:rsid w:val="00315C2D"/>
    <w:rsid w:val="00341615"/>
    <w:rsid w:val="00345DDA"/>
    <w:rsid w:val="003464C8"/>
    <w:rsid w:val="00350FC3"/>
    <w:rsid w:val="0035115F"/>
    <w:rsid w:val="00353AF0"/>
    <w:rsid w:val="00372FBB"/>
    <w:rsid w:val="0037385A"/>
    <w:rsid w:val="003925D8"/>
    <w:rsid w:val="003A182F"/>
    <w:rsid w:val="003A70C5"/>
    <w:rsid w:val="003B204C"/>
    <w:rsid w:val="003B6F73"/>
    <w:rsid w:val="003D4B7A"/>
    <w:rsid w:val="003D6403"/>
    <w:rsid w:val="003E070F"/>
    <w:rsid w:val="003E4DD0"/>
    <w:rsid w:val="003F21CD"/>
    <w:rsid w:val="00415C7B"/>
    <w:rsid w:val="00430882"/>
    <w:rsid w:val="004308B5"/>
    <w:rsid w:val="004478FE"/>
    <w:rsid w:val="004628F3"/>
    <w:rsid w:val="00463FA0"/>
    <w:rsid w:val="004735B1"/>
    <w:rsid w:val="004A42DA"/>
    <w:rsid w:val="004A573E"/>
    <w:rsid w:val="004A5874"/>
    <w:rsid w:val="004B07C5"/>
    <w:rsid w:val="004B0BC6"/>
    <w:rsid w:val="004B63DA"/>
    <w:rsid w:val="004B6DC9"/>
    <w:rsid w:val="004E3AA1"/>
    <w:rsid w:val="004E4930"/>
    <w:rsid w:val="004F22A3"/>
    <w:rsid w:val="00517B80"/>
    <w:rsid w:val="00522A36"/>
    <w:rsid w:val="00532332"/>
    <w:rsid w:val="00535BA6"/>
    <w:rsid w:val="0054094F"/>
    <w:rsid w:val="00546123"/>
    <w:rsid w:val="0055354D"/>
    <w:rsid w:val="00561C43"/>
    <w:rsid w:val="00565D80"/>
    <w:rsid w:val="00566256"/>
    <w:rsid w:val="005712D7"/>
    <w:rsid w:val="00571722"/>
    <w:rsid w:val="0057681F"/>
    <w:rsid w:val="005773F0"/>
    <w:rsid w:val="00580734"/>
    <w:rsid w:val="0058584D"/>
    <w:rsid w:val="005A098A"/>
    <w:rsid w:val="005A4970"/>
    <w:rsid w:val="005A55CA"/>
    <w:rsid w:val="005A7083"/>
    <w:rsid w:val="005B649C"/>
    <w:rsid w:val="005B6DE4"/>
    <w:rsid w:val="005B705D"/>
    <w:rsid w:val="005D4B9B"/>
    <w:rsid w:val="005E33DD"/>
    <w:rsid w:val="005E7869"/>
    <w:rsid w:val="005F2A1C"/>
    <w:rsid w:val="00602494"/>
    <w:rsid w:val="006112E4"/>
    <w:rsid w:val="0061298C"/>
    <w:rsid w:val="00635A4B"/>
    <w:rsid w:val="0065291B"/>
    <w:rsid w:val="00652996"/>
    <w:rsid w:val="00671E9A"/>
    <w:rsid w:val="0067557C"/>
    <w:rsid w:val="0068037A"/>
    <w:rsid w:val="006803D7"/>
    <w:rsid w:val="006C14D9"/>
    <w:rsid w:val="006C3788"/>
    <w:rsid w:val="006C6363"/>
    <w:rsid w:val="006D50F4"/>
    <w:rsid w:val="006D77D5"/>
    <w:rsid w:val="006E7BDA"/>
    <w:rsid w:val="006F5028"/>
    <w:rsid w:val="006F6CBF"/>
    <w:rsid w:val="00703DA0"/>
    <w:rsid w:val="007111D7"/>
    <w:rsid w:val="00714AA1"/>
    <w:rsid w:val="00715A7A"/>
    <w:rsid w:val="0072145A"/>
    <w:rsid w:val="0073661A"/>
    <w:rsid w:val="00752B38"/>
    <w:rsid w:val="007A4828"/>
    <w:rsid w:val="007A4BD0"/>
    <w:rsid w:val="007A4D5C"/>
    <w:rsid w:val="007A69A3"/>
    <w:rsid w:val="007A784F"/>
    <w:rsid w:val="007B3613"/>
    <w:rsid w:val="007B661B"/>
    <w:rsid w:val="007C058F"/>
    <w:rsid w:val="007D2BE4"/>
    <w:rsid w:val="007D78F3"/>
    <w:rsid w:val="007E2747"/>
    <w:rsid w:val="007E51AA"/>
    <w:rsid w:val="007E7396"/>
    <w:rsid w:val="007F4973"/>
    <w:rsid w:val="007F5AC5"/>
    <w:rsid w:val="0080393F"/>
    <w:rsid w:val="0081349F"/>
    <w:rsid w:val="00817437"/>
    <w:rsid w:val="0082103C"/>
    <w:rsid w:val="00821B87"/>
    <w:rsid w:val="00825927"/>
    <w:rsid w:val="00830664"/>
    <w:rsid w:val="008370A5"/>
    <w:rsid w:val="00837BBE"/>
    <w:rsid w:val="008406B1"/>
    <w:rsid w:val="00852963"/>
    <w:rsid w:val="00862577"/>
    <w:rsid w:val="008957F6"/>
    <w:rsid w:val="008A26C0"/>
    <w:rsid w:val="008A31F7"/>
    <w:rsid w:val="008B0929"/>
    <w:rsid w:val="008B5A85"/>
    <w:rsid w:val="008C4B1B"/>
    <w:rsid w:val="008C7E61"/>
    <w:rsid w:val="008E1157"/>
    <w:rsid w:val="008F3A33"/>
    <w:rsid w:val="00901E67"/>
    <w:rsid w:val="00902710"/>
    <w:rsid w:val="00927953"/>
    <w:rsid w:val="00942B65"/>
    <w:rsid w:val="00945487"/>
    <w:rsid w:val="00945C63"/>
    <w:rsid w:val="00953C32"/>
    <w:rsid w:val="00954E2D"/>
    <w:rsid w:val="00967576"/>
    <w:rsid w:val="00972388"/>
    <w:rsid w:val="00974F5E"/>
    <w:rsid w:val="009752B1"/>
    <w:rsid w:val="00976627"/>
    <w:rsid w:val="00990998"/>
    <w:rsid w:val="00992DD8"/>
    <w:rsid w:val="00993EAD"/>
    <w:rsid w:val="009A4958"/>
    <w:rsid w:val="009A7359"/>
    <w:rsid w:val="009B3D4B"/>
    <w:rsid w:val="009B545B"/>
    <w:rsid w:val="009B6EDE"/>
    <w:rsid w:val="009C27DE"/>
    <w:rsid w:val="009D7992"/>
    <w:rsid w:val="009E5B0D"/>
    <w:rsid w:val="009F3CDD"/>
    <w:rsid w:val="009F5338"/>
    <w:rsid w:val="00A00DC0"/>
    <w:rsid w:val="00A12259"/>
    <w:rsid w:val="00A14FB7"/>
    <w:rsid w:val="00A16657"/>
    <w:rsid w:val="00A16E25"/>
    <w:rsid w:val="00A20C17"/>
    <w:rsid w:val="00A217FC"/>
    <w:rsid w:val="00A2419D"/>
    <w:rsid w:val="00A3279A"/>
    <w:rsid w:val="00A5452F"/>
    <w:rsid w:val="00A658E1"/>
    <w:rsid w:val="00A67C97"/>
    <w:rsid w:val="00A82258"/>
    <w:rsid w:val="00A951D2"/>
    <w:rsid w:val="00AA0739"/>
    <w:rsid w:val="00AA0828"/>
    <w:rsid w:val="00AA1B6F"/>
    <w:rsid w:val="00AA36B7"/>
    <w:rsid w:val="00AD16BB"/>
    <w:rsid w:val="00AE5E15"/>
    <w:rsid w:val="00AE7F53"/>
    <w:rsid w:val="00AF3C69"/>
    <w:rsid w:val="00AF6170"/>
    <w:rsid w:val="00AF7A91"/>
    <w:rsid w:val="00B003A6"/>
    <w:rsid w:val="00B02A76"/>
    <w:rsid w:val="00B047A0"/>
    <w:rsid w:val="00B0745E"/>
    <w:rsid w:val="00B10E6D"/>
    <w:rsid w:val="00B2022A"/>
    <w:rsid w:val="00B22563"/>
    <w:rsid w:val="00B27860"/>
    <w:rsid w:val="00B32693"/>
    <w:rsid w:val="00B32D4D"/>
    <w:rsid w:val="00B4645B"/>
    <w:rsid w:val="00B46460"/>
    <w:rsid w:val="00B63499"/>
    <w:rsid w:val="00B64B71"/>
    <w:rsid w:val="00B64C60"/>
    <w:rsid w:val="00B86084"/>
    <w:rsid w:val="00B86181"/>
    <w:rsid w:val="00B90177"/>
    <w:rsid w:val="00B922DE"/>
    <w:rsid w:val="00B940DC"/>
    <w:rsid w:val="00BC0239"/>
    <w:rsid w:val="00BC5EDE"/>
    <w:rsid w:val="00BD5B80"/>
    <w:rsid w:val="00BF1355"/>
    <w:rsid w:val="00BF3C22"/>
    <w:rsid w:val="00C03DDA"/>
    <w:rsid w:val="00C11CF9"/>
    <w:rsid w:val="00C12E5E"/>
    <w:rsid w:val="00C14240"/>
    <w:rsid w:val="00C23317"/>
    <w:rsid w:val="00C345B7"/>
    <w:rsid w:val="00C36B18"/>
    <w:rsid w:val="00C405B8"/>
    <w:rsid w:val="00C4599D"/>
    <w:rsid w:val="00C50C0C"/>
    <w:rsid w:val="00C51F73"/>
    <w:rsid w:val="00C60F9D"/>
    <w:rsid w:val="00C66119"/>
    <w:rsid w:val="00C85D11"/>
    <w:rsid w:val="00C86F2D"/>
    <w:rsid w:val="00C87588"/>
    <w:rsid w:val="00C90D5F"/>
    <w:rsid w:val="00C92745"/>
    <w:rsid w:val="00C92D3D"/>
    <w:rsid w:val="00C936E9"/>
    <w:rsid w:val="00C97083"/>
    <w:rsid w:val="00CA2691"/>
    <w:rsid w:val="00CC4011"/>
    <w:rsid w:val="00CC5FFB"/>
    <w:rsid w:val="00CE2B00"/>
    <w:rsid w:val="00CE7734"/>
    <w:rsid w:val="00CF0651"/>
    <w:rsid w:val="00CF2FE5"/>
    <w:rsid w:val="00CF35A8"/>
    <w:rsid w:val="00D0213E"/>
    <w:rsid w:val="00D10ED5"/>
    <w:rsid w:val="00D25C41"/>
    <w:rsid w:val="00D27597"/>
    <w:rsid w:val="00D277D2"/>
    <w:rsid w:val="00D320DE"/>
    <w:rsid w:val="00D33ECD"/>
    <w:rsid w:val="00D45631"/>
    <w:rsid w:val="00D51759"/>
    <w:rsid w:val="00D5754F"/>
    <w:rsid w:val="00D70B61"/>
    <w:rsid w:val="00D73090"/>
    <w:rsid w:val="00D73CD1"/>
    <w:rsid w:val="00D81662"/>
    <w:rsid w:val="00D93493"/>
    <w:rsid w:val="00D94E02"/>
    <w:rsid w:val="00DA1B67"/>
    <w:rsid w:val="00DA2FD4"/>
    <w:rsid w:val="00DB1AFC"/>
    <w:rsid w:val="00DB232D"/>
    <w:rsid w:val="00DB62A3"/>
    <w:rsid w:val="00DC4B62"/>
    <w:rsid w:val="00DD295A"/>
    <w:rsid w:val="00DD74BF"/>
    <w:rsid w:val="00DE3B8B"/>
    <w:rsid w:val="00DF4E03"/>
    <w:rsid w:val="00DF4FE0"/>
    <w:rsid w:val="00E21F35"/>
    <w:rsid w:val="00E35850"/>
    <w:rsid w:val="00E40192"/>
    <w:rsid w:val="00E53B7C"/>
    <w:rsid w:val="00E81E5E"/>
    <w:rsid w:val="00E87CB6"/>
    <w:rsid w:val="00E9425D"/>
    <w:rsid w:val="00E945E2"/>
    <w:rsid w:val="00EA3C53"/>
    <w:rsid w:val="00EC0924"/>
    <w:rsid w:val="00EF51A8"/>
    <w:rsid w:val="00F129AC"/>
    <w:rsid w:val="00F151AF"/>
    <w:rsid w:val="00F15B09"/>
    <w:rsid w:val="00F21566"/>
    <w:rsid w:val="00F24561"/>
    <w:rsid w:val="00F3170E"/>
    <w:rsid w:val="00F31972"/>
    <w:rsid w:val="00F31C4A"/>
    <w:rsid w:val="00F32A79"/>
    <w:rsid w:val="00F3736F"/>
    <w:rsid w:val="00F37B83"/>
    <w:rsid w:val="00F47372"/>
    <w:rsid w:val="00F5576F"/>
    <w:rsid w:val="00F72273"/>
    <w:rsid w:val="00F75A53"/>
    <w:rsid w:val="00F92015"/>
    <w:rsid w:val="00F94F3E"/>
    <w:rsid w:val="00FA0697"/>
    <w:rsid w:val="00FB1E74"/>
    <w:rsid w:val="00FB3F62"/>
    <w:rsid w:val="00FB6BEE"/>
    <w:rsid w:val="00FC2460"/>
    <w:rsid w:val="00FD0112"/>
    <w:rsid w:val="00FD0E59"/>
    <w:rsid w:val="00FD3EA6"/>
    <w:rsid w:val="00FE16CE"/>
    <w:rsid w:val="00FE5E08"/>
    <w:rsid w:val="00FF2788"/>
    <w:rsid w:val="00FF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0C5"/>
    <w:pPr>
      <w:ind w:left="720"/>
      <w:contextualSpacing/>
    </w:pPr>
  </w:style>
  <w:style w:type="paragraph" w:customStyle="1" w:styleId="msonormal1">
    <w:name w:val="msonormal1"/>
    <w:basedOn w:val="Normal"/>
    <w:rsid w:val="00463F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3FA0"/>
  </w:style>
  <w:style w:type="character" w:customStyle="1" w:styleId="grame1">
    <w:name w:val="grame1"/>
    <w:basedOn w:val="DefaultParagraphFont"/>
    <w:rsid w:val="00463FA0"/>
  </w:style>
  <w:style w:type="character" w:styleId="CommentReference">
    <w:name w:val="annotation reference"/>
    <w:basedOn w:val="DefaultParagraphFont"/>
    <w:uiPriority w:val="99"/>
    <w:semiHidden/>
    <w:unhideWhenUsed/>
    <w:rsid w:val="000F75DC"/>
    <w:rPr>
      <w:sz w:val="16"/>
      <w:szCs w:val="16"/>
    </w:rPr>
  </w:style>
  <w:style w:type="paragraph" w:styleId="CommentText">
    <w:name w:val="annotation text"/>
    <w:basedOn w:val="Normal"/>
    <w:link w:val="CommentTextChar"/>
    <w:uiPriority w:val="99"/>
    <w:semiHidden/>
    <w:unhideWhenUsed/>
    <w:rsid w:val="000F75DC"/>
    <w:pPr>
      <w:spacing w:line="240" w:lineRule="auto"/>
    </w:pPr>
    <w:rPr>
      <w:sz w:val="20"/>
      <w:szCs w:val="20"/>
    </w:rPr>
  </w:style>
  <w:style w:type="character" w:customStyle="1" w:styleId="CommentTextChar">
    <w:name w:val="Comment Text Char"/>
    <w:basedOn w:val="DefaultParagraphFont"/>
    <w:link w:val="CommentText"/>
    <w:uiPriority w:val="99"/>
    <w:semiHidden/>
    <w:rsid w:val="000F75DC"/>
    <w:rPr>
      <w:sz w:val="20"/>
      <w:szCs w:val="20"/>
    </w:rPr>
  </w:style>
  <w:style w:type="paragraph" w:styleId="CommentSubject">
    <w:name w:val="annotation subject"/>
    <w:basedOn w:val="CommentText"/>
    <w:next w:val="CommentText"/>
    <w:link w:val="CommentSubjectChar"/>
    <w:uiPriority w:val="99"/>
    <w:semiHidden/>
    <w:unhideWhenUsed/>
    <w:rsid w:val="000F75DC"/>
    <w:rPr>
      <w:b/>
      <w:bCs/>
    </w:rPr>
  </w:style>
  <w:style w:type="character" w:customStyle="1" w:styleId="CommentSubjectChar">
    <w:name w:val="Comment Subject Char"/>
    <w:basedOn w:val="CommentTextChar"/>
    <w:link w:val="CommentSubject"/>
    <w:uiPriority w:val="99"/>
    <w:semiHidden/>
    <w:rsid w:val="000F75DC"/>
    <w:rPr>
      <w:b/>
      <w:bCs/>
      <w:sz w:val="20"/>
      <w:szCs w:val="20"/>
    </w:rPr>
  </w:style>
  <w:style w:type="paragraph" w:styleId="BalloonText">
    <w:name w:val="Balloon Text"/>
    <w:basedOn w:val="Normal"/>
    <w:link w:val="BalloonTextChar"/>
    <w:uiPriority w:val="99"/>
    <w:semiHidden/>
    <w:unhideWhenUsed/>
    <w:rsid w:val="000F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5DC"/>
    <w:rPr>
      <w:rFonts w:ascii="Tahoma" w:hAnsi="Tahoma" w:cs="Tahoma"/>
      <w:sz w:val="16"/>
      <w:szCs w:val="16"/>
    </w:rPr>
  </w:style>
  <w:style w:type="paragraph" w:styleId="Header">
    <w:name w:val="header"/>
    <w:basedOn w:val="Normal"/>
    <w:link w:val="HeaderChar"/>
    <w:uiPriority w:val="99"/>
    <w:semiHidden/>
    <w:unhideWhenUsed/>
    <w:rsid w:val="007A4D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D5C"/>
  </w:style>
  <w:style w:type="paragraph" w:styleId="Footer">
    <w:name w:val="footer"/>
    <w:basedOn w:val="Normal"/>
    <w:link w:val="FooterChar"/>
    <w:uiPriority w:val="99"/>
    <w:unhideWhenUsed/>
    <w:rsid w:val="007A4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D5C"/>
  </w:style>
  <w:style w:type="character" w:styleId="Hyperlink">
    <w:name w:val="Hyperlink"/>
    <w:basedOn w:val="DefaultParagraphFont"/>
    <w:uiPriority w:val="99"/>
    <w:unhideWhenUsed/>
    <w:rsid w:val="00B64C60"/>
    <w:rPr>
      <w:color w:val="0000FF" w:themeColor="hyperlink"/>
      <w:u w:val="single"/>
    </w:rPr>
  </w:style>
  <w:style w:type="paragraph" w:styleId="FootnoteText">
    <w:name w:val="footnote text"/>
    <w:basedOn w:val="Normal"/>
    <w:link w:val="FootnoteTextChar"/>
    <w:uiPriority w:val="99"/>
    <w:semiHidden/>
    <w:unhideWhenUsed/>
    <w:rsid w:val="00E945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5E2"/>
    <w:rPr>
      <w:sz w:val="20"/>
      <w:szCs w:val="20"/>
    </w:rPr>
  </w:style>
  <w:style w:type="character" w:styleId="FootnoteReference">
    <w:name w:val="footnote reference"/>
    <w:basedOn w:val="DefaultParagraphFont"/>
    <w:uiPriority w:val="99"/>
    <w:semiHidden/>
    <w:unhideWhenUsed/>
    <w:rsid w:val="00E945E2"/>
    <w:rPr>
      <w:vertAlign w:val="superscript"/>
    </w:rPr>
  </w:style>
  <w:style w:type="table" w:styleId="TableGrid">
    <w:name w:val="Table Grid"/>
    <w:basedOn w:val="TableNormal"/>
    <w:uiPriority w:val="59"/>
    <w:rsid w:val="005A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1CF9"/>
    <w:pPr>
      <w:spacing w:after="0" w:line="240" w:lineRule="auto"/>
    </w:pPr>
  </w:style>
  <w:style w:type="character" w:styleId="FollowedHyperlink">
    <w:name w:val="FollowedHyperlink"/>
    <w:basedOn w:val="DefaultParagraphFont"/>
    <w:uiPriority w:val="99"/>
    <w:semiHidden/>
    <w:unhideWhenUsed/>
    <w:rsid w:val="00D73090"/>
    <w:rPr>
      <w:color w:val="800080" w:themeColor="followedHyperlink"/>
      <w:u w:val="single"/>
    </w:rPr>
  </w:style>
  <w:style w:type="paragraph" w:styleId="NoSpacing">
    <w:name w:val="No Spacing"/>
    <w:link w:val="NoSpacingChar"/>
    <w:uiPriority w:val="1"/>
    <w:qFormat/>
    <w:rsid w:val="00C12E5E"/>
    <w:pPr>
      <w:spacing w:after="0" w:line="240" w:lineRule="auto"/>
    </w:pPr>
  </w:style>
  <w:style w:type="character" w:customStyle="1" w:styleId="NoSpacingChar">
    <w:name w:val="No Spacing Char"/>
    <w:basedOn w:val="DefaultParagraphFont"/>
    <w:link w:val="NoSpacing"/>
    <w:uiPriority w:val="1"/>
    <w:rsid w:val="00C12E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0C5"/>
    <w:pPr>
      <w:ind w:left="720"/>
      <w:contextualSpacing/>
    </w:pPr>
  </w:style>
  <w:style w:type="paragraph" w:customStyle="1" w:styleId="msonormal1">
    <w:name w:val="msonormal1"/>
    <w:basedOn w:val="Normal"/>
    <w:rsid w:val="00463F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3FA0"/>
  </w:style>
  <w:style w:type="character" w:customStyle="1" w:styleId="grame1">
    <w:name w:val="grame1"/>
    <w:basedOn w:val="DefaultParagraphFont"/>
    <w:rsid w:val="00463FA0"/>
  </w:style>
  <w:style w:type="character" w:styleId="CommentReference">
    <w:name w:val="annotation reference"/>
    <w:basedOn w:val="DefaultParagraphFont"/>
    <w:uiPriority w:val="99"/>
    <w:semiHidden/>
    <w:unhideWhenUsed/>
    <w:rsid w:val="000F75DC"/>
    <w:rPr>
      <w:sz w:val="16"/>
      <w:szCs w:val="16"/>
    </w:rPr>
  </w:style>
  <w:style w:type="paragraph" w:styleId="CommentText">
    <w:name w:val="annotation text"/>
    <w:basedOn w:val="Normal"/>
    <w:link w:val="CommentTextChar"/>
    <w:uiPriority w:val="99"/>
    <w:semiHidden/>
    <w:unhideWhenUsed/>
    <w:rsid w:val="000F75DC"/>
    <w:pPr>
      <w:spacing w:line="240" w:lineRule="auto"/>
    </w:pPr>
    <w:rPr>
      <w:sz w:val="20"/>
      <w:szCs w:val="20"/>
    </w:rPr>
  </w:style>
  <w:style w:type="character" w:customStyle="1" w:styleId="CommentTextChar">
    <w:name w:val="Comment Text Char"/>
    <w:basedOn w:val="DefaultParagraphFont"/>
    <w:link w:val="CommentText"/>
    <w:uiPriority w:val="99"/>
    <w:semiHidden/>
    <w:rsid w:val="000F75DC"/>
    <w:rPr>
      <w:sz w:val="20"/>
      <w:szCs w:val="20"/>
    </w:rPr>
  </w:style>
  <w:style w:type="paragraph" w:styleId="CommentSubject">
    <w:name w:val="annotation subject"/>
    <w:basedOn w:val="CommentText"/>
    <w:next w:val="CommentText"/>
    <w:link w:val="CommentSubjectChar"/>
    <w:uiPriority w:val="99"/>
    <w:semiHidden/>
    <w:unhideWhenUsed/>
    <w:rsid w:val="000F75DC"/>
    <w:rPr>
      <w:b/>
      <w:bCs/>
    </w:rPr>
  </w:style>
  <w:style w:type="character" w:customStyle="1" w:styleId="CommentSubjectChar">
    <w:name w:val="Comment Subject Char"/>
    <w:basedOn w:val="CommentTextChar"/>
    <w:link w:val="CommentSubject"/>
    <w:uiPriority w:val="99"/>
    <w:semiHidden/>
    <w:rsid w:val="000F75DC"/>
    <w:rPr>
      <w:b/>
      <w:bCs/>
      <w:sz w:val="20"/>
      <w:szCs w:val="20"/>
    </w:rPr>
  </w:style>
  <w:style w:type="paragraph" w:styleId="BalloonText">
    <w:name w:val="Balloon Text"/>
    <w:basedOn w:val="Normal"/>
    <w:link w:val="BalloonTextChar"/>
    <w:uiPriority w:val="99"/>
    <w:semiHidden/>
    <w:unhideWhenUsed/>
    <w:rsid w:val="000F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5DC"/>
    <w:rPr>
      <w:rFonts w:ascii="Tahoma" w:hAnsi="Tahoma" w:cs="Tahoma"/>
      <w:sz w:val="16"/>
      <w:szCs w:val="16"/>
    </w:rPr>
  </w:style>
  <w:style w:type="paragraph" w:styleId="Header">
    <w:name w:val="header"/>
    <w:basedOn w:val="Normal"/>
    <w:link w:val="HeaderChar"/>
    <w:uiPriority w:val="99"/>
    <w:semiHidden/>
    <w:unhideWhenUsed/>
    <w:rsid w:val="007A4D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D5C"/>
  </w:style>
  <w:style w:type="paragraph" w:styleId="Footer">
    <w:name w:val="footer"/>
    <w:basedOn w:val="Normal"/>
    <w:link w:val="FooterChar"/>
    <w:uiPriority w:val="99"/>
    <w:unhideWhenUsed/>
    <w:rsid w:val="007A4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D5C"/>
  </w:style>
  <w:style w:type="character" w:styleId="Hyperlink">
    <w:name w:val="Hyperlink"/>
    <w:basedOn w:val="DefaultParagraphFont"/>
    <w:uiPriority w:val="99"/>
    <w:unhideWhenUsed/>
    <w:rsid w:val="00B64C60"/>
    <w:rPr>
      <w:color w:val="0000FF" w:themeColor="hyperlink"/>
      <w:u w:val="single"/>
    </w:rPr>
  </w:style>
  <w:style w:type="paragraph" w:styleId="FootnoteText">
    <w:name w:val="footnote text"/>
    <w:basedOn w:val="Normal"/>
    <w:link w:val="FootnoteTextChar"/>
    <w:uiPriority w:val="99"/>
    <w:semiHidden/>
    <w:unhideWhenUsed/>
    <w:rsid w:val="00E945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5E2"/>
    <w:rPr>
      <w:sz w:val="20"/>
      <w:szCs w:val="20"/>
    </w:rPr>
  </w:style>
  <w:style w:type="character" w:styleId="FootnoteReference">
    <w:name w:val="footnote reference"/>
    <w:basedOn w:val="DefaultParagraphFont"/>
    <w:uiPriority w:val="99"/>
    <w:semiHidden/>
    <w:unhideWhenUsed/>
    <w:rsid w:val="00E945E2"/>
    <w:rPr>
      <w:vertAlign w:val="superscript"/>
    </w:rPr>
  </w:style>
  <w:style w:type="table" w:styleId="TableGrid">
    <w:name w:val="Table Grid"/>
    <w:basedOn w:val="TableNormal"/>
    <w:uiPriority w:val="59"/>
    <w:rsid w:val="005A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1CF9"/>
    <w:pPr>
      <w:spacing w:after="0" w:line="240" w:lineRule="auto"/>
    </w:pPr>
  </w:style>
  <w:style w:type="character" w:styleId="FollowedHyperlink">
    <w:name w:val="FollowedHyperlink"/>
    <w:basedOn w:val="DefaultParagraphFont"/>
    <w:uiPriority w:val="99"/>
    <w:semiHidden/>
    <w:unhideWhenUsed/>
    <w:rsid w:val="00D73090"/>
    <w:rPr>
      <w:color w:val="800080" w:themeColor="followedHyperlink"/>
      <w:u w:val="single"/>
    </w:rPr>
  </w:style>
  <w:style w:type="paragraph" w:styleId="NoSpacing">
    <w:name w:val="No Spacing"/>
    <w:link w:val="NoSpacingChar"/>
    <w:uiPriority w:val="1"/>
    <w:qFormat/>
    <w:rsid w:val="00C12E5E"/>
    <w:pPr>
      <w:spacing w:after="0" w:line="240" w:lineRule="auto"/>
    </w:pPr>
  </w:style>
  <w:style w:type="character" w:customStyle="1" w:styleId="NoSpacingChar">
    <w:name w:val="No Spacing Char"/>
    <w:basedOn w:val="DefaultParagraphFont"/>
    <w:link w:val="NoSpacing"/>
    <w:uiPriority w:val="1"/>
    <w:rsid w:val="00C12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6294">
      <w:bodyDiv w:val="1"/>
      <w:marLeft w:val="0"/>
      <w:marRight w:val="0"/>
      <w:marTop w:val="0"/>
      <w:marBottom w:val="0"/>
      <w:divBdr>
        <w:top w:val="none" w:sz="0" w:space="0" w:color="auto"/>
        <w:left w:val="none" w:sz="0" w:space="0" w:color="auto"/>
        <w:bottom w:val="none" w:sz="0" w:space="0" w:color="auto"/>
        <w:right w:val="none" w:sz="0" w:space="0" w:color="auto"/>
      </w:divBdr>
    </w:div>
    <w:div w:id="1635525289">
      <w:bodyDiv w:val="1"/>
      <w:marLeft w:val="0"/>
      <w:marRight w:val="0"/>
      <w:marTop w:val="0"/>
      <w:marBottom w:val="0"/>
      <w:divBdr>
        <w:top w:val="none" w:sz="0" w:space="0" w:color="auto"/>
        <w:left w:val="none" w:sz="0" w:space="0" w:color="auto"/>
        <w:bottom w:val="none" w:sz="0" w:space="0" w:color="auto"/>
        <w:right w:val="none" w:sz="0" w:space="0" w:color="auto"/>
      </w:divBdr>
      <w:divsChild>
        <w:div w:id="186760086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s://malegislature.gov/Laws/SessionLaws/Acts/2008/Chapter169"/>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036F5A3CDC49DCA32D68BD9C7E49B4"/>
        <w:category>
          <w:name w:val="General"/>
          <w:gallery w:val="placeholder"/>
        </w:category>
        <w:types>
          <w:type w:val="bbPlcHdr"/>
        </w:types>
        <w:behaviors>
          <w:behavior w:val="content"/>
        </w:behaviors>
        <w:guid w:val="{24052281-8952-4F9B-9587-67D15D7330FB}"/>
      </w:docPartPr>
      <w:docPartBody>
        <w:p w:rsidR="007B46BF" w:rsidRDefault="007B46BF" w:rsidP="007B46BF">
          <w:pPr>
            <w:pStyle w:val="5D036F5A3CDC49DCA32D68BD9C7E49B4"/>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7B46BF"/>
    <w:rsid w:val="000B1CFA"/>
    <w:rsid w:val="000F3B3C"/>
    <w:rsid w:val="00116AAE"/>
    <w:rsid w:val="001563B1"/>
    <w:rsid w:val="0019734B"/>
    <w:rsid w:val="0038082F"/>
    <w:rsid w:val="003F5A03"/>
    <w:rsid w:val="004D3AFB"/>
    <w:rsid w:val="00501976"/>
    <w:rsid w:val="00523AEE"/>
    <w:rsid w:val="00611924"/>
    <w:rsid w:val="00644B40"/>
    <w:rsid w:val="006912FA"/>
    <w:rsid w:val="007B46BF"/>
    <w:rsid w:val="007D68E7"/>
    <w:rsid w:val="007E73E9"/>
    <w:rsid w:val="008161D2"/>
    <w:rsid w:val="008D6221"/>
    <w:rsid w:val="008F5905"/>
    <w:rsid w:val="00920D3B"/>
    <w:rsid w:val="0095615A"/>
    <w:rsid w:val="009D03E8"/>
    <w:rsid w:val="00A421A0"/>
    <w:rsid w:val="00A9501C"/>
    <w:rsid w:val="00AB45F8"/>
    <w:rsid w:val="00AD5EA7"/>
    <w:rsid w:val="00AE15EE"/>
    <w:rsid w:val="00B16DD2"/>
    <w:rsid w:val="00C15641"/>
    <w:rsid w:val="00CE308F"/>
    <w:rsid w:val="00D06B62"/>
    <w:rsid w:val="00D80DD4"/>
    <w:rsid w:val="00DC62ED"/>
    <w:rsid w:val="00E20390"/>
    <w:rsid w:val="00EF5B3B"/>
    <w:rsid w:val="00F44B70"/>
    <w:rsid w:val="00F82003"/>
    <w:rsid w:val="00FA1219"/>
    <w:rsid w:val="00FC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85DC1E535F48DE8810E22F3D06E223">
    <w:name w:val="1785DC1E535F48DE8810E22F3D06E223"/>
    <w:rsid w:val="007B46BF"/>
  </w:style>
  <w:style w:type="paragraph" w:customStyle="1" w:styleId="3DED03E772CB4F788611FE10826F2A84">
    <w:name w:val="3DED03E772CB4F788611FE10826F2A84"/>
    <w:rsid w:val="007B46BF"/>
  </w:style>
  <w:style w:type="paragraph" w:customStyle="1" w:styleId="707558283D294185B6AA0605AA2FEA2B">
    <w:name w:val="707558283D294185B6AA0605AA2FEA2B"/>
    <w:rsid w:val="007B46BF"/>
  </w:style>
  <w:style w:type="paragraph" w:customStyle="1" w:styleId="DF266CB007004621B2170AF15CB37A81">
    <w:name w:val="DF266CB007004621B2170AF15CB37A81"/>
    <w:rsid w:val="007B46BF"/>
  </w:style>
  <w:style w:type="paragraph" w:customStyle="1" w:styleId="0AC4D4BA5862428CAD08A160E33A9229">
    <w:name w:val="0AC4D4BA5862428CAD08A160E33A9229"/>
    <w:rsid w:val="007B46BF"/>
  </w:style>
  <w:style w:type="paragraph" w:customStyle="1" w:styleId="E9933DC6F48A41BE87F33995A3725424">
    <w:name w:val="E9933DC6F48A41BE87F33995A3725424"/>
    <w:rsid w:val="007B46BF"/>
  </w:style>
  <w:style w:type="paragraph" w:customStyle="1" w:styleId="5D036F5A3CDC49DCA32D68BD9C7E49B4">
    <w:name w:val="5D036F5A3CDC49DCA32D68BD9C7E49B4"/>
    <w:rsid w:val="007B46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86D39-BD33-4620-9798-52984682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Fuel Efficiency Standard for State Fleet</vt:lpstr>
    </vt:vector>
  </TitlesOfParts>
  <Company>Commonwealth of Massachusetts</Company>
  <LinksUpToDate>false</LinksUpToDate>
  <CharactersWithSpaces>13479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2016-10-11T19:48:00Z</dcterms:created>
  <dc:creator>Wynn, Patricia (OSD)</dc:creator>
  <lastModifiedBy>jdimedio</lastModifiedBy>
  <lastPrinted>2014-12-11T14:40:00Z</lastPrinted>
  <dcterms:modified xsi:type="dcterms:W3CDTF">2016-10-11T19:52:00Z</dcterms:modified>
  <revision>4</revision>
  <dc:subject>Issued November xx, 2014</dc:subject>
  <dc:title>Fuel Efficiency Standard for State Fleet</dc:title>
</coreProperties>
</file>