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D5" w:rsidRPr="0030549C" w:rsidRDefault="00B135D5" w:rsidP="00D33C5B">
      <w:pPr>
        <w:spacing w:after="0" w:line="240" w:lineRule="auto"/>
        <w:rPr>
          <w:rFonts w:ascii="Arial" w:eastAsia="Times New Roman" w:hAnsi="Arial" w:cs="Arial"/>
          <w:sz w:val="24"/>
          <w:szCs w:val="24"/>
        </w:rPr>
      </w:pPr>
    </w:p>
    <w:p w:rsidR="00B135D5" w:rsidRDefault="00B135D5" w:rsidP="00A12F1F">
      <w:pPr>
        <w:spacing w:after="0" w:line="240" w:lineRule="auto"/>
        <w:jc w:val="center"/>
        <w:rPr>
          <w:rFonts w:ascii="Arial" w:hAnsi="Arial" w:cs="Arial"/>
          <w:b/>
          <w:sz w:val="24"/>
        </w:rPr>
      </w:pPr>
      <w:r w:rsidRPr="00B135D5">
        <w:rPr>
          <w:rFonts w:ascii="Arial" w:hAnsi="Arial" w:cs="Arial"/>
          <w:b/>
          <w:sz w:val="24"/>
        </w:rPr>
        <w:t>COMMONWEALTH OF MASSACHUSETTS</w:t>
      </w:r>
    </w:p>
    <w:p w:rsidR="0030549C" w:rsidRPr="00B135D5" w:rsidRDefault="0030549C" w:rsidP="00B135D5">
      <w:pPr>
        <w:spacing w:after="0" w:line="240" w:lineRule="auto"/>
        <w:jc w:val="center"/>
        <w:rPr>
          <w:rFonts w:ascii="Arial" w:hAnsi="Arial" w:cs="Arial"/>
          <w:b/>
          <w:sz w:val="24"/>
        </w:rPr>
      </w:pPr>
    </w:p>
    <w:p w:rsidR="00B135D5" w:rsidRDefault="00B135D5" w:rsidP="00B135D5">
      <w:pPr>
        <w:spacing w:after="0" w:line="240" w:lineRule="auto"/>
        <w:jc w:val="center"/>
        <w:rPr>
          <w:rFonts w:ascii="Arial" w:hAnsi="Arial" w:cs="Arial"/>
          <w:b/>
          <w:sz w:val="24"/>
        </w:rPr>
      </w:pPr>
      <w:r w:rsidRPr="00B135D5">
        <w:rPr>
          <w:rFonts w:ascii="Arial" w:hAnsi="Arial" w:cs="Arial"/>
          <w:b/>
          <w:sz w:val="24"/>
        </w:rPr>
        <w:t>DIVISION OF ADMINISTRATIVE LAW APPEALS</w:t>
      </w:r>
    </w:p>
    <w:p w:rsidR="0030549C" w:rsidRPr="00B135D5" w:rsidRDefault="0030549C" w:rsidP="00B135D5">
      <w:pPr>
        <w:spacing w:after="0" w:line="240" w:lineRule="auto"/>
        <w:jc w:val="center"/>
        <w:rPr>
          <w:rFonts w:ascii="Arial" w:hAnsi="Arial" w:cs="Arial"/>
          <w:b/>
          <w:sz w:val="24"/>
        </w:rPr>
      </w:pPr>
    </w:p>
    <w:p w:rsidR="00B135D5" w:rsidRPr="00B135D5" w:rsidRDefault="00B135D5" w:rsidP="00B135D5">
      <w:pPr>
        <w:spacing w:after="0" w:line="240" w:lineRule="auto"/>
        <w:jc w:val="center"/>
        <w:rPr>
          <w:rFonts w:ascii="Arial" w:hAnsi="Arial" w:cs="Arial"/>
          <w:b/>
          <w:sz w:val="24"/>
        </w:rPr>
      </w:pPr>
      <w:r w:rsidRPr="00B135D5">
        <w:rPr>
          <w:rFonts w:ascii="Arial" w:hAnsi="Arial" w:cs="Arial"/>
          <w:b/>
          <w:sz w:val="24"/>
        </w:rPr>
        <w:t>SPECIAL EDUCATION APPEALS</w:t>
      </w:r>
    </w:p>
    <w:p w:rsidR="00B135D5" w:rsidRPr="00B135D5" w:rsidRDefault="00B135D5" w:rsidP="00B135D5">
      <w:pPr>
        <w:spacing w:after="0" w:line="240" w:lineRule="auto"/>
        <w:rPr>
          <w:rFonts w:ascii="Arial" w:hAnsi="Arial" w:cs="Arial"/>
          <w:sz w:val="24"/>
        </w:rPr>
      </w:pPr>
    </w:p>
    <w:p w:rsidR="0030549C" w:rsidRPr="00B135D5" w:rsidRDefault="00B135D5" w:rsidP="0030549C">
      <w:pPr>
        <w:spacing w:after="0" w:line="240" w:lineRule="auto"/>
        <w:rPr>
          <w:rFonts w:ascii="Arial" w:hAnsi="Arial" w:cs="Arial"/>
          <w:sz w:val="24"/>
        </w:rPr>
      </w:pPr>
      <w:r w:rsidRPr="00B135D5">
        <w:rPr>
          <w:rFonts w:ascii="Arial" w:hAnsi="Arial" w:cs="Arial"/>
          <w:b/>
          <w:sz w:val="24"/>
        </w:rPr>
        <w:t>In RE:</w:t>
      </w:r>
      <w:r w:rsidRPr="00B135D5">
        <w:rPr>
          <w:rFonts w:ascii="Arial" w:hAnsi="Arial" w:cs="Arial"/>
          <w:sz w:val="24"/>
        </w:rPr>
        <w:t xml:space="preserve"> </w:t>
      </w:r>
      <w:r w:rsidR="00E10EBE">
        <w:rPr>
          <w:rFonts w:ascii="Arial" w:hAnsi="Arial" w:cs="Arial"/>
          <w:b/>
          <w:sz w:val="24"/>
        </w:rPr>
        <w:t>Student</w:t>
      </w:r>
      <w:bookmarkStart w:id="0" w:name="_GoBack"/>
      <w:bookmarkEnd w:id="0"/>
      <w:r w:rsidR="00054174">
        <w:rPr>
          <w:rFonts w:ascii="Arial" w:hAnsi="Arial" w:cs="Arial"/>
          <w:b/>
          <w:sz w:val="24"/>
        </w:rPr>
        <w:t xml:space="preserve"> v. Milf</w:t>
      </w:r>
      <w:r w:rsidR="0030549C" w:rsidRPr="0030549C">
        <w:rPr>
          <w:rFonts w:ascii="Arial" w:hAnsi="Arial" w:cs="Arial"/>
          <w:b/>
          <w:sz w:val="24"/>
        </w:rPr>
        <w:t>ord</w:t>
      </w:r>
      <w:r w:rsidRPr="00B135D5">
        <w:rPr>
          <w:rFonts w:ascii="Arial" w:hAnsi="Arial" w:cs="Arial"/>
          <w:b/>
          <w:sz w:val="24"/>
        </w:rPr>
        <w:t xml:space="preserve"> Public Schools</w:t>
      </w:r>
      <w:r w:rsidRPr="00B135D5">
        <w:rPr>
          <w:rFonts w:ascii="Arial" w:hAnsi="Arial" w:cs="Arial"/>
          <w:sz w:val="24"/>
        </w:rPr>
        <w:t xml:space="preserve"> </w:t>
      </w:r>
      <w:r w:rsidR="0030549C">
        <w:rPr>
          <w:rFonts w:ascii="Arial" w:hAnsi="Arial" w:cs="Arial"/>
          <w:sz w:val="24"/>
        </w:rPr>
        <w:tab/>
      </w:r>
      <w:r w:rsidR="0030549C">
        <w:rPr>
          <w:rFonts w:ascii="Arial" w:hAnsi="Arial" w:cs="Arial"/>
          <w:sz w:val="24"/>
        </w:rPr>
        <w:tab/>
        <w:t xml:space="preserve">             </w:t>
      </w:r>
      <w:r w:rsidR="0030549C" w:rsidRPr="00B135D5">
        <w:rPr>
          <w:rFonts w:ascii="Arial" w:hAnsi="Arial" w:cs="Arial"/>
          <w:b/>
          <w:sz w:val="24"/>
        </w:rPr>
        <w:t>BSEA # 1</w:t>
      </w:r>
      <w:r w:rsidR="0030549C" w:rsidRPr="0030549C">
        <w:rPr>
          <w:rFonts w:ascii="Arial" w:hAnsi="Arial" w:cs="Arial"/>
          <w:b/>
          <w:sz w:val="24"/>
        </w:rPr>
        <w:t>6</w:t>
      </w:r>
      <w:r w:rsidR="0030549C" w:rsidRPr="00B135D5">
        <w:rPr>
          <w:rFonts w:ascii="Arial" w:hAnsi="Arial" w:cs="Arial"/>
          <w:b/>
          <w:sz w:val="24"/>
        </w:rPr>
        <w:t>-</w:t>
      </w:r>
      <w:r w:rsidR="0030549C" w:rsidRPr="0030549C">
        <w:rPr>
          <w:rFonts w:ascii="Arial" w:hAnsi="Arial" w:cs="Arial"/>
          <w:b/>
          <w:sz w:val="24"/>
        </w:rPr>
        <w:t>01412</w:t>
      </w:r>
    </w:p>
    <w:p w:rsidR="00B135D5" w:rsidRPr="00B135D5" w:rsidRDefault="00B135D5" w:rsidP="00B135D5">
      <w:pPr>
        <w:spacing w:after="0" w:line="240" w:lineRule="auto"/>
        <w:rPr>
          <w:rFonts w:ascii="Arial" w:hAnsi="Arial" w:cs="Arial"/>
          <w:sz w:val="24"/>
        </w:rPr>
      </w:pPr>
    </w:p>
    <w:p w:rsidR="00B135D5" w:rsidRPr="00B135D5" w:rsidRDefault="00B135D5" w:rsidP="00B135D5">
      <w:pPr>
        <w:spacing w:after="0" w:line="240" w:lineRule="auto"/>
        <w:rPr>
          <w:rFonts w:ascii="Arial" w:hAnsi="Arial" w:cs="Arial"/>
          <w:sz w:val="24"/>
        </w:rPr>
      </w:pPr>
    </w:p>
    <w:p w:rsidR="00B135D5" w:rsidRPr="00B135D5" w:rsidRDefault="0030549C" w:rsidP="00B135D5">
      <w:pPr>
        <w:spacing w:after="0" w:line="240" w:lineRule="auto"/>
        <w:jc w:val="center"/>
        <w:rPr>
          <w:rFonts w:ascii="Arial" w:hAnsi="Arial" w:cs="Arial"/>
          <w:b/>
          <w:sz w:val="24"/>
          <w:u w:val="single"/>
        </w:rPr>
      </w:pPr>
      <w:r w:rsidRPr="0030549C">
        <w:rPr>
          <w:rFonts w:ascii="Arial" w:hAnsi="Arial" w:cs="Arial"/>
          <w:b/>
          <w:sz w:val="24"/>
          <w:u w:val="single"/>
        </w:rPr>
        <w:t>RULING ON MILFORD PUBLIC SCHOOLS’ MOTION TO DISMISS</w:t>
      </w:r>
    </w:p>
    <w:p w:rsidR="00B135D5" w:rsidRPr="0030549C" w:rsidRDefault="00B135D5" w:rsidP="00D33C5B">
      <w:pPr>
        <w:spacing w:after="0" w:line="240" w:lineRule="auto"/>
        <w:rPr>
          <w:rFonts w:ascii="Arial" w:eastAsia="Times New Roman" w:hAnsi="Arial" w:cs="Arial"/>
          <w:sz w:val="24"/>
          <w:szCs w:val="24"/>
        </w:rPr>
      </w:pPr>
    </w:p>
    <w:p w:rsidR="006123D1" w:rsidRDefault="006123D1" w:rsidP="008E71A4">
      <w:pPr>
        <w:spacing w:after="0" w:line="240" w:lineRule="auto"/>
        <w:ind w:firstLine="720"/>
        <w:rPr>
          <w:rFonts w:ascii="Arial" w:eastAsia="Times New Roman" w:hAnsi="Arial" w:cs="Arial"/>
          <w:sz w:val="24"/>
          <w:szCs w:val="24"/>
        </w:rPr>
      </w:pPr>
      <w:r>
        <w:rPr>
          <w:rFonts w:ascii="Arial" w:eastAsia="Times New Roman" w:hAnsi="Arial" w:cs="Arial"/>
          <w:sz w:val="24"/>
          <w:szCs w:val="24"/>
        </w:rPr>
        <w:t>Parent</w:t>
      </w:r>
      <w:r w:rsidR="008E71A4">
        <w:rPr>
          <w:rFonts w:ascii="Arial" w:eastAsia="Times New Roman" w:hAnsi="Arial" w:cs="Arial"/>
          <w:sz w:val="24"/>
          <w:szCs w:val="24"/>
        </w:rPr>
        <w:t>s</w:t>
      </w:r>
      <w:r>
        <w:rPr>
          <w:rFonts w:ascii="Arial" w:eastAsia="Times New Roman" w:hAnsi="Arial" w:cs="Arial"/>
          <w:sz w:val="24"/>
          <w:szCs w:val="24"/>
        </w:rPr>
        <w:t xml:space="preserve"> filed a Hearing Request </w:t>
      </w:r>
      <w:r w:rsidR="00004B20">
        <w:rPr>
          <w:rFonts w:ascii="Arial" w:eastAsia="Times New Roman" w:hAnsi="Arial" w:cs="Arial"/>
          <w:sz w:val="24"/>
          <w:szCs w:val="24"/>
        </w:rPr>
        <w:t>with the Bureau of Special Education Appeals (“BSEA”) on August 7, 2015. On August 19, 2015, Milford Public Schools (“Milford”</w:t>
      </w:r>
      <w:r w:rsidR="00E80350">
        <w:rPr>
          <w:rFonts w:ascii="Arial" w:eastAsia="Times New Roman" w:hAnsi="Arial" w:cs="Arial"/>
          <w:sz w:val="24"/>
          <w:szCs w:val="24"/>
        </w:rPr>
        <w:t xml:space="preserve"> or “District”</w:t>
      </w:r>
      <w:r w:rsidR="00004B20">
        <w:rPr>
          <w:rFonts w:ascii="Arial" w:eastAsia="Times New Roman" w:hAnsi="Arial" w:cs="Arial"/>
          <w:sz w:val="24"/>
          <w:szCs w:val="24"/>
        </w:rPr>
        <w:t xml:space="preserve">) filed </w:t>
      </w:r>
      <w:r w:rsidR="00101D6C">
        <w:rPr>
          <w:rFonts w:ascii="Arial" w:eastAsia="Times New Roman" w:hAnsi="Arial" w:cs="Arial"/>
          <w:sz w:val="24"/>
          <w:szCs w:val="24"/>
        </w:rPr>
        <w:t xml:space="preserve">its </w:t>
      </w:r>
      <w:r w:rsidR="00101D6C" w:rsidRPr="008E71A4">
        <w:rPr>
          <w:rFonts w:ascii="Arial" w:eastAsia="Times New Roman" w:hAnsi="Arial" w:cs="Arial"/>
          <w:i/>
          <w:sz w:val="24"/>
          <w:szCs w:val="24"/>
        </w:rPr>
        <w:t xml:space="preserve">Response and Motion to </w:t>
      </w:r>
      <w:proofErr w:type="gramStart"/>
      <w:r w:rsidR="00101D6C" w:rsidRPr="008E71A4">
        <w:rPr>
          <w:rFonts w:ascii="Arial" w:eastAsia="Times New Roman" w:hAnsi="Arial" w:cs="Arial"/>
          <w:i/>
          <w:sz w:val="24"/>
          <w:szCs w:val="24"/>
        </w:rPr>
        <w:t>Dismiss</w:t>
      </w:r>
      <w:r w:rsidR="00101D6C">
        <w:rPr>
          <w:rFonts w:ascii="Arial" w:eastAsia="Times New Roman" w:hAnsi="Arial" w:cs="Arial"/>
          <w:sz w:val="24"/>
          <w:szCs w:val="24"/>
        </w:rPr>
        <w:t xml:space="preserve"> </w:t>
      </w:r>
      <w:r w:rsidR="00CA2AC8">
        <w:rPr>
          <w:rFonts w:ascii="Arial" w:eastAsia="Times New Roman" w:hAnsi="Arial" w:cs="Arial"/>
          <w:sz w:val="24"/>
          <w:szCs w:val="24"/>
        </w:rPr>
        <w:t xml:space="preserve"> </w:t>
      </w:r>
      <w:r w:rsidR="00101D6C">
        <w:rPr>
          <w:rFonts w:ascii="Arial" w:eastAsia="Times New Roman" w:hAnsi="Arial" w:cs="Arial"/>
          <w:sz w:val="24"/>
          <w:szCs w:val="24"/>
        </w:rPr>
        <w:t>Milford’s</w:t>
      </w:r>
      <w:proofErr w:type="gramEnd"/>
      <w:r w:rsidR="00101D6C">
        <w:rPr>
          <w:rFonts w:ascii="Arial" w:eastAsia="Times New Roman" w:hAnsi="Arial" w:cs="Arial"/>
          <w:sz w:val="24"/>
          <w:szCs w:val="24"/>
        </w:rPr>
        <w:t xml:space="preserve"> Hearing Request. </w:t>
      </w:r>
      <w:proofErr w:type="gramStart"/>
      <w:r w:rsidR="008E71A4">
        <w:rPr>
          <w:rFonts w:ascii="Arial" w:eastAsia="Times New Roman" w:hAnsi="Arial" w:cs="Arial"/>
          <w:sz w:val="24"/>
          <w:szCs w:val="24"/>
        </w:rPr>
        <w:t>(“Motion”).</w:t>
      </w:r>
      <w:proofErr w:type="gramEnd"/>
      <w:r w:rsidR="008E71A4">
        <w:rPr>
          <w:rFonts w:ascii="Arial" w:eastAsia="Times New Roman" w:hAnsi="Arial" w:cs="Arial"/>
          <w:sz w:val="24"/>
          <w:szCs w:val="24"/>
        </w:rPr>
        <w:t xml:space="preserve">  </w:t>
      </w:r>
      <w:r w:rsidR="00E80350">
        <w:rPr>
          <w:rFonts w:ascii="Arial" w:eastAsia="Times New Roman" w:hAnsi="Arial" w:cs="Arial"/>
          <w:sz w:val="24"/>
          <w:szCs w:val="24"/>
        </w:rPr>
        <w:t>On September 8, 2015, the Parent</w:t>
      </w:r>
      <w:r w:rsidR="00CA2AC8">
        <w:rPr>
          <w:rFonts w:ascii="Arial" w:eastAsia="Times New Roman" w:hAnsi="Arial" w:cs="Arial"/>
          <w:sz w:val="24"/>
          <w:szCs w:val="24"/>
        </w:rPr>
        <w:t>s</w:t>
      </w:r>
      <w:r w:rsidR="00E80350">
        <w:rPr>
          <w:rFonts w:ascii="Arial" w:eastAsia="Times New Roman" w:hAnsi="Arial" w:cs="Arial"/>
          <w:sz w:val="24"/>
          <w:szCs w:val="24"/>
        </w:rPr>
        <w:t xml:space="preserve"> filed a </w:t>
      </w:r>
      <w:r w:rsidR="00E80350" w:rsidRPr="008E71A4">
        <w:rPr>
          <w:rFonts w:ascii="Arial" w:eastAsia="Times New Roman" w:hAnsi="Arial" w:cs="Arial"/>
          <w:i/>
          <w:sz w:val="24"/>
          <w:szCs w:val="24"/>
        </w:rPr>
        <w:t>Response</w:t>
      </w:r>
      <w:r w:rsidR="00E80350">
        <w:rPr>
          <w:rFonts w:ascii="Arial" w:eastAsia="Times New Roman" w:hAnsi="Arial" w:cs="Arial"/>
          <w:sz w:val="24"/>
          <w:szCs w:val="24"/>
        </w:rPr>
        <w:t xml:space="preserve"> to Milford’s </w:t>
      </w:r>
      <w:r w:rsidR="00E80350" w:rsidRPr="008E71A4">
        <w:rPr>
          <w:rFonts w:ascii="Arial" w:eastAsia="Times New Roman" w:hAnsi="Arial" w:cs="Arial"/>
          <w:i/>
          <w:sz w:val="24"/>
          <w:szCs w:val="24"/>
        </w:rPr>
        <w:t>Motion</w:t>
      </w:r>
      <w:r w:rsidR="00CA2AC8">
        <w:rPr>
          <w:rFonts w:ascii="Arial" w:eastAsia="Times New Roman" w:hAnsi="Arial" w:cs="Arial"/>
          <w:i/>
          <w:sz w:val="24"/>
          <w:szCs w:val="24"/>
        </w:rPr>
        <w:t xml:space="preserve">.  </w:t>
      </w:r>
      <w:r w:rsidR="00CA2AC8">
        <w:rPr>
          <w:rFonts w:ascii="Arial" w:eastAsia="Times New Roman" w:hAnsi="Arial" w:cs="Arial"/>
          <w:sz w:val="24"/>
          <w:szCs w:val="24"/>
        </w:rPr>
        <w:t xml:space="preserve">Both </w:t>
      </w:r>
      <w:r w:rsidR="00882054">
        <w:rPr>
          <w:rFonts w:ascii="Arial" w:eastAsia="Times New Roman" w:hAnsi="Arial" w:cs="Arial"/>
          <w:sz w:val="24"/>
          <w:szCs w:val="24"/>
        </w:rPr>
        <w:t>P</w:t>
      </w:r>
      <w:r w:rsidR="00CA2AC8">
        <w:rPr>
          <w:rFonts w:ascii="Arial" w:eastAsia="Times New Roman" w:hAnsi="Arial" w:cs="Arial"/>
          <w:sz w:val="24"/>
          <w:szCs w:val="24"/>
        </w:rPr>
        <w:t xml:space="preserve">arties filed supporting memoranda in support of their pleadings.  The hearing officer conducted a </w:t>
      </w:r>
      <w:r w:rsidR="00CA2AC8" w:rsidRPr="00CA2AC8">
        <w:rPr>
          <w:rFonts w:ascii="Arial" w:eastAsia="Times New Roman" w:hAnsi="Arial" w:cs="Arial"/>
          <w:sz w:val="24"/>
          <w:szCs w:val="24"/>
        </w:rPr>
        <w:t xml:space="preserve">telephonic motion session on September 15, 2015 at which counsel for both </w:t>
      </w:r>
      <w:r w:rsidR="00882054">
        <w:rPr>
          <w:rFonts w:ascii="Arial" w:eastAsia="Times New Roman" w:hAnsi="Arial" w:cs="Arial"/>
          <w:sz w:val="24"/>
          <w:szCs w:val="24"/>
        </w:rPr>
        <w:t>P</w:t>
      </w:r>
      <w:r w:rsidR="00CA2AC8" w:rsidRPr="00CA2AC8">
        <w:rPr>
          <w:rFonts w:ascii="Arial" w:eastAsia="Times New Roman" w:hAnsi="Arial" w:cs="Arial"/>
          <w:sz w:val="24"/>
          <w:szCs w:val="24"/>
        </w:rPr>
        <w:t>arties argued their respective positions.</w:t>
      </w:r>
      <w:r w:rsidR="00CA2AC8">
        <w:rPr>
          <w:rFonts w:ascii="Arial" w:eastAsia="Times New Roman" w:hAnsi="Arial" w:cs="Arial"/>
          <w:i/>
          <w:sz w:val="24"/>
          <w:szCs w:val="24"/>
        </w:rPr>
        <w:t xml:space="preserve"> </w:t>
      </w:r>
      <w:r w:rsidR="00E80350">
        <w:rPr>
          <w:rFonts w:ascii="Arial" w:eastAsia="Times New Roman" w:hAnsi="Arial" w:cs="Arial"/>
          <w:sz w:val="24"/>
          <w:szCs w:val="24"/>
        </w:rPr>
        <w:t xml:space="preserve"> </w:t>
      </w:r>
      <w:r w:rsidR="008E71A4">
        <w:rPr>
          <w:rFonts w:ascii="Arial" w:eastAsia="Times New Roman" w:hAnsi="Arial" w:cs="Arial"/>
          <w:sz w:val="24"/>
          <w:szCs w:val="24"/>
        </w:rPr>
        <w:t xml:space="preserve">For the </w:t>
      </w:r>
      <w:r w:rsidR="00A12F1F">
        <w:rPr>
          <w:rFonts w:ascii="Arial" w:eastAsia="Times New Roman" w:hAnsi="Arial" w:cs="Arial"/>
          <w:sz w:val="24"/>
          <w:szCs w:val="24"/>
        </w:rPr>
        <w:t>reasons</w:t>
      </w:r>
      <w:r w:rsidR="008E71A4">
        <w:rPr>
          <w:rFonts w:ascii="Arial" w:eastAsia="Times New Roman" w:hAnsi="Arial" w:cs="Arial"/>
          <w:sz w:val="24"/>
          <w:szCs w:val="24"/>
        </w:rPr>
        <w:t xml:space="preserve"> discussed in this </w:t>
      </w:r>
      <w:r w:rsidR="008E71A4" w:rsidRPr="008E71A4">
        <w:rPr>
          <w:rFonts w:ascii="Arial" w:eastAsia="Times New Roman" w:hAnsi="Arial" w:cs="Arial"/>
          <w:i/>
          <w:sz w:val="24"/>
          <w:szCs w:val="24"/>
        </w:rPr>
        <w:t>Ruling</w:t>
      </w:r>
      <w:r w:rsidR="008E71A4">
        <w:rPr>
          <w:rFonts w:ascii="Arial" w:eastAsia="Times New Roman" w:hAnsi="Arial" w:cs="Arial"/>
          <w:sz w:val="24"/>
          <w:szCs w:val="24"/>
        </w:rPr>
        <w:t>, Milford</w:t>
      </w:r>
      <w:r w:rsidR="00A12F1F">
        <w:rPr>
          <w:rFonts w:ascii="Arial" w:eastAsia="Times New Roman" w:hAnsi="Arial" w:cs="Arial"/>
          <w:sz w:val="24"/>
          <w:szCs w:val="24"/>
        </w:rPr>
        <w:t xml:space="preserve">’s </w:t>
      </w:r>
      <w:r w:rsidR="00A12F1F" w:rsidRPr="008E71A4">
        <w:rPr>
          <w:rFonts w:ascii="Arial" w:eastAsia="Times New Roman" w:hAnsi="Arial" w:cs="Arial"/>
          <w:i/>
          <w:sz w:val="24"/>
          <w:szCs w:val="24"/>
        </w:rPr>
        <w:t>Motion to Dismiss</w:t>
      </w:r>
      <w:r w:rsidR="00A12F1F">
        <w:rPr>
          <w:rFonts w:ascii="Arial" w:eastAsia="Times New Roman" w:hAnsi="Arial" w:cs="Arial"/>
          <w:sz w:val="24"/>
          <w:szCs w:val="24"/>
        </w:rPr>
        <w:t xml:space="preserve"> is </w:t>
      </w:r>
      <w:r w:rsidR="00A12F1F" w:rsidRPr="00A12F1F">
        <w:rPr>
          <w:rFonts w:ascii="Arial" w:eastAsia="Times New Roman" w:hAnsi="Arial" w:cs="Arial"/>
          <w:b/>
          <w:sz w:val="24"/>
          <w:szCs w:val="24"/>
        </w:rPr>
        <w:t>GRANTED</w:t>
      </w:r>
      <w:r w:rsidR="00CA2AC8">
        <w:rPr>
          <w:rFonts w:ascii="Arial" w:eastAsia="Times New Roman" w:hAnsi="Arial" w:cs="Arial"/>
          <w:sz w:val="24"/>
          <w:szCs w:val="24"/>
        </w:rPr>
        <w:t xml:space="preserve">.  </w:t>
      </w:r>
    </w:p>
    <w:p w:rsidR="00E80350" w:rsidRDefault="00E80350" w:rsidP="003F370E">
      <w:pPr>
        <w:spacing w:after="0" w:line="240" w:lineRule="auto"/>
        <w:ind w:firstLine="720"/>
        <w:rPr>
          <w:rFonts w:ascii="Arial" w:eastAsia="Times New Roman" w:hAnsi="Arial" w:cs="Arial"/>
          <w:sz w:val="24"/>
          <w:szCs w:val="24"/>
        </w:rPr>
      </w:pP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PERTINENT FACTUAL BACKGROUND</w:t>
      </w:r>
    </w:p>
    <w:p w:rsidR="00E80350" w:rsidRDefault="00E80350" w:rsidP="00E80350">
      <w:pPr>
        <w:spacing w:after="0" w:line="240" w:lineRule="auto"/>
        <w:ind w:firstLine="720"/>
        <w:jc w:val="center"/>
        <w:rPr>
          <w:rFonts w:ascii="Arial" w:eastAsia="Times New Roman" w:hAnsi="Arial" w:cs="Arial"/>
          <w:b/>
          <w:sz w:val="24"/>
          <w:szCs w:val="24"/>
          <w:u w:val="single"/>
        </w:rPr>
      </w:pPr>
    </w:p>
    <w:p w:rsidR="00A8751C" w:rsidRDefault="00A8751C" w:rsidP="00A8751C">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For purposes of </w:t>
      </w:r>
      <w:r w:rsidR="00CA2AC8">
        <w:rPr>
          <w:rFonts w:ascii="Arial" w:eastAsia="Times New Roman" w:hAnsi="Arial" w:cs="Arial"/>
          <w:sz w:val="24"/>
          <w:szCs w:val="24"/>
        </w:rPr>
        <w:t xml:space="preserve">this </w:t>
      </w:r>
      <w:r w:rsidR="00CA2AC8" w:rsidRPr="00CA2AC8">
        <w:rPr>
          <w:rFonts w:ascii="Arial" w:eastAsia="Times New Roman" w:hAnsi="Arial" w:cs="Arial"/>
          <w:i/>
          <w:sz w:val="24"/>
          <w:szCs w:val="24"/>
        </w:rPr>
        <w:t>Ruling</w:t>
      </w:r>
      <w:r>
        <w:rPr>
          <w:rFonts w:ascii="Arial" w:eastAsia="Times New Roman" w:hAnsi="Arial" w:cs="Arial"/>
          <w:sz w:val="24"/>
          <w:szCs w:val="24"/>
        </w:rPr>
        <w:t xml:space="preserve"> the following assertions are considered to be true and construed in favor of the party opposing dismissal, namely, the Parent</w:t>
      </w:r>
      <w:r w:rsidR="00CA2AC8">
        <w:rPr>
          <w:rFonts w:ascii="Arial" w:eastAsia="Times New Roman" w:hAnsi="Arial" w:cs="Arial"/>
          <w:sz w:val="24"/>
          <w:szCs w:val="24"/>
        </w:rPr>
        <w:t>s</w:t>
      </w:r>
      <w:r>
        <w:rPr>
          <w:rFonts w:ascii="Arial" w:eastAsia="Times New Roman" w:hAnsi="Arial" w:cs="Arial"/>
          <w:sz w:val="24"/>
          <w:szCs w:val="24"/>
        </w:rPr>
        <w:t>.</w:t>
      </w:r>
    </w:p>
    <w:p w:rsidR="00A8751C" w:rsidRDefault="00A8751C" w:rsidP="00A8751C">
      <w:pPr>
        <w:spacing w:after="0" w:line="240" w:lineRule="auto"/>
        <w:ind w:firstLine="720"/>
        <w:rPr>
          <w:rFonts w:ascii="Arial" w:eastAsia="Times New Roman" w:hAnsi="Arial" w:cs="Arial"/>
          <w:sz w:val="24"/>
          <w:szCs w:val="24"/>
        </w:rPr>
      </w:pPr>
    </w:p>
    <w:p w:rsidR="00A8751C" w:rsidRDefault="00A8751C" w:rsidP="00A8751C">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Studen</w:t>
      </w:r>
      <w:r w:rsidR="008E71A4">
        <w:rPr>
          <w:rFonts w:ascii="Arial" w:eastAsia="Times New Roman" w:hAnsi="Arial" w:cs="Arial"/>
          <w:sz w:val="24"/>
          <w:szCs w:val="24"/>
        </w:rPr>
        <w:t>t</w:t>
      </w:r>
      <w:r>
        <w:rPr>
          <w:rFonts w:ascii="Arial" w:eastAsia="Times New Roman" w:hAnsi="Arial" w:cs="Arial"/>
          <w:sz w:val="24"/>
          <w:szCs w:val="24"/>
        </w:rPr>
        <w:t xml:space="preserve"> is a </w:t>
      </w:r>
      <w:r w:rsidR="008E71A4">
        <w:rPr>
          <w:rFonts w:ascii="Arial" w:eastAsia="Times New Roman" w:hAnsi="Arial" w:cs="Arial"/>
          <w:sz w:val="24"/>
          <w:szCs w:val="24"/>
        </w:rPr>
        <w:t>17-year-</w:t>
      </w:r>
      <w:r w:rsidR="00742BE5">
        <w:rPr>
          <w:rFonts w:ascii="Arial" w:eastAsia="Times New Roman" w:hAnsi="Arial" w:cs="Arial"/>
          <w:sz w:val="24"/>
          <w:szCs w:val="24"/>
        </w:rPr>
        <w:t xml:space="preserve">old student with </w:t>
      </w:r>
      <w:r w:rsidR="008E71A4">
        <w:rPr>
          <w:rFonts w:ascii="Arial" w:eastAsia="Times New Roman" w:hAnsi="Arial" w:cs="Arial"/>
          <w:sz w:val="24"/>
          <w:szCs w:val="24"/>
        </w:rPr>
        <w:t xml:space="preserve">disabilities including </w:t>
      </w:r>
      <w:r w:rsidR="00013F03">
        <w:rPr>
          <w:rFonts w:ascii="Arial" w:eastAsia="Times New Roman" w:hAnsi="Arial" w:cs="Arial"/>
          <w:sz w:val="24"/>
          <w:szCs w:val="24"/>
        </w:rPr>
        <w:t>traumatic brain injury (TBI) as well as emotional</w:t>
      </w:r>
      <w:r w:rsidR="008E71A4">
        <w:rPr>
          <w:rFonts w:ascii="Arial" w:eastAsia="Times New Roman" w:hAnsi="Arial" w:cs="Arial"/>
          <w:sz w:val="24"/>
          <w:szCs w:val="24"/>
        </w:rPr>
        <w:t xml:space="preserve"> and substance use disorders.  The </w:t>
      </w:r>
      <w:r w:rsidR="00882054">
        <w:rPr>
          <w:rFonts w:ascii="Arial" w:eastAsia="Times New Roman" w:hAnsi="Arial" w:cs="Arial"/>
          <w:sz w:val="24"/>
          <w:szCs w:val="24"/>
        </w:rPr>
        <w:t>P</w:t>
      </w:r>
      <w:r w:rsidR="008E71A4">
        <w:rPr>
          <w:rFonts w:ascii="Arial" w:eastAsia="Times New Roman" w:hAnsi="Arial" w:cs="Arial"/>
          <w:sz w:val="24"/>
          <w:szCs w:val="24"/>
        </w:rPr>
        <w:t xml:space="preserve">arties agree that </w:t>
      </w:r>
      <w:r w:rsidR="008A2828">
        <w:rPr>
          <w:rFonts w:ascii="Arial" w:eastAsia="Times New Roman" w:hAnsi="Arial" w:cs="Arial"/>
          <w:sz w:val="24"/>
          <w:szCs w:val="24"/>
        </w:rPr>
        <w:t xml:space="preserve">Student is eligible for special education pursuant to </w:t>
      </w:r>
      <w:r w:rsidR="008E71A4">
        <w:rPr>
          <w:rFonts w:ascii="Arial" w:eastAsia="Times New Roman" w:hAnsi="Arial" w:cs="Arial"/>
          <w:sz w:val="24"/>
          <w:szCs w:val="24"/>
        </w:rPr>
        <w:t xml:space="preserve">applicable federal and state special education statutes.  </w:t>
      </w:r>
      <w:r w:rsidR="00013F03">
        <w:rPr>
          <w:rFonts w:ascii="Arial" w:eastAsia="Times New Roman" w:hAnsi="Arial" w:cs="Arial"/>
          <w:sz w:val="24"/>
          <w:szCs w:val="24"/>
        </w:rPr>
        <w:t>Further, t</w:t>
      </w:r>
      <w:r w:rsidR="008E71A4">
        <w:rPr>
          <w:rFonts w:ascii="Arial" w:eastAsia="Times New Roman" w:hAnsi="Arial" w:cs="Arial"/>
          <w:sz w:val="24"/>
          <w:szCs w:val="24"/>
        </w:rPr>
        <w:t xml:space="preserve">here is no dispute that Milford is the Local Education Authority (LEA) responsible for Student’s special education programming. </w:t>
      </w:r>
      <w:r w:rsidR="008A2828">
        <w:rPr>
          <w:rFonts w:ascii="Arial" w:eastAsia="Times New Roman" w:hAnsi="Arial" w:cs="Arial"/>
          <w:sz w:val="24"/>
          <w:szCs w:val="24"/>
        </w:rPr>
        <w:t xml:space="preserve"> </w:t>
      </w:r>
    </w:p>
    <w:p w:rsidR="00742BE5" w:rsidRDefault="00742BE5" w:rsidP="00742BE5">
      <w:pPr>
        <w:pStyle w:val="ListParagraph"/>
        <w:spacing w:after="0" w:line="240" w:lineRule="auto"/>
        <w:ind w:left="1080"/>
        <w:rPr>
          <w:rFonts w:ascii="Arial" w:eastAsia="Times New Roman" w:hAnsi="Arial" w:cs="Arial"/>
          <w:sz w:val="24"/>
          <w:szCs w:val="24"/>
        </w:rPr>
      </w:pPr>
    </w:p>
    <w:p w:rsidR="008A2828" w:rsidRDefault="008E71A4" w:rsidP="008A2828">
      <w:pPr>
        <w:pStyle w:val="ListParagraph"/>
        <w:numPr>
          <w:ilvl w:val="0"/>
          <w:numId w:val="5"/>
        </w:numPr>
        <w:spacing w:after="0" w:line="240" w:lineRule="auto"/>
        <w:rPr>
          <w:rFonts w:ascii="Arial" w:eastAsia="Times New Roman" w:hAnsi="Arial" w:cs="Arial"/>
          <w:sz w:val="24"/>
          <w:szCs w:val="24"/>
        </w:rPr>
      </w:pPr>
      <w:r w:rsidRPr="004E4392">
        <w:rPr>
          <w:rFonts w:ascii="Arial" w:eastAsia="Times New Roman" w:hAnsi="Arial" w:cs="Arial"/>
          <w:sz w:val="24"/>
          <w:szCs w:val="24"/>
        </w:rPr>
        <w:t>In 2015, Parents requested a hearing wit</w:t>
      </w:r>
      <w:r w:rsidR="009C579F" w:rsidRPr="004E4392">
        <w:rPr>
          <w:rFonts w:ascii="Arial" w:eastAsia="Times New Roman" w:hAnsi="Arial" w:cs="Arial"/>
          <w:sz w:val="24"/>
          <w:szCs w:val="24"/>
        </w:rPr>
        <w:t xml:space="preserve">h the BSEA to resolve disputes </w:t>
      </w:r>
      <w:r w:rsidR="00742BE5" w:rsidRPr="004E4392">
        <w:rPr>
          <w:rFonts w:ascii="Arial" w:eastAsia="Times New Roman" w:hAnsi="Arial" w:cs="Arial"/>
          <w:sz w:val="24"/>
          <w:szCs w:val="24"/>
        </w:rPr>
        <w:t xml:space="preserve">over Student’s </w:t>
      </w:r>
      <w:r w:rsidR="009C579F" w:rsidRPr="004E4392">
        <w:rPr>
          <w:rFonts w:ascii="Arial" w:eastAsia="Times New Roman" w:hAnsi="Arial" w:cs="Arial"/>
          <w:sz w:val="24"/>
          <w:szCs w:val="24"/>
        </w:rPr>
        <w:t xml:space="preserve">special education services and placements for the </w:t>
      </w:r>
      <w:r w:rsidR="0046104E" w:rsidRPr="004E4392">
        <w:rPr>
          <w:rFonts w:ascii="Arial" w:eastAsia="Times New Roman" w:hAnsi="Arial" w:cs="Arial"/>
          <w:sz w:val="24"/>
          <w:szCs w:val="24"/>
        </w:rPr>
        <w:t>2014-2015 and 2015-2016 school year</w:t>
      </w:r>
      <w:r w:rsidR="009C579F" w:rsidRPr="004E4392">
        <w:rPr>
          <w:rFonts w:ascii="Arial" w:eastAsia="Times New Roman" w:hAnsi="Arial" w:cs="Arial"/>
          <w:sz w:val="24"/>
          <w:szCs w:val="24"/>
        </w:rPr>
        <w:t>s.  This matter was designated as BSEA No. 1504690 and assigned to Hearing Officer Lindsay Byrne</w:t>
      </w:r>
      <w:r w:rsidR="004E4392" w:rsidRPr="004E4392">
        <w:rPr>
          <w:rFonts w:ascii="Arial" w:eastAsia="Times New Roman" w:hAnsi="Arial" w:cs="Arial"/>
          <w:sz w:val="24"/>
          <w:szCs w:val="24"/>
        </w:rPr>
        <w:t>. On May 20, 2015, after a settlement conference with BSEA Director Reece Erlichman, the parties r</w:t>
      </w:r>
      <w:r w:rsidR="00013F03">
        <w:rPr>
          <w:rFonts w:ascii="Arial" w:eastAsia="Times New Roman" w:hAnsi="Arial" w:cs="Arial"/>
          <w:sz w:val="24"/>
          <w:szCs w:val="24"/>
        </w:rPr>
        <w:t>esolved this case</w:t>
      </w:r>
      <w:r w:rsidR="004E4392">
        <w:rPr>
          <w:rFonts w:ascii="Arial" w:eastAsia="Times New Roman" w:hAnsi="Arial" w:cs="Arial"/>
          <w:sz w:val="24"/>
          <w:szCs w:val="24"/>
        </w:rPr>
        <w:t xml:space="preserve"> by entering into</w:t>
      </w:r>
      <w:r w:rsidR="004E4392" w:rsidRPr="004E4392">
        <w:rPr>
          <w:rFonts w:ascii="Arial" w:eastAsia="Times New Roman" w:hAnsi="Arial" w:cs="Arial"/>
          <w:sz w:val="24"/>
          <w:szCs w:val="24"/>
        </w:rPr>
        <w:t xml:space="preserve"> a settlement agreement (“Agreement</w:t>
      </w:r>
      <w:r w:rsidR="0061248E">
        <w:rPr>
          <w:rFonts w:ascii="Arial" w:eastAsia="Times New Roman" w:hAnsi="Arial" w:cs="Arial"/>
          <w:sz w:val="24"/>
          <w:szCs w:val="24"/>
        </w:rPr>
        <w:t>”</w:t>
      </w:r>
      <w:r w:rsidR="004E4392" w:rsidRPr="004E4392">
        <w:rPr>
          <w:rFonts w:ascii="Arial" w:eastAsia="Times New Roman" w:hAnsi="Arial" w:cs="Arial"/>
          <w:sz w:val="24"/>
          <w:szCs w:val="24"/>
        </w:rPr>
        <w:t xml:space="preserve">).  Both </w:t>
      </w:r>
      <w:r w:rsidR="00882054">
        <w:rPr>
          <w:rFonts w:ascii="Arial" w:eastAsia="Times New Roman" w:hAnsi="Arial" w:cs="Arial"/>
          <w:sz w:val="24"/>
          <w:szCs w:val="24"/>
        </w:rPr>
        <w:t>P</w:t>
      </w:r>
      <w:r w:rsidR="004E4392" w:rsidRPr="004E4392">
        <w:rPr>
          <w:rFonts w:ascii="Arial" w:eastAsia="Times New Roman" w:hAnsi="Arial" w:cs="Arial"/>
          <w:sz w:val="24"/>
          <w:szCs w:val="24"/>
        </w:rPr>
        <w:t>art</w:t>
      </w:r>
      <w:r w:rsidR="004E4392">
        <w:rPr>
          <w:rFonts w:ascii="Arial" w:eastAsia="Times New Roman" w:hAnsi="Arial" w:cs="Arial"/>
          <w:sz w:val="24"/>
          <w:szCs w:val="24"/>
        </w:rPr>
        <w:t>ies were represented by counsel</w:t>
      </w:r>
      <w:r w:rsidR="0061248E">
        <w:rPr>
          <w:rFonts w:ascii="Arial" w:eastAsia="Times New Roman" w:hAnsi="Arial" w:cs="Arial"/>
          <w:sz w:val="24"/>
          <w:szCs w:val="24"/>
        </w:rPr>
        <w:t xml:space="preserve"> at all stages of the proceeding, </w:t>
      </w:r>
      <w:r w:rsidR="004E4392">
        <w:rPr>
          <w:rFonts w:ascii="Arial" w:eastAsia="Times New Roman" w:hAnsi="Arial" w:cs="Arial"/>
          <w:sz w:val="24"/>
          <w:szCs w:val="24"/>
        </w:rPr>
        <w:t xml:space="preserve">including negotiation and execution of the Agreement.  </w:t>
      </w:r>
      <w:r w:rsidR="004E4392" w:rsidRPr="004E4392">
        <w:rPr>
          <w:rFonts w:ascii="Arial" w:eastAsia="Times New Roman" w:hAnsi="Arial" w:cs="Arial"/>
          <w:sz w:val="24"/>
          <w:szCs w:val="24"/>
        </w:rPr>
        <w:t xml:space="preserve">  </w:t>
      </w:r>
      <w:r w:rsidR="008A2828" w:rsidRPr="004E4392">
        <w:rPr>
          <w:rFonts w:ascii="Arial" w:eastAsia="Times New Roman" w:hAnsi="Arial" w:cs="Arial"/>
          <w:sz w:val="24"/>
          <w:szCs w:val="24"/>
        </w:rPr>
        <w:t xml:space="preserve"> </w:t>
      </w:r>
    </w:p>
    <w:p w:rsidR="004E4392" w:rsidRPr="004E4392" w:rsidRDefault="004E4392" w:rsidP="004E4392">
      <w:pPr>
        <w:spacing w:after="0" w:line="240" w:lineRule="auto"/>
        <w:rPr>
          <w:rFonts w:ascii="Arial" w:eastAsia="Times New Roman" w:hAnsi="Arial" w:cs="Arial"/>
          <w:sz w:val="24"/>
          <w:szCs w:val="24"/>
        </w:rPr>
      </w:pPr>
    </w:p>
    <w:p w:rsidR="0071446A" w:rsidRDefault="00054174" w:rsidP="0046104E">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At the time the </w:t>
      </w:r>
      <w:r w:rsidR="00882054">
        <w:rPr>
          <w:rFonts w:ascii="Arial" w:eastAsia="Times New Roman" w:hAnsi="Arial" w:cs="Arial"/>
          <w:sz w:val="24"/>
          <w:szCs w:val="24"/>
        </w:rPr>
        <w:t>P</w:t>
      </w:r>
      <w:r w:rsidR="00CA2AC8">
        <w:rPr>
          <w:rFonts w:ascii="Arial" w:eastAsia="Times New Roman" w:hAnsi="Arial" w:cs="Arial"/>
          <w:sz w:val="24"/>
          <w:szCs w:val="24"/>
        </w:rPr>
        <w:t>arties signed the Agreement</w:t>
      </w:r>
      <w:r w:rsidR="004E4392">
        <w:rPr>
          <w:rFonts w:ascii="Arial" w:eastAsia="Times New Roman" w:hAnsi="Arial" w:cs="Arial"/>
          <w:sz w:val="24"/>
          <w:szCs w:val="24"/>
        </w:rPr>
        <w:t xml:space="preserve">, </w:t>
      </w:r>
      <w:r>
        <w:rPr>
          <w:rFonts w:ascii="Arial" w:eastAsia="Times New Roman" w:hAnsi="Arial" w:cs="Arial"/>
          <w:sz w:val="24"/>
          <w:szCs w:val="24"/>
        </w:rPr>
        <w:t xml:space="preserve">Student was attending </w:t>
      </w:r>
      <w:r w:rsidR="004E4392">
        <w:rPr>
          <w:rFonts w:ascii="Arial" w:eastAsia="Times New Roman" w:hAnsi="Arial" w:cs="Arial"/>
          <w:sz w:val="24"/>
          <w:szCs w:val="24"/>
        </w:rPr>
        <w:t xml:space="preserve">a treatment facility in Oregon at parental expense, the </w:t>
      </w:r>
      <w:r>
        <w:rPr>
          <w:rFonts w:ascii="Arial" w:eastAsia="Times New Roman" w:hAnsi="Arial" w:cs="Arial"/>
          <w:sz w:val="24"/>
          <w:szCs w:val="24"/>
        </w:rPr>
        <w:t>New Vision Wilderness Program (“New Vision”)</w:t>
      </w:r>
      <w:r w:rsidR="004E4392">
        <w:rPr>
          <w:rFonts w:ascii="Arial" w:eastAsia="Times New Roman" w:hAnsi="Arial" w:cs="Arial"/>
          <w:sz w:val="24"/>
          <w:szCs w:val="24"/>
        </w:rPr>
        <w:t xml:space="preserve">.  The Parties anticipated </w:t>
      </w:r>
      <w:r>
        <w:rPr>
          <w:rFonts w:ascii="Arial" w:eastAsia="Times New Roman" w:hAnsi="Arial" w:cs="Arial"/>
          <w:sz w:val="24"/>
          <w:szCs w:val="24"/>
        </w:rPr>
        <w:t>Student</w:t>
      </w:r>
      <w:r w:rsidR="004E4392">
        <w:rPr>
          <w:rFonts w:ascii="Arial" w:eastAsia="Times New Roman" w:hAnsi="Arial" w:cs="Arial"/>
          <w:sz w:val="24"/>
          <w:szCs w:val="24"/>
        </w:rPr>
        <w:t>’s</w:t>
      </w:r>
      <w:r>
        <w:rPr>
          <w:rFonts w:ascii="Arial" w:eastAsia="Times New Roman" w:hAnsi="Arial" w:cs="Arial"/>
          <w:sz w:val="24"/>
          <w:szCs w:val="24"/>
        </w:rPr>
        <w:t xml:space="preserve"> release from New Vision in</w:t>
      </w:r>
      <w:r w:rsidR="004E4392">
        <w:rPr>
          <w:rFonts w:ascii="Arial" w:eastAsia="Times New Roman" w:hAnsi="Arial" w:cs="Arial"/>
          <w:sz w:val="24"/>
          <w:szCs w:val="24"/>
        </w:rPr>
        <w:t xml:space="preserve"> or about</w:t>
      </w:r>
      <w:r>
        <w:rPr>
          <w:rFonts w:ascii="Arial" w:eastAsia="Times New Roman" w:hAnsi="Arial" w:cs="Arial"/>
          <w:sz w:val="24"/>
          <w:szCs w:val="24"/>
        </w:rPr>
        <w:t xml:space="preserve"> June 2015.</w:t>
      </w:r>
      <w:r w:rsidR="00013F03">
        <w:rPr>
          <w:rFonts w:ascii="Arial" w:eastAsia="Times New Roman" w:hAnsi="Arial" w:cs="Arial"/>
          <w:sz w:val="24"/>
          <w:szCs w:val="24"/>
        </w:rPr>
        <w:t xml:space="preserve">  </w:t>
      </w:r>
      <w:r>
        <w:rPr>
          <w:rFonts w:ascii="Arial" w:eastAsia="Times New Roman" w:hAnsi="Arial" w:cs="Arial"/>
          <w:sz w:val="24"/>
          <w:szCs w:val="24"/>
        </w:rPr>
        <w:t xml:space="preserve"> </w:t>
      </w:r>
    </w:p>
    <w:p w:rsidR="0071446A" w:rsidRPr="0071446A" w:rsidRDefault="0071446A" w:rsidP="0071446A">
      <w:pPr>
        <w:pStyle w:val="ListParagraph"/>
        <w:rPr>
          <w:rFonts w:ascii="Arial" w:eastAsia="Times New Roman" w:hAnsi="Arial" w:cs="Arial"/>
          <w:sz w:val="24"/>
          <w:szCs w:val="24"/>
        </w:rPr>
      </w:pPr>
    </w:p>
    <w:p w:rsidR="0061248E" w:rsidRDefault="00054174" w:rsidP="00CA40BA">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In </w:t>
      </w:r>
      <w:r w:rsidR="0061248E">
        <w:rPr>
          <w:rFonts w:ascii="Arial" w:eastAsia="Times New Roman" w:hAnsi="Arial" w:cs="Arial"/>
          <w:sz w:val="24"/>
          <w:szCs w:val="24"/>
        </w:rPr>
        <w:t xml:space="preserve">pertinent part, </w:t>
      </w:r>
      <w:r>
        <w:rPr>
          <w:rFonts w:ascii="Arial" w:eastAsia="Times New Roman" w:hAnsi="Arial" w:cs="Arial"/>
          <w:sz w:val="24"/>
          <w:szCs w:val="24"/>
        </w:rPr>
        <w:t xml:space="preserve">the </w:t>
      </w:r>
      <w:r w:rsidR="0061248E">
        <w:rPr>
          <w:rFonts w:ascii="Arial" w:eastAsia="Times New Roman" w:hAnsi="Arial" w:cs="Arial"/>
          <w:sz w:val="24"/>
          <w:szCs w:val="24"/>
        </w:rPr>
        <w:t>Agreement states the following:</w:t>
      </w:r>
    </w:p>
    <w:p w:rsidR="00CA40BA" w:rsidRPr="00CA40BA" w:rsidRDefault="00CA40BA" w:rsidP="00CA40BA">
      <w:pPr>
        <w:spacing w:after="0" w:line="240" w:lineRule="auto"/>
        <w:rPr>
          <w:rFonts w:ascii="Arial" w:eastAsia="Times New Roman" w:hAnsi="Arial" w:cs="Arial"/>
          <w:sz w:val="24"/>
          <w:szCs w:val="24"/>
        </w:rPr>
      </w:pPr>
    </w:p>
    <w:p w:rsidR="002C7C07" w:rsidRDefault="00CA40BA" w:rsidP="00CA40BA">
      <w:pPr>
        <w:spacing w:after="0" w:line="240" w:lineRule="auto"/>
        <w:ind w:left="1728" w:right="1728"/>
        <w:rPr>
          <w:rFonts w:ascii="Arial" w:eastAsia="Times New Roman" w:hAnsi="Arial" w:cs="Arial"/>
          <w:sz w:val="24"/>
          <w:szCs w:val="24"/>
        </w:rPr>
      </w:pPr>
      <w:r>
        <w:rPr>
          <w:rFonts w:ascii="Arial" w:eastAsia="Times New Roman" w:hAnsi="Arial" w:cs="Arial"/>
          <w:sz w:val="24"/>
          <w:szCs w:val="24"/>
        </w:rPr>
        <w:t xml:space="preserve">3.) </w:t>
      </w:r>
      <w:r w:rsidR="0061248E" w:rsidRPr="00CA40BA">
        <w:rPr>
          <w:rFonts w:ascii="Arial" w:eastAsia="Times New Roman" w:hAnsi="Arial" w:cs="Arial"/>
          <w:sz w:val="24"/>
          <w:szCs w:val="24"/>
          <w:u w:val="single"/>
        </w:rPr>
        <w:t>2015-2016 School Year (inclusive of summer 2015)</w:t>
      </w:r>
      <w:r w:rsidR="0061248E">
        <w:rPr>
          <w:rFonts w:ascii="Arial" w:eastAsia="Times New Roman" w:hAnsi="Arial" w:cs="Arial"/>
          <w:sz w:val="24"/>
          <w:szCs w:val="24"/>
        </w:rPr>
        <w:t xml:space="preserve">:  It is anticipated that </w:t>
      </w:r>
      <w:r>
        <w:rPr>
          <w:rFonts w:ascii="Arial" w:eastAsia="Times New Roman" w:hAnsi="Arial" w:cs="Arial"/>
          <w:sz w:val="24"/>
          <w:szCs w:val="24"/>
        </w:rPr>
        <w:t>the Student will be discharged from New Vision on or about June 2015.  The parties agree that the District will make referrals for placement in a day or residential therapeutic program that has been approved by the Massachusetts Department of Elementary and Secondary Education (DESE) of the Parents’ choosing as expeditiously as possible upon notice of his imminent discharge…</w:t>
      </w:r>
      <w:r>
        <w:rPr>
          <w:rStyle w:val="FootnoteReference"/>
          <w:rFonts w:ascii="Arial" w:eastAsia="Times New Roman" w:hAnsi="Arial" w:cs="Arial"/>
          <w:sz w:val="24"/>
          <w:szCs w:val="24"/>
        </w:rPr>
        <w:footnoteReference w:id="1"/>
      </w:r>
    </w:p>
    <w:p w:rsidR="00CA40BA" w:rsidRDefault="00CA40BA" w:rsidP="00CA40BA">
      <w:pPr>
        <w:spacing w:after="0" w:line="240" w:lineRule="auto"/>
        <w:ind w:left="1728" w:right="1728"/>
        <w:rPr>
          <w:rFonts w:ascii="Arial" w:eastAsia="Times New Roman" w:hAnsi="Arial" w:cs="Arial"/>
          <w:sz w:val="24"/>
          <w:szCs w:val="24"/>
        </w:rPr>
      </w:pPr>
    </w:p>
    <w:p w:rsidR="00CA40BA" w:rsidRDefault="00CA40BA" w:rsidP="00CA40BA">
      <w:pPr>
        <w:spacing w:after="0" w:line="240" w:lineRule="auto"/>
        <w:ind w:left="1728" w:right="1728"/>
        <w:rPr>
          <w:rFonts w:ascii="Arial" w:eastAsia="Times New Roman" w:hAnsi="Arial" w:cs="Arial"/>
          <w:sz w:val="24"/>
          <w:szCs w:val="24"/>
        </w:rPr>
      </w:pPr>
      <w:r>
        <w:rPr>
          <w:rFonts w:ascii="Arial" w:eastAsia="Times New Roman" w:hAnsi="Arial" w:cs="Arial"/>
          <w:sz w:val="24"/>
          <w:szCs w:val="24"/>
        </w:rPr>
        <w:t>3(a) [ ]</w:t>
      </w:r>
    </w:p>
    <w:p w:rsidR="00030556" w:rsidRDefault="00030556" w:rsidP="00CA40BA">
      <w:pPr>
        <w:spacing w:after="0" w:line="240" w:lineRule="auto"/>
        <w:ind w:left="1728" w:right="1728"/>
        <w:rPr>
          <w:rFonts w:ascii="Arial" w:eastAsia="Times New Roman" w:hAnsi="Arial" w:cs="Arial"/>
          <w:sz w:val="24"/>
          <w:szCs w:val="24"/>
        </w:rPr>
      </w:pPr>
    </w:p>
    <w:p w:rsidR="00CA40BA" w:rsidRDefault="00CA40BA" w:rsidP="00CA40BA">
      <w:pPr>
        <w:spacing w:after="0" w:line="240" w:lineRule="auto"/>
        <w:ind w:left="1728" w:right="1728"/>
        <w:rPr>
          <w:rFonts w:ascii="Arial" w:eastAsia="Times New Roman" w:hAnsi="Arial" w:cs="Arial"/>
          <w:sz w:val="24"/>
          <w:szCs w:val="24"/>
        </w:rPr>
      </w:pPr>
      <w:r>
        <w:rPr>
          <w:rFonts w:ascii="Arial" w:eastAsia="Times New Roman" w:hAnsi="Arial" w:cs="Arial"/>
          <w:sz w:val="24"/>
          <w:szCs w:val="24"/>
        </w:rPr>
        <w:t>3(b) [ ]</w:t>
      </w:r>
    </w:p>
    <w:p w:rsidR="00CA40BA" w:rsidRDefault="00CA40BA" w:rsidP="00CA40BA">
      <w:pPr>
        <w:spacing w:after="0" w:line="240" w:lineRule="auto"/>
        <w:ind w:left="1728" w:right="1728"/>
        <w:jc w:val="center"/>
        <w:rPr>
          <w:rFonts w:ascii="Arial" w:eastAsia="Times New Roman" w:hAnsi="Arial" w:cs="Arial"/>
          <w:sz w:val="24"/>
          <w:szCs w:val="24"/>
        </w:rPr>
      </w:pPr>
    </w:p>
    <w:p w:rsidR="0071446A" w:rsidRPr="002C7C07" w:rsidRDefault="00030556" w:rsidP="00CA40BA">
      <w:pPr>
        <w:spacing w:after="0" w:line="240" w:lineRule="auto"/>
        <w:ind w:left="1728" w:right="1728"/>
        <w:rPr>
          <w:rFonts w:ascii="Arial" w:eastAsia="Times New Roman" w:hAnsi="Arial" w:cs="Arial"/>
          <w:sz w:val="24"/>
          <w:szCs w:val="24"/>
        </w:rPr>
      </w:pPr>
      <w:r>
        <w:rPr>
          <w:rFonts w:ascii="Arial" w:eastAsia="Times New Roman" w:hAnsi="Arial" w:cs="Arial"/>
          <w:sz w:val="24"/>
          <w:szCs w:val="24"/>
        </w:rPr>
        <w:t xml:space="preserve"> 3(c) </w:t>
      </w:r>
      <w:r w:rsidR="00CA40BA" w:rsidRPr="00030556">
        <w:rPr>
          <w:rFonts w:ascii="Arial" w:eastAsia="Times New Roman" w:hAnsi="Arial" w:cs="Arial"/>
          <w:sz w:val="24"/>
          <w:szCs w:val="24"/>
          <w:u w:val="single"/>
        </w:rPr>
        <w:t>District’s Evaluation</w:t>
      </w:r>
      <w:r w:rsidR="00CA40BA">
        <w:rPr>
          <w:rFonts w:ascii="Arial" w:eastAsia="Times New Roman" w:hAnsi="Arial" w:cs="Arial"/>
          <w:sz w:val="24"/>
          <w:szCs w:val="24"/>
        </w:rPr>
        <w:t>: The District may, at its sole discretion, conduct an evaluation of the Student at any time after the Student’s discharge from New Vision and return to Massachusetts</w:t>
      </w:r>
      <w:r>
        <w:rPr>
          <w:rFonts w:ascii="Arial" w:eastAsia="Times New Roman" w:hAnsi="Arial" w:cs="Arial"/>
          <w:sz w:val="24"/>
          <w:szCs w:val="24"/>
        </w:rPr>
        <w:t xml:space="preserve">…[with]…prior notice [to Parents] of the evaluation…The execution of this Agreement constitutes the Parents’ consent to the District’s evaluation… </w:t>
      </w:r>
      <w:r w:rsidR="00CA40BA">
        <w:rPr>
          <w:rFonts w:ascii="Arial" w:eastAsia="Times New Roman" w:hAnsi="Arial" w:cs="Arial"/>
          <w:sz w:val="24"/>
          <w:szCs w:val="24"/>
        </w:rPr>
        <w:t xml:space="preserve"> </w:t>
      </w:r>
      <w:r w:rsidR="004E4392">
        <w:rPr>
          <w:rFonts w:ascii="Arial" w:eastAsia="Times New Roman" w:hAnsi="Arial" w:cs="Arial"/>
          <w:sz w:val="24"/>
          <w:szCs w:val="24"/>
        </w:rPr>
        <w:t>[T]</w:t>
      </w:r>
      <w:r w:rsidR="002C7C07">
        <w:rPr>
          <w:rFonts w:ascii="Arial" w:eastAsia="Times New Roman" w:hAnsi="Arial" w:cs="Arial"/>
          <w:sz w:val="24"/>
          <w:szCs w:val="24"/>
        </w:rPr>
        <w:t xml:space="preserve">he District </w:t>
      </w:r>
      <w:r w:rsidR="002C7C07" w:rsidRPr="002C7C07">
        <w:rPr>
          <w:rFonts w:ascii="Arial" w:eastAsia="Times New Roman" w:hAnsi="Arial" w:cs="Arial"/>
          <w:sz w:val="24"/>
          <w:szCs w:val="24"/>
        </w:rPr>
        <w:t>shall have no obligation to provide the Student with regular or special education services, an IEP, or an IEP Team meeting unless and until he is discharged f</w:t>
      </w:r>
      <w:r w:rsidR="00C84DE4">
        <w:rPr>
          <w:rFonts w:ascii="Arial" w:eastAsia="Times New Roman" w:hAnsi="Arial" w:cs="Arial"/>
          <w:sz w:val="24"/>
          <w:szCs w:val="24"/>
        </w:rPr>
        <w:t xml:space="preserve">rom </w:t>
      </w:r>
      <w:r w:rsidR="00013F03">
        <w:rPr>
          <w:rFonts w:ascii="Arial" w:eastAsia="Times New Roman" w:hAnsi="Arial" w:cs="Arial"/>
          <w:sz w:val="24"/>
          <w:szCs w:val="24"/>
        </w:rPr>
        <w:t>New V</w:t>
      </w:r>
      <w:r w:rsidR="002C7C07" w:rsidRPr="002C7C07">
        <w:rPr>
          <w:rFonts w:ascii="Arial" w:eastAsia="Times New Roman" w:hAnsi="Arial" w:cs="Arial"/>
          <w:sz w:val="24"/>
          <w:szCs w:val="24"/>
        </w:rPr>
        <w:t>isions and returns to Massachusetts. In the event that the Student is discharged for any reason and does not return to Massachusetts…the District shall have no obligation to convene a Team meeting, conduct any evaluations, or provide any educational services or a placement unless and until he returns to Massachusetts and is made available to the District to educate and evaluate.”</w:t>
      </w:r>
      <w:r w:rsidR="0071446A" w:rsidRPr="002C7C07">
        <w:rPr>
          <w:rFonts w:ascii="Arial" w:eastAsia="Times New Roman" w:hAnsi="Arial" w:cs="Arial"/>
          <w:sz w:val="24"/>
          <w:szCs w:val="24"/>
        </w:rPr>
        <w:t xml:space="preserve"> </w:t>
      </w:r>
    </w:p>
    <w:p w:rsidR="00A70F43" w:rsidRPr="00A70F43" w:rsidRDefault="00A70F43" w:rsidP="00A70F43">
      <w:pPr>
        <w:pStyle w:val="ListParagraph"/>
        <w:rPr>
          <w:rFonts w:ascii="Arial" w:eastAsia="Times New Roman" w:hAnsi="Arial" w:cs="Arial"/>
          <w:sz w:val="24"/>
          <w:szCs w:val="24"/>
        </w:rPr>
      </w:pPr>
    </w:p>
    <w:p w:rsidR="00A70F43" w:rsidRDefault="00A70F43" w:rsidP="00A70F4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During the settlement negotiations, the Parties also informally agreed that Chamberlain International (“Chamberlain”), a </w:t>
      </w:r>
      <w:r w:rsidR="00493A33">
        <w:rPr>
          <w:rFonts w:ascii="Arial" w:eastAsia="Times New Roman" w:hAnsi="Arial" w:cs="Arial"/>
          <w:sz w:val="24"/>
          <w:szCs w:val="24"/>
        </w:rPr>
        <w:t>DESE</w:t>
      </w:r>
      <w:r>
        <w:rPr>
          <w:rFonts w:ascii="Arial" w:eastAsia="Times New Roman" w:hAnsi="Arial" w:cs="Arial"/>
          <w:sz w:val="24"/>
          <w:szCs w:val="24"/>
        </w:rPr>
        <w:t xml:space="preserve">-approved </w:t>
      </w:r>
      <w:r w:rsidR="00493A33">
        <w:rPr>
          <w:rFonts w:ascii="Arial" w:eastAsia="Times New Roman" w:hAnsi="Arial" w:cs="Arial"/>
          <w:sz w:val="24"/>
          <w:szCs w:val="24"/>
        </w:rPr>
        <w:t xml:space="preserve">Massachusetts residential </w:t>
      </w:r>
      <w:r>
        <w:rPr>
          <w:rFonts w:ascii="Arial" w:eastAsia="Times New Roman" w:hAnsi="Arial" w:cs="Arial"/>
          <w:sz w:val="24"/>
          <w:szCs w:val="24"/>
        </w:rPr>
        <w:t xml:space="preserve">school, would be appropriate for </w:t>
      </w:r>
      <w:r w:rsidR="00493A33">
        <w:rPr>
          <w:rFonts w:ascii="Arial" w:eastAsia="Times New Roman" w:hAnsi="Arial" w:cs="Arial"/>
          <w:sz w:val="24"/>
          <w:szCs w:val="24"/>
        </w:rPr>
        <w:t>Student</w:t>
      </w:r>
      <w:r w:rsidR="00013F03">
        <w:rPr>
          <w:rFonts w:ascii="Arial" w:eastAsia="Times New Roman" w:hAnsi="Arial" w:cs="Arial"/>
          <w:sz w:val="24"/>
          <w:szCs w:val="24"/>
        </w:rPr>
        <w:t xml:space="preserve">.  </w:t>
      </w:r>
    </w:p>
    <w:p w:rsidR="00A70F43" w:rsidRPr="00A70F43" w:rsidRDefault="00A70F43" w:rsidP="00A70F43">
      <w:pPr>
        <w:pStyle w:val="ListParagraph"/>
        <w:rPr>
          <w:rFonts w:ascii="Arial" w:eastAsia="Times New Roman" w:hAnsi="Arial" w:cs="Arial"/>
          <w:sz w:val="24"/>
          <w:szCs w:val="24"/>
        </w:rPr>
      </w:pPr>
    </w:p>
    <w:p w:rsidR="00A70F43" w:rsidRDefault="00A70F43" w:rsidP="00A70F4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On May 26, 2015, Parent applied to Chamberlain. On June 5, 2015, Parent visited Chamberlain. </w:t>
      </w:r>
      <w:r w:rsidR="00CA2AC8">
        <w:rPr>
          <w:rFonts w:ascii="Arial" w:eastAsia="Times New Roman" w:hAnsi="Arial" w:cs="Arial"/>
          <w:sz w:val="24"/>
          <w:szCs w:val="24"/>
        </w:rPr>
        <w:t xml:space="preserve">Shortly thereafter, Chamberlain </w:t>
      </w:r>
      <w:r>
        <w:rPr>
          <w:rFonts w:ascii="Arial" w:eastAsia="Times New Roman" w:hAnsi="Arial" w:cs="Arial"/>
          <w:sz w:val="24"/>
          <w:szCs w:val="24"/>
        </w:rPr>
        <w:t xml:space="preserve">rejected </w:t>
      </w:r>
      <w:r w:rsidR="00CA2AC8">
        <w:rPr>
          <w:rFonts w:ascii="Arial" w:eastAsia="Times New Roman" w:hAnsi="Arial" w:cs="Arial"/>
          <w:sz w:val="24"/>
          <w:szCs w:val="24"/>
        </w:rPr>
        <w:t xml:space="preserve">Student’s application </w:t>
      </w:r>
      <w:r w:rsidR="00493A33">
        <w:rPr>
          <w:rFonts w:ascii="Arial" w:eastAsia="Times New Roman" w:hAnsi="Arial" w:cs="Arial"/>
          <w:sz w:val="24"/>
          <w:szCs w:val="24"/>
        </w:rPr>
        <w:t xml:space="preserve">because in a recent departure from its past practice, </w:t>
      </w:r>
      <w:r w:rsidR="002C7C07">
        <w:rPr>
          <w:rFonts w:ascii="Arial" w:eastAsia="Times New Roman" w:hAnsi="Arial" w:cs="Arial"/>
          <w:sz w:val="24"/>
          <w:szCs w:val="24"/>
        </w:rPr>
        <w:t xml:space="preserve">Chamberlain </w:t>
      </w:r>
      <w:r w:rsidR="00493A33">
        <w:rPr>
          <w:rFonts w:ascii="Arial" w:eastAsia="Times New Roman" w:hAnsi="Arial" w:cs="Arial"/>
          <w:sz w:val="24"/>
          <w:szCs w:val="24"/>
        </w:rPr>
        <w:t>had stopped accepting</w:t>
      </w:r>
      <w:r w:rsidR="002C7C07">
        <w:rPr>
          <w:rFonts w:ascii="Arial" w:eastAsia="Times New Roman" w:hAnsi="Arial" w:cs="Arial"/>
          <w:sz w:val="24"/>
          <w:szCs w:val="24"/>
        </w:rPr>
        <w:t xml:space="preserve"> studen</w:t>
      </w:r>
      <w:r w:rsidR="00493A33">
        <w:rPr>
          <w:rFonts w:ascii="Arial" w:eastAsia="Times New Roman" w:hAnsi="Arial" w:cs="Arial"/>
          <w:sz w:val="24"/>
          <w:szCs w:val="24"/>
        </w:rPr>
        <w:t>ts with substance use disorders</w:t>
      </w:r>
      <w:r w:rsidR="002C7C07">
        <w:rPr>
          <w:rFonts w:ascii="Arial" w:eastAsia="Times New Roman" w:hAnsi="Arial" w:cs="Arial"/>
          <w:sz w:val="24"/>
          <w:szCs w:val="24"/>
        </w:rPr>
        <w:t>.</w:t>
      </w:r>
      <w:r w:rsidR="00CA2AC8">
        <w:rPr>
          <w:rFonts w:ascii="Arial" w:eastAsia="Times New Roman" w:hAnsi="Arial" w:cs="Arial"/>
          <w:sz w:val="24"/>
          <w:szCs w:val="24"/>
        </w:rPr>
        <w:t xml:space="preserve">  Neither </w:t>
      </w:r>
      <w:r w:rsidR="00882054">
        <w:rPr>
          <w:rFonts w:ascii="Arial" w:eastAsia="Times New Roman" w:hAnsi="Arial" w:cs="Arial"/>
          <w:sz w:val="24"/>
          <w:szCs w:val="24"/>
        </w:rPr>
        <w:t>P</w:t>
      </w:r>
      <w:r w:rsidR="00CA2AC8">
        <w:rPr>
          <w:rFonts w:ascii="Arial" w:eastAsia="Times New Roman" w:hAnsi="Arial" w:cs="Arial"/>
          <w:sz w:val="24"/>
          <w:szCs w:val="24"/>
        </w:rPr>
        <w:t xml:space="preserve">arty </w:t>
      </w:r>
      <w:r w:rsidR="00CA2AC8">
        <w:rPr>
          <w:rFonts w:ascii="Arial" w:eastAsia="Times New Roman" w:hAnsi="Arial" w:cs="Arial"/>
          <w:sz w:val="24"/>
          <w:szCs w:val="24"/>
        </w:rPr>
        <w:lastRenderedPageBreak/>
        <w:t xml:space="preserve">had known about or expected Chamberlain’s change in admissions policy until the rejection.   </w:t>
      </w:r>
    </w:p>
    <w:p w:rsidR="00A70F43" w:rsidRPr="00A70F43" w:rsidRDefault="00A70F43" w:rsidP="00A70F43">
      <w:pPr>
        <w:pStyle w:val="ListParagraph"/>
        <w:rPr>
          <w:rFonts w:ascii="Arial" w:eastAsia="Times New Roman" w:hAnsi="Arial" w:cs="Arial"/>
          <w:sz w:val="24"/>
          <w:szCs w:val="24"/>
        </w:rPr>
      </w:pPr>
    </w:p>
    <w:p w:rsidR="00A70F43" w:rsidRDefault="00A70F43" w:rsidP="00A70F4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Student remained at New Vision while the </w:t>
      </w:r>
      <w:r w:rsidR="00882054">
        <w:rPr>
          <w:rFonts w:ascii="Arial" w:eastAsia="Times New Roman" w:hAnsi="Arial" w:cs="Arial"/>
          <w:sz w:val="24"/>
          <w:szCs w:val="24"/>
        </w:rPr>
        <w:t>P</w:t>
      </w:r>
      <w:r>
        <w:rPr>
          <w:rFonts w:ascii="Arial" w:eastAsia="Times New Roman" w:hAnsi="Arial" w:cs="Arial"/>
          <w:sz w:val="24"/>
          <w:szCs w:val="24"/>
        </w:rPr>
        <w:t>arties attempted to find an alternative state-appro</w:t>
      </w:r>
      <w:r w:rsidR="00493A33">
        <w:rPr>
          <w:rFonts w:ascii="Arial" w:eastAsia="Times New Roman" w:hAnsi="Arial" w:cs="Arial"/>
          <w:sz w:val="24"/>
          <w:szCs w:val="24"/>
        </w:rPr>
        <w:t>ved school to accept Student</w:t>
      </w:r>
      <w:r>
        <w:rPr>
          <w:rFonts w:ascii="Arial" w:eastAsia="Times New Roman" w:hAnsi="Arial" w:cs="Arial"/>
          <w:sz w:val="24"/>
          <w:szCs w:val="24"/>
        </w:rPr>
        <w:t xml:space="preserve">. The District alleges </w:t>
      </w:r>
      <w:r w:rsidR="002C7C07">
        <w:rPr>
          <w:rFonts w:ascii="Arial" w:eastAsia="Times New Roman" w:hAnsi="Arial" w:cs="Arial"/>
          <w:sz w:val="24"/>
          <w:szCs w:val="24"/>
        </w:rPr>
        <w:t>it</w:t>
      </w:r>
      <w:r>
        <w:rPr>
          <w:rFonts w:ascii="Arial" w:eastAsia="Times New Roman" w:hAnsi="Arial" w:cs="Arial"/>
          <w:sz w:val="24"/>
          <w:szCs w:val="24"/>
        </w:rPr>
        <w:t xml:space="preserve"> explored two potentially appropriate </w:t>
      </w:r>
      <w:r w:rsidR="00493A33">
        <w:rPr>
          <w:rFonts w:ascii="Arial" w:eastAsia="Times New Roman" w:hAnsi="Arial" w:cs="Arial"/>
          <w:sz w:val="24"/>
          <w:szCs w:val="24"/>
        </w:rPr>
        <w:t xml:space="preserve">DESE-approved </w:t>
      </w:r>
      <w:r>
        <w:rPr>
          <w:rFonts w:ascii="Arial" w:eastAsia="Times New Roman" w:hAnsi="Arial" w:cs="Arial"/>
          <w:sz w:val="24"/>
          <w:szCs w:val="24"/>
        </w:rPr>
        <w:t>options,</w:t>
      </w:r>
      <w:r w:rsidR="00493A33">
        <w:rPr>
          <w:rFonts w:ascii="Arial" w:eastAsia="Times New Roman" w:hAnsi="Arial" w:cs="Arial"/>
          <w:sz w:val="24"/>
          <w:szCs w:val="24"/>
        </w:rPr>
        <w:t xml:space="preserve"> </w:t>
      </w:r>
      <w:proofErr w:type="spellStart"/>
      <w:r w:rsidR="00493A33">
        <w:rPr>
          <w:rFonts w:ascii="Arial" w:eastAsia="Times New Roman" w:hAnsi="Arial" w:cs="Arial"/>
          <w:sz w:val="24"/>
          <w:szCs w:val="24"/>
        </w:rPr>
        <w:t>Devereaux</w:t>
      </w:r>
      <w:proofErr w:type="spellEnd"/>
      <w:r w:rsidR="00493A33">
        <w:rPr>
          <w:rFonts w:ascii="Arial" w:eastAsia="Times New Roman" w:hAnsi="Arial" w:cs="Arial"/>
          <w:sz w:val="24"/>
          <w:szCs w:val="24"/>
        </w:rPr>
        <w:t xml:space="preserve"> and Wayside Academy.  </w:t>
      </w:r>
      <w:r w:rsidR="002C7C07">
        <w:rPr>
          <w:rFonts w:ascii="Arial" w:eastAsia="Times New Roman" w:hAnsi="Arial" w:cs="Arial"/>
          <w:sz w:val="24"/>
          <w:szCs w:val="24"/>
        </w:rPr>
        <w:t>Parent</w:t>
      </w:r>
      <w:r w:rsidR="00493A33">
        <w:rPr>
          <w:rFonts w:ascii="Arial" w:eastAsia="Times New Roman" w:hAnsi="Arial" w:cs="Arial"/>
          <w:sz w:val="24"/>
          <w:szCs w:val="24"/>
        </w:rPr>
        <w:t>s</w:t>
      </w:r>
      <w:r w:rsidR="002C7C07">
        <w:rPr>
          <w:rFonts w:ascii="Arial" w:eastAsia="Times New Roman" w:hAnsi="Arial" w:cs="Arial"/>
          <w:sz w:val="24"/>
          <w:szCs w:val="24"/>
        </w:rPr>
        <w:t xml:space="preserve"> allege </w:t>
      </w:r>
      <w:r w:rsidR="00493A33">
        <w:rPr>
          <w:rFonts w:ascii="Arial" w:eastAsia="Times New Roman" w:hAnsi="Arial" w:cs="Arial"/>
          <w:sz w:val="24"/>
          <w:szCs w:val="24"/>
        </w:rPr>
        <w:t>that Milford</w:t>
      </w:r>
      <w:r w:rsidR="002C7C07">
        <w:rPr>
          <w:rFonts w:ascii="Arial" w:eastAsia="Times New Roman" w:hAnsi="Arial" w:cs="Arial"/>
          <w:sz w:val="24"/>
          <w:szCs w:val="24"/>
        </w:rPr>
        <w:t xml:space="preserve"> did not communicate these referrals to them</w:t>
      </w:r>
      <w:r w:rsidR="00013F03">
        <w:rPr>
          <w:rFonts w:ascii="Arial" w:eastAsia="Times New Roman" w:hAnsi="Arial" w:cs="Arial"/>
          <w:sz w:val="24"/>
          <w:szCs w:val="24"/>
        </w:rPr>
        <w:t xml:space="preserve">.  Parents further allege that </w:t>
      </w:r>
      <w:r w:rsidR="002C7C07">
        <w:rPr>
          <w:rFonts w:ascii="Arial" w:eastAsia="Times New Roman" w:hAnsi="Arial" w:cs="Arial"/>
          <w:sz w:val="24"/>
          <w:szCs w:val="24"/>
        </w:rPr>
        <w:t xml:space="preserve">no state-approved school would accept </w:t>
      </w:r>
      <w:r w:rsidR="00882054">
        <w:rPr>
          <w:rFonts w:ascii="Arial" w:eastAsia="Times New Roman" w:hAnsi="Arial" w:cs="Arial"/>
          <w:sz w:val="24"/>
          <w:szCs w:val="24"/>
        </w:rPr>
        <w:t>Student</w:t>
      </w:r>
      <w:r w:rsidR="00013F03">
        <w:rPr>
          <w:rFonts w:ascii="Arial" w:eastAsia="Times New Roman" w:hAnsi="Arial" w:cs="Arial"/>
          <w:sz w:val="24"/>
          <w:szCs w:val="24"/>
        </w:rPr>
        <w:t xml:space="preserve"> because of his relatively recent formal diagnosis of TBI.</w:t>
      </w:r>
      <w:r w:rsidR="00013F03">
        <w:rPr>
          <w:rStyle w:val="FootnoteReference"/>
          <w:rFonts w:ascii="Arial" w:eastAsia="Times New Roman" w:hAnsi="Arial" w:cs="Arial"/>
          <w:sz w:val="24"/>
          <w:szCs w:val="24"/>
        </w:rPr>
        <w:footnoteReference w:id="2"/>
      </w:r>
      <w:r w:rsidR="002C7C07">
        <w:rPr>
          <w:rFonts w:ascii="Arial" w:eastAsia="Times New Roman" w:hAnsi="Arial" w:cs="Arial"/>
          <w:sz w:val="24"/>
          <w:szCs w:val="24"/>
        </w:rPr>
        <w:t xml:space="preserve"> </w:t>
      </w:r>
    </w:p>
    <w:p w:rsidR="002C7C07" w:rsidRPr="002C7C07" w:rsidRDefault="002C7C07" w:rsidP="002C7C07">
      <w:pPr>
        <w:pStyle w:val="ListParagraph"/>
        <w:rPr>
          <w:rFonts w:ascii="Arial" w:eastAsia="Times New Roman" w:hAnsi="Arial" w:cs="Arial"/>
          <w:sz w:val="24"/>
          <w:szCs w:val="24"/>
        </w:rPr>
      </w:pPr>
    </w:p>
    <w:p w:rsidR="00842AE6" w:rsidRDefault="00842AE6" w:rsidP="00842AE6">
      <w:pPr>
        <w:pStyle w:val="ListParagraph"/>
        <w:numPr>
          <w:ilvl w:val="0"/>
          <w:numId w:val="5"/>
        </w:numPr>
        <w:spacing w:after="0" w:line="240" w:lineRule="auto"/>
        <w:rPr>
          <w:rFonts w:ascii="Arial" w:eastAsia="Times New Roman" w:hAnsi="Arial" w:cs="Arial"/>
          <w:sz w:val="24"/>
          <w:szCs w:val="24"/>
        </w:rPr>
      </w:pPr>
      <w:r w:rsidRPr="00882054">
        <w:rPr>
          <w:rFonts w:ascii="Arial" w:eastAsia="Times New Roman" w:hAnsi="Arial" w:cs="Arial"/>
          <w:sz w:val="24"/>
          <w:szCs w:val="24"/>
        </w:rPr>
        <w:t>On July 1, 2015 the Parent</w:t>
      </w:r>
      <w:r w:rsidR="00882054" w:rsidRPr="00882054">
        <w:rPr>
          <w:rFonts w:ascii="Arial" w:eastAsia="Times New Roman" w:hAnsi="Arial" w:cs="Arial"/>
          <w:sz w:val="24"/>
          <w:szCs w:val="24"/>
        </w:rPr>
        <w:t>s</w:t>
      </w:r>
      <w:r w:rsidRPr="00882054">
        <w:rPr>
          <w:rFonts w:ascii="Arial" w:eastAsia="Times New Roman" w:hAnsi="Arial" w:cs="Arial"/>
          <w:sz w:val="24"/>
          <w:szCs w:val="24"/>
        </w:rPr>
        <w:t xml:space="preserve"> requested an emergency Team meeting with Milford. Parent</w:t>
      </w:r>
      <w:r w:rsidR="00882054" w:rsidRPr="00882054">
        <w:rPr>
          <w:rFonts w:ascii="Arial" w:eastAsia="Times New Roman" w:hAnsi="Arial" w:cs="Arial"/>
          <w:sz w:val="24"/>
          <w:szCs w:val="24"/>
        </w:rPr>
        <w:t>s</w:t>
      </w:r>
      <w:r w:rsidRPr="00882054">
        <w:rPr>
          <w:rFonts w:ascii="Arial" w:eastAsia="Times New Roman" w:hAnsi="Arial" w:cs="Arial"/>
          <w:sz w:val="24"/>
          <w:szCs w:val="24"/>
        </w:rPr>
        <w:t xml:space="preserve"> </w:t>
      </w:r>
      <w:r w:rsidR="00882054" w:rsidRPr="00882054">
        <w:rPr>
          <w:rFonts w:ascii="Arial" w:eastAsia="Times New Roman" w:hAnsi="Arial" w:cs="Arial"/>
          <w:sz w:val="24"/>
          <w:szCs w:val="24"/>
        </w:rPr>
        <w:t xml:space="preserve">allege that the </w:t>
      </w:r>
      <w:r w:rsidRPr="00882054">
        <w:rPr>
          <w:rFonts w:ascii="Arial" w:eastAsia="Times New Roman" w:hAnsi="Arial" w:cs="Arial"/>
          <w:sz w:val="24"/>
          <w:szCs w:val="24"/>
        </w:rPr>
        <w:t>District did not respond. Parent</w:t>
      </w:r>
      <w:r w:rsidR="00882054" w:rsidRPr="00882054">
        <w:rPr>
          <w:rFonts w:ascii="Arial" w:eastAsia="Times New Roman" w:hAnsi="Arial" w:cs="Arial"/>
          <w:sz w:val="24"/>
          <w:szCs w:val="24"/>
        </w:rPr>
        <w:t>s</w:t>
      </w:r>
      <w:r w:rsidRPr="00882054">
        <w:rPr>
          <w:rFonts w:ascii="Arial" w:eastAsia="Times New Roman" w:hAnsi="Arial" w:cs="Arial"/>
          <w:sz w:val="24"/>
          <w:szCs w:val="24"/>
        </w:rPr>
        <w:t xml:space="preserve"> also allege that </w:t>
      </w:r>
      <w:r w:rsidR="00882054" w:rsidRPr="00882054">
        <w:rPr>
          <w:rFonts w:ascii="Arial" w:eastAsia="Times New Roman" w:hAnsi="Arial" w:cs="Arial"/>
          <w:sz w:val="24"/>
          <w:szCs w:val="24"/>
        </w:rPr>
        <w:t xml:space="preserve">given Student’s current needs, </w:t>
      </w:r>
      <w:r w:rsidRPr="00882054">
        <w:rPr>
          <w:rFonts w:ascii="Arial" w:eastAsia="Times New Roman" w:hAnsi="Arial" w:cs="Arial"/>
          <w:sz w:val="24"/>
          <w:szCs w:val="24"/>
        </w:rPr>
        <w:t xml:space="preserve">returning </w:t>
      </w:r>
      <w:r w:rsidR="00882054" w:rsidRPr="00882054">
        <w:rPr>
          <w:rFonts w:ascii="Arial" w:eastAsia="Times New Roman" w:hAnsi="Arial" w:cs="Arial"/>
          <w:sz w:val="24"/>
          <w:szCs w:val="24"/>
        </w:rPr>
        <w:t>him</w:t>
      </w:r>
      <w:r w:rsidRPr="00882054">
        <w:rPr>
          <w:rFonts w:ascii="Arial" w:eastAsia="Times New Roman" w:hAnsi="Arial" w:cs="Arial"/>
          <w:sz w:val="24"/>
          <w:szCs w:val="24"/>
        </w:rPr>
        <w:t xml:space="preserve"> to Massachusetts with</w:t>
      </w:r>
      <w:r w:rsidR="00882054" w:rsidRPr="00882054">
        <w:rPr>
          <w:rFonts w:ascii="Arial" w:eastAsia="Times New Roman" w:hAnsi="Arial" w:cs="Arial"/>
          <w:sz w:val="24"/>
          <w:szCs w:val="24"/>
        </w:rPr>
        <w:t xml:space="preserve">out a </w:t>
      </w:r>
      <w:r w:rsidRPr="00882054">
        <w:rPr>
          <w:rFonts w:ascii="Arial" w:eastAsia="Times New Roman" w:hAnsi="Arial" w:cs="Arial"/>
          <w:sz w:val="24"/>
          <w:szCs w:val="24"/>
        </w:rPr>
        <w:t xml:space="preserve">therapeutic program </w:t>
      </w:r>
      <w:r w:rsidR="00882054" w:rsidRPr="00882054">
        <w:rPr>
          <w:rFonts w:ascii="Arial" w:eastAsia="Times New Roman" w:hAnsi="Arial" w:cs="Arial"/>
          <w:sz w:val="24"/>
          <w:szCs w:val="24"/>
        </w:rPr>
        <w:t>already in place would be</w:t>
      </w:r>
      <w:r w:rsidRPr="00882054">
        <w:rPr>
          <w:rFonts w:ascii="Arial" w:eastAsia="Times New Roman" w:hAnsi="Arial" w:cs="Arial"/>
          <w:sz w:val="24"/>
          <w:szCs w:val="24"/>
        </w:rPr>
        <w:t xml:space="preserve"> inappropriate</w:t>
      </w:r>
      <w:r w:rsidR="00882054" w:rsidRPr="00882054">
        <w:rPr>
          <w:rFonts w:ascii="Arial" w:eastAsia="Times New Roman" w:hAnsi="Arial" w:cs="Arial"/>
          <w:sz w:val="24"/>
          <w:szCs w:val="24"/>
        </w:rPr>
        <w:t>.</w:t>
      </w:r>
      <w:r w:rsidRPr="00882054">
        <w:rPr>
          <w:rFonts w:ascii="Arial" w:eastAsia="Times New Roman" w:hAnsi="Arial" w:cs="Arial"/>
          <w:sz w:val="24"/>
          <w:szCs w:val="24"/>
        </w:rPr>
        <w:t xml:space="preserve"> </w:t>
      </w:r>
    </w:p>
    <w:p w:rsidR="00882054" w:rsidRPr="00882054" w:rsidRDefault="00882054" w:rsidP="00882054">
      <w:pPr>
        <w:spacing w:after="0" w:line="240" w:lineRule="auto"/>
        <w:rPr>
          <w:rFonts w:ascii="Arial" w:eastAsia="Times New Roman" w:hAnsi="Arial" w:cs="Arial"/>
          <w:sz w:val="24"/>
          <w:szCs w:val="24"/>
        </w:rPr>
      </w:pPr>
    </w:p>
    <w:p w:rsidR="002C7C07" w:rsidRDefault="00842AE6" w:rsidP="00A70F4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 xml:space="preserve">In </w:t>
      </w:r>
      <w:r w:rsidR="00882054">
        <w:rPr>
          <w:rFonts w:ascii="Arial" w:eastAsia="Times New Roman" w:hAnsi="Arial" w:cs="Arial"/>
          <w:sz w:val="24"/>
          <w:szCs w:val="24"/>
        </w:rPr>
        <w:t>July 2015, New Vision</w:t>
      </w:r>
      <w:r w:rsidR="00556364">
        <w:rPr>
          <w:rFonts w:ascii="Arial" w:eastAsia="Times New Roman" w:hAnsi="Arial" w:cs="Arial"/>
          <w:sz w:val="24"/>
          <w:szCs w:val="24"/>
        </w:rPr>
        <w:t xml:space="preserve"> discharged Student and </w:t>
      </w:r>
      <w:r w:rsidR="002C7C07">
        <w:rPr>
          <w:rFonts w:ascii="Arial" w:eastAsia="Times New Roman" w:hAnsi="Arial" w:cs="Arial"/>
          <w:sz w:val="24"/>
          <w:szCs w:val="24"/>
        </w:rPr>
        <w:t>P</w:t>
      </w:r>
      <w:r w:rsidR="00556364">
        <w:rPr>
          <w:rFonts w:ascii="Arial" w:eastAsia="Times New Roman" w:hAnsi="Arial" w:cs="Arial"/>
          <w:sz w:val="24"/>
          <w:szCs w:val="24"/>
        </w:rPr>
        <w:t xml:space="preserve">arents unilaterally enrolled </w:t>
      </w:r>
      <w:r w:rsidR="005417EB">
        <w:rPr>
          <w:rFonts w:ascii="Arial" w:eastAsia="Times New Roman" w:hAnsi="Arial" w:cs="Arial"/>
          <w:sz w:val="24"/>
          <w:szCs w:val="24"/>
        </w:rPr>
        <w:t>S</w:t>
      </w:r>
      <w:r w:rsidR="002C7C07">
        <w:rPr>
          <w:rFonts w:ascii="Arial" w:eastAsia="Times New Roman" w:hAnsi="Arial" w:cs="Arial"/>
          <w:sz w:val="24"/>
          <w:szCs w:val="24"/>
        </w:rPr>
        <w:t>tudent in Catalyst Residential Treatment Center in Utah</w:t>
      </w:r>
      <w:r w:rsidR="00556364">
        <w:rPr>
          <w:rFonts w:ascii="Arial" w:eastAsia="Times New Roman" w:hAnsi="Arial" w:cs="Arial"/>
          <w:sz w:val="24"/>
          <w:szCs w:val="24"/>
        </w:rPr>
        <w:t xml:space="preserve"> (</w:t>
      </w:r>
      <w:r>
        <w:rPr>
          <w:rFonts w:ascii="Arial" w:eastAsia="Times New Roman" w:hAnsi="Arial" w:cs="Arial"/>
          <w:sz w:val="24"/>
          <w:szCs w:val="24"/>
        </w:rPr>
        <w:t>Catalyst)</w:t>
      </w:r>
      <w:r w:rsidR="002C7C07">
        <w:rPr>
          <w:rFonts w:ascii="Arial" w:eastAsia="Times New Roman" w:hAnsi="Arial" w:cs="Arial"/>
          <w:sz w:val="24"/>
          <w:szCs w:val="24"/>
        </w:rPr>
        <w:t xml:space="preserve">. </w:t>
      </w:r>
    </w:p>
    <w:p w:rsidR="00842AE6" w:rsidRPr="00842AE6" w:rsidRDefault="00842AE6" w:rsidP="00842AE6">
      <w:pPr>
        <w:pStyle w:val="ListParagraph"/>
        <w:rPr>
          <w:rFonts w:ascii="Arial" w:eastAsia="Times New Roman" w:hAnsi="Arial" w:cs="Arial"/>
          <w:sz w:val="24"/>
          <w:szCs w:val="24"/>
        </w:rPr>
      </w:pPr>
    </w:p>
    <w:p w:rsidR="00842AE6" w:rsidRPr="00A70F43" w:rsidRDefault="00842AE6" w:rsidP="00A70F43">
      <w:pPr>
        <w:pStyle w:val="ListParagraph"/>
        <w:numPr>
          <w:ilvl w:val="0"/>
          <w:numId w:val="5"/>
        </w:numPr>
        <w:spacing w:after="0" w:line="240" w:lineRule="auto"/>
        <w:rPr>
          <w:rFonts w:ascii="Arial" w:eastAsia="Times New Roman" w:hAnsi="Arial" w:cs="Arial"/>
          <w:sz w:val="24"/>
          <w:szCs w:val="24"/>
        </w:rPr>
      </w:pPr>
      <w:r>
        <w:rPr>
          <w:rFonts w:ascii="Arial" w:eastAsia="Times New Roman" w:hAnsi="Arial" w:cs="Arial"/>
          <w:sz w:val="24"/>
          <w:szCs w:val="24"/>
        </w:rPr>
        <w:t>Parent</w:t>
      </w:r>
      <w:r w:rsidR="00882054">
        <w:rPr>
          <w:rFonts w:ascii="Arial" w:eastAsia="Times New Roman" w:hAnsi="Arial" w:cs="Arial"/>
          <w:sz w:val="24"/>
          <w:szCs w:val="24"/>
        </w:rPr>
        <w:t>s</w:t>
      </w:r>
      <w:r>
        <w:rPr>
          <w:rFonts w:ascii="Arial" w:eastAsia="Times New Roman" w:hAnsi="Arial" w:cs="Arial"/>
          <w:sz w:val="24"/>
          <w:szCs w:val="24"/>
        </w:rPr>
        <w:t xml:space="preserve"> requested an Addendum to the Settlement Agreement to provide reimbursement </w:t>
      </w:r>
      <w:r w:rsidR="00BB1306">
        <w:rPr>
          <w:rFonts w:ascii="Arial" w:eastAsia="Times New Roman" w:hAnsi="Arial" w:cs="Arial"/>
          <w:sz w:val="24"/>
          <w:szCs w:val="24"/>
        </w:rPr>
        <w:t>for</w:t>
      </w:r>
      <w:r>
        <w:rPr>
          <w:rFonts w:ascii="Arial" w:eastAsia="Times New Roman" w:hAnsi="Arial" w:cs="Arial"/>
          <w:sz w:val="24"/>
          <w:szCs w:val="24"/>
        </w:rPr>
        <w:t xml:space="preserve"> placement at Catalyst. On August 4, 2015, the District refused </w:t>
      </w:r>
      <w:r w:rsidR="00556364">
        <w:rPr>
          <w:rFonts w:ascii="Arial" w:eastAsia="Times New Roman" w:hAnsi="Arial" w:cs="Arial"/>
          <w:sz w:val="24"/>
          <w:szCs w:val="24"/>
        </w:rPr>
        <w:t xml:space="preserve">this request in </w:t>
      </w:r>
      <w:r>
        <w:rPr>
          <w:rFonts w:ascii="Arial" w:eastAsia="Times New Roman" w:hAnsi="Arial" w:cs="Arial"/>
          <w:sz w:val="24"/>
          <w:szCs w:val="24"/>
        </w:rPr>
        <w:t xml:space="preserve">writing.  </w:t>
      </w:r>
    </w:p>
    <w:p w:rsidR="0046104E" w:rsidRDefault="0046104E" w:rsidP="00A70F43">
      <w:pPr>
        <w:spacing w:after="0" w:line="240" w:lineRule="auto"/>
        <w:rPr>
          <w:rFonts w:ascii="Arial" w:eastAsia="Times New Roman" w:hAnsi="Arial" w:cs="Arial"/>
          <w:sz w:val="24"/>
          <w:szCs w:val="24"/>
        </w:rPr>
      </w:pPr>
    </w:p>
    <w:p w:rsidR="005417EB" w:rsidRPr="008A2828" w:rsidRDefault="005417EB" w:rsidP="00A70F43">
      <w:pPr>
        <w:spacing w:after="0" w:line="240" w:lineRule="auto"/>
        <w:rPr>
          <w:rFonts w:ascii="Arial" w:eastAsia="Times New Roman" w:hAnsi="Arial" w:cs="Arial"/>
          <w:sz w:val="24"/>
          <w:szCs w:val="24"/>
        </w:rPr>
      </w:pPr>
    </w:p>
    <w:p w:rsidR="00E80350" w:rsidRDefault="00E80350" w:rsidP="00E80350">
      <w:pPr>
        <w:spacing w:after="0" w:line="240" w:lineRule="auto"/>
        <w:ind w:firstLine="720"/>
        <w:jc w:val="center"/>
        <w:rPr>
          <w:rFonts w:ascii="Arial" w:eastAsia="Times New Roman" w:hAnsi="Arial" w:cs="Arial"/>
          <w:b/>
          <w:sz w:val="24"/>
          <w:szCs w:val="24"/>
          <w:u w:val="single"/>
        </w:rPr>
      </w:pPr>
      <w:r w:rsidRPr="00E80350">
        <w:rPr>
          <w:rFonts w:ascii="Arial" w:eastAsia="Times New Roman" w:hAnsi="Arial" w:cs="Arial"/>
          <w:b/>
          <w:sz w:val="24"/>
          <w:szCs w:val="24"/>
          <w:u w:val="single"/>
        </w:rPr>
        <w:t>ISSUE PRESENTED</w:t>
      </w:r>
    </w:p>
    <w:p w:rsidR="00E80350" w:rsidRDefault="00E80350" w:rsidP="00E80350">
      <w:pPr>
        <w:spacing w:after="0" w:line="240" w:lineRule="auto"/>
        <w:ind w:firstLine="720"/>
        <w:jc w:val="center"/>
        <w:rPr>
          <w:rFonts w:ascii="Arial" w:eastAsia="Times New Roman" w:hAnsi="Arial" w:cs="Arial"/>
          <w:b/>
          <w:sz w:val="24"/>
          <w:szCs w:val="24"/>
          <w:u w:val="single"/>
        </w:rPr>
      </w:pPr>
    </w:p>
    <w:p w:rsidR="003C6F17" w:rsidRPr="009D3DAC" w:rsidRDefault="00BB1306" w:rsidP="009D3DAC">
      <w:pPr>
        <w:spacing w:after="0" w:line="240" w:lineRule="auto"/>
        <w:ind w:firstLine="360"/>
        <w:rPr>
          <w:rFonts w:ascii="Arial" w:eastAsia="Times New Roman" w:hAnsi="Arial" w:cs="Arial"/>
          <w:sz w:val="24"/>
          <w:szCs w:val="24"/>
        </w:rPr>
      </w:pPr>
      <w:r>
        <w:rPr>
          <w:rFonts w:ascii="Arial" w:eastAsia="Times New Roman" w:hAnsi="Arial" w:cs="Arial"/>
          <w:sz w:val="24"/>
          <w:szCs w:val="24"/>
        </w:rPr>
        <w:t>At issue is w</w:t>
      </w:r>
      <w:r w:rsidR="003C6F17" w:rsidRPr="009D3DAC">
        <w:rPr>
          <w:rFonts w:ascii="Arial" w:eastAsia="Times New Roman" w:hAnsi="Arial" w:cs="Arial"/>
          <w:sz w:val="24"/>
          <w:szCs w:val="24"/>
        </w:rPr>
        <w:t xml:space="preserve">hether </w:t>
      </w:r>
      <w:r>
        <w:rPr>
          <w:rFonts w:ascii="Arial" w:eastAsia="Times New Roman" w:hAnsi="Arial" w:cs="Arial"/>
          <w:sz w:val="24"/>
          <w:szCs w:val="24"/>
        </w:rPr>
        <w:t>Parents have failed to state a claim for which relief may be granted on the basis that</w:t>
      </w:r>
      <w:r w:rsidR="003C6F17" w:rsidRPr="009D3DAC">
        <w:rPr>
          <w:rFonts w:ascii="Arial" w:eastAsia="Times New Roman" w:hAnsi="Arial" w:cs="Arial"/>
          <w:sz w:val="24"/>
          <w:szCs w:val="24"/>
        </w:rPr>
        <w:t xml:space="preserve"> BSEA </w:t>
      </w:r>
      <w:r>
        <w:rPr>
          <w:rFonts w:ascii="Arial" w:eastAsia="Times New Roman" w:hAnsi="Arial" w:cs="Arial"/>
          <w:sz w:val="24"/>
          <w:szCs w:val="24"/>
        </w:rPr>
        <w:t>lacks jurisdiction or</w:t>
      </w:r>
      <w:r w:rsidR="003C6F17" w:rsidRPr="009D3DAC">
        <w:rPr>
          <w:rFonts w:ascii="Arial" w:eastAsia="Times New Roman" w:hAnsi="Arial" w:cs="Arial"/>
          <w:sz w:val="24"/>
          <w:szCs w:val="24"/>
        </w:rPr>
        <w:t xml:space="preserve"> authority to order the alter</w:t>
      </w:r>
      <w:r w:rsidR="00842AE6">
        <w:rPr>
          <w:rFonts w:ascii="Arial" w:eastAsia="Times New Roman" w:hAnsi="Arial" w:cs="Arial"/>
          <w:sz w:val="24"/>
          <w:szCs w:val="24"/>
        </w:rPr>
        <w:t>ation</w:t>
      </w:r>
      <w:r>
        <w:rPr>
          <w:rFonts w:ascii="Arial" w:eastAsia="Times New Roman" w:hAnsi="Arial" w:cs="Arial"/>
          <w:sz w:val="24"/>
          <w:szCs w:val="24"/>
        </w:rPr>
        <w:t xml:space="preserve"> of a fully executed, but not-yet implemented, </w:t>
      </w:r>
      <w:r w:rsidR="003C6F17" w:rsidRPr="009D3DAC">
        <w:rPr>
          <w:rFonts w:ascii="Arial" w:eastAsia="Times New Roman" w:hAnsi="Arial" w:cs="Arial"/>
          <w:sz w:val="24"/>
          <w:szCs w:val="24"/>
        </w:rPr>
        <w:t xml:space="preserve">settlement agreement to create new or additional obligations </w:t>
      </w:r>
      <w:r w:rsidR="00882054">
        <w:rPr>
          <w:rFonts w:ascii="Arial" w:eastAsia="Times New Roman" w:hAnsi="Arial" w:cs="Arial"/>
          <w:sz w:val="24"/>
          <w:szCs w:val="24"/>
        </w:rPr>
        <w:t>for the P</w:t>
      </w:r>
      <w:r w:rsidR="00925C70">
        <w:rPr>
          <w:rFonts w:ascii="Arial" w:eastAsia="Times New Roman" w:hAnsi="Arial" w:cs="Arial"/>
          <w:sz w:val="24"/>
          <w:szCs w:val="24"/>
        </w:rPr>
        <w:t xml:space="preserve">arties </w:t>
      </w:r>
      <w:r w:rsidR="003C6F17" w:rsidRPr="009D3DAC">
        <w:rPr>
          <w:rFonts w:ascii="Arial" w:eastAsia="Times New Roman" w:hAnsi="Arial" w:cs="Arial"/>
          <w:sz w:val="24"/>
          <w:szCs w:val="24"/>
        </w:rPr>
        <w:t>based on a change in circumstance</w:t>
      </w:r>
      <w:r>
        <w:rPr>
          <w:rFonts w:ascii="Arial" w:eastAsia="Times New Roman" w:hAnsi="Arial" w:cs="Arial"/>
          <w:sz w:val="24"/>
          <w:szCs w:val="24"/>
        </w:rPr>
        <w:t>s.</w:t>
      </w:r>
      <w:r w:rsidR="003C6F17" w:rsidRPr="009D3DAC">
        <w:rPr>
          <w:rFonts w:ascii="Arial" w:eastAsia="Times New Roman" w:hAnsi="Arial" w:cs="Arial"/>
          <w:sz w:val="24"/>
          <w:szCs w:val="24"/>
        </w:rPr>
        <w:t xml:space="preserve"> </w:t>
      </w:r>
    </w:p>
    <w:p w:rsidR="003C6F17" w:rsidRDefault="003C6F17" w:rsidP="00E80350">
      <w:pPr>
        <w:spacing w:after="0" w:line="240" w:lineRule="auto"/>
        <w:ind w:firstLine="720"/>
        <w:jc w:val="center"/>
        <w:rPr>
          <w:rFonts w:ascii="Arial" w:eastAsia="Times New Roman" w:hAnsi="Arial" w:cs="Arial"/>
          <w:b/>
          <w:sz w:val="24"/>
          <w:szCs w:val="24"/>
          <w:u w:val="single"/>
        </w:rPr>
      </w:pP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Position</w:t>
      </w:r>
      <w:r w:rsidR="00556364">
        <w:rPr>
          <w:rFonts w:ascii="Arial" w:eastAsia="Times New Roman" w:hAnsi="Arial" w:cs="Arial"/>
          <w:b/>
          <w:sz w:val="24"/>
          <w:szCs w:val="24"/>
          <w:u w:val="single"/>
        </w:rPr>
        <w:t xml:space="preserve"> of </w:t>
      </w:r>
      <w:r w:rsidR="00BB1306">
        <w:rPr>
          <w:rFonts w:ascii="Arial" w:eastAsia="Times New Roman" w:hAnsi="Arial" w:cs="Arial"/>
          <w:b/>
          <w:sz w:val="24"/>
          <w:szCs w:val="24"/>
          <w:u w:val="single"/>
        </w:rPr>
        <w:t>Milford Public Schools</w:t>
      </w:r>
    </w:p>
    <w:p w:rsidR="00E80350" w:rsidRDefault="00E80350" w:rsidP="00E80350">
      <w:pPr>
        <w:spacing w:after="0" w:line="240" w:lineRule="auto"/>
        <w:ind w:firstLine="720"/>
        <w:jc w:val="center"/>
        <w:rPr>
          <w:rFonts w:ascii="Arial" w:eastAsia="Times New Roman" w:hAnsi="Arial" w:cs="Arial"/>
          <w:b/>
          <w:sz w:val="24"/>
          <w:szCs w:val="24"/>
          <w:u w:val="single"/>
        </w:rPr>
      </w:pPr>
    </w:p>
    <w:p w:rsidR="00E80350" w:rsidRDefault="00BB1306" w:rsidP="00E80350">
      <w:pPr>
        <w:spacing w:after="0" w:line="240" w:lineRule="auto"/>
        <w:ind w:firstLine="720"/>
        <w:rPr>
          <w:rFonts w:ascii="Arial" w:eastAsia="Times New Roman" w:hAnsi="Arial" w:cs="Arial"/>
          <w:sz w:val="24"/>
          <w:szCs w:val="24"/>
        </w:rPr>
      </w:pPr>
      <w:r>
        <w:rPr>
          <w:rFonts w:ascii="Arial" w:eastAsia="Times New Roman" w:hAnsi="Arial" w:cs="Arial"/>
          <w:sz w:val="24"/>
          <w:szCs w:val="24"/>
        </w:rPr>
        <w:t>Milford</w:t>
      </w:r>
      <w:r w:rsidR="00746FD9">
        <w:rPr>
          <w:rFonts w:ascii="Arial" w:eastAsia="Times New Roman" w:hAnsi="Arial" w:cs="Arial"/>
          <w:sz w:val="24"/>
          <w:szCs w:val="24"/>
        </w:rPr>
        <w:t xml:space="preserve"> asserts the</w:t>
      </w:r>
      <w:r w:rsidR="00E63F73">
        <w:rPr>
          <w:rFonts w:ascii="Arial" w:eastAsia="Times New Roman" w:hAnsi="Arial" w:cs="Arial"/>
          <w:sz w:val="24"/>
          <w:szCs w:val="24"/>
        </w:rPr>
        <w:t xml:space="preserve"> </w:t>
      </w:r>
      <w:r w:rsidR="00E80350">
        <w:rPr>
          <w:rFonts w:ascii="Arial" w:eastAsia="Times New Roman" w:hAnsi="Arial" w:cs="Arial"/>
          <w:sz w:val="24"/>
          <w:szCs w:val="24"/>
        </w:rPr>
        <w:t xml:space="preserve">BSEA </w:t>
      </w:r>
      <w:r>
        <w:rPr>
          <w:rFonts w:ascii="Arial" w:eastAsia="Times New Roman" w:hAnsi="Arial" w:cs="Arial"/>
          <w:sz w:val="24"/>
          <w:szCs w:val="24"/>
        </w:rPr>
        <w:t xml:space="preserve">lacks </w:t>
      </w:r>
      <w:r w:rsidR="00746FD9">
        <w:rPr>
          <w:rFonts w:ascii="Arial" w:eastAsia="Times New Roman" w:hAnsi="Arial" w:cs="Arial"/>
          <w:sz w:val="24"/>
          <w:szCs w:val="24"/>
        </w:rPr>
        <w:t>the</w:t>
      </w:r>
      <w:r w:rsidR="00E80350">
        <w:rPr>
          <w:rFonts w:ascii="Arial" w:eastAsia="Times New Roman" w:hAnsi="Arial" w:cs="Arial"/>
          <w:sz w:val="24"/>
          <w:szCs w:val="24"/>
        </w:rPr>
        <w:t xml:space="preserve"> </w:t>
      </w:r>
      <w:r>
        <w:rPr>
          <w:rFonts w:ascii="Arial" w:eastAsia="Times New Roman" w:hAnsi="Arial" w:cs="Arial"/>
          <w:sz w:val="24"/>
          <w:szCs w:val="24"/>
        </w:rPr>
        <w:t xml:space="preserve">jurisdiction or </w:t>
      </w:r>
      <w:r w:rsidR="00E80350">
        <w:rPr>
          <w:rFonts w:ascii="Arial" w:eastAsia="Times New Roman" w:hAnsi="Arial" w:cs="Arial"/>
          <w:sz w:val="24"/>
          <w:szCs w:val="24"/>
        </w:rPr>
        <w:t xml:space="preserve">authority to order that the terms of a privately negotiated and legally binding settlement agreement be altered or </w:t>
      </w:r>
      <w:r>
        <w:rPr>
          <w:rFonts w:ascii="Arial" w:eastAsia="Times New Roman" w:hAnsi="Arial" w:cs="Arial"/>
          <w:sz w:val="24"/>
          <w:szCs w:val="24"/>
        </w:rPr>
        <w:t xml:space="preserve">to </w:t>
      </w:r>
      <w:r w:rsidR="00E80350">
        <w:rPr>
          <w:rFonts w:ascii="Arial" w:eastAsia="Times New Roman" w:hAnsi="Arial" w:cs="Arial"/>
          <w:sz w:val="24"/>
          <w:szCs w:val="24"/>
        </w:rPr>
        <w:t xml:space="preserve">otherwise create new or additional obligations. </w:t>
      </w:r>
      <w:r>
        <w:rPr>
          <w:rFonts w:ascii="Arial" w:eastAsia="Times New Roman" w:hAnsi="Arial" w:cs="Arial"/>
          <w:sz w:val="24"/>
          <w:szCs w:val="24"/>
        </w:rPr>
        <w:t xml:space="preserve"> Therefore, the hearing request must be dismissed because the BSEA cannot grant the relief </w:t>
      </w:r>
      <w:r w:rsidR="003F65E4">
        <w:rPr>
          <w:rFonts w:ascii="Arial" w:eastAsia="Times New Roman" w:hAnsi="Arial" w:cs="Arial"/>
          <w:sz w:val="24"/>
          <w:szCs w:val="24"/>
        </w:rPr>
        <w:t xml:space="preserve">that Parents seek.  </w:t>
      </w:r>
      <w:proofErr w:type="gramStart"/>
      <w:r w:rsidR="00E63F73" w:rsidRPr="00E63F73">
        <w:rPr>
          <w:rFonts w:ascii="Arial" w:eastAsia="Times New Roman" w:hAnsi="Arial" w:cs="Arial"/>
          <w:i/>
          <w:sz w:val="24"/>
          <w:szCs w:val="24"/>
        </w:rPr>
        <w:t>Peabody Public Schools</w:t>
      </w:r>
      <w:r w:rsidR="00E63F73">
        <w:rPr>
          <w:rFonts w:ascii="Arial" w:eastAsia="Times New Roman" w:hAnsi="Arial" w:cs="Arial"/>
          <w:sz w:val="24"/>
          <w:szCs w:val="24"/>
        </w:rPr>
        <w:t xml:space="preserve">, BSEA </w:t>
      </w:r>
      <w:r w:rsidR="000331B1">
        <w:rPr>
          <w:rFonts w:ascii="Arial" w:eastAsia="Times New Roman" w:hAnsi="Arial" w:cs="Arial"/>
          <w:sz w:val="24"/>
          <w:szCs w:val="24"/>
        </w:rPr>
        <w:t>#09-6506</w:t>
      </w:r>
      <w:r w:rsidR="00E63F73">
        <w:rPr>
          <w:rFonts w:ascii="Arial" w:eastAsia="Times New Roman" w:hAnsi="Arial" w:cs="Arial"/>
          <w:sz w:val="24"/>
          <w:szCs w:val="24"/>
        </w:rPr>
        <w:t xml:space="preserve"> (</w:t>
      </w:r>
      <w:r w:rsidR="00746FD9">
        <w:rPr>
          <w:rFonts w:ascii="Arial" w:eastAsia="Times New Roman" w:hAnsi="Arial" w:cs="Arial"/>
          <w:sz w:val="24"/>
          <w:szCs w:val="24"/>
        </w:rPr>
        <w:t xml:space="preserve">Crane, </w:t>
      </w:r>
      <w:r w:rsidR="00E63F73">
        <w:rPr>
          <w:rFonts w:ascii="Arial" w:eastAsia="Times New Roman" w:hAnsi="Arial" w:cs="Arial"/>
          <w:sz w:val="24"/>
          <w:szCs w:val="24"/>
        </w:rPr>
        <w:t>2009).</w:t>
      </w:r>
      <w:proofErr w:type="gramEnd"/>
      <w:r w:rsidR="00E63F73">
        <w:rPr>
          <w:rFonts w:ascii="Arial" w:eastAsia="Times New Roman" w:hAnsi="Arial" w:cs="Arial"/>
          <w:sz w:val="24"/>
          <w:szCs w:val="24"/>
        </w:rPr>
        <w:t xml:space="preserve"> </w:t>
      </w:r>
    </w:p>
    <w:p w:rsidR="00746FD9" w:rsidRPr="00E80350" w:rsidRDefault="00746FD9" w:rsidP="00E80350">
      <w:pPr>
        <w:spacing w:after="0" w:line="240" w:lineRule="auto"/>
        <w:ind w:firstLine="720"/>
        <w:rPr>
          <w:rFonts w:ascii="Arial" w:eastAsia="Times New Roman" w:hAnsi="Arial" w:cs="Arial"/>
          <w:sz w:val="24"/>
          <w:szCs w:val="24"/>
        </w:rPr>
      </w:pPr>
    </w:p>
    <w:p w:rsidR="00E80350" w:rsidRDefault="00E80350" w:rsidP="00556364">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Position</w:t>
      </w:r>
      <w:r w:rsidR="00556364">
        <w:rPr>
          <w:rFonts w:ascii="Arial" w:eastAsia="Times New Roman" w:hAnsi="Arial" w:cs="Arial"/>
          <w:b/>
          <w:sz w:val="24"/>
          <w:szCs w:val="24"/>
          <w:u w:val="single"/>
        </w:rPr>
        <w:t xml:space="preserve"> of Parents</w:t>
      </w:r>
    </w:p>
    <w:p w:rsidR="003F65E4" w:rsidRDefault="003F65E4" w:rsidP="00410139">
      <w:pPr>
        <w:spacing w:after="0" w:line="240" w:lineRule="auto"/>
        <w:ind w:firstLine="720"/>
        <w:rPr>
          <w:rFonts w:ascii="Arial" w:eastAsia="Times New Roman" w:hAnsi="Arial" w:cs="Arial"/>
          <w:sz w:val="24"/>
          <w:szCs w:val="24"/>
        </w:rPr>
      </w:pPr>
    </w:p>
    <w:p w:rsidR="00746FD9" w:rsidRPr="003F65E4" w:rsidRDefault="00556364" w:rsidP="003F65E4">
      <w:pPr>
        <w:spacing w:after="0" w:line="240" w:lineRule="auto"/>
        <w:ind w:firstLine="720"/>
        <w:rPr>
          <w:rFonts w:ascii="Arial" w:eastAsia="Times New Roman" w:hAnsi="Arial" w:cs="Arial"/>
          <w:b/>
          <w:sz w:val="24"/>
          <w:szCs w:val="24"/>
          <w:u w:val="single"/>
        </w:rPr>
      </w:pPr>
      <w:r>
        <w:rPr>
          <w:rFonts w:ascii="Arial" w:eastAsia="Times New Roman" w:hAnsi="Arial" w:cs="Arial"/>
          <w:sz w:val="24"/>
          <w:szCs w:val="24"/>
        </w:rPr>
        <w:t xml:space="preserve">Parents </w:t>
      </w:r>
      <w:r w:rsidR="003F65E4">
        <w:rPr>
          <w:rFonts w:ascii="Arial" w:eastAsia="Times New Roman" w:hAnsi="Arial" w:cs="Arial"/>
          <w:sz w:val="24"/>
          <w:szCs w:val="24"/>
        </w:rPr>
        <w:t>contend</w:t>
      </w:r>
      <w:r w:rsidR="00410139">
        <w:rPr>
          <w:rFonts w:ascii="Arial" w:eastAsia="Times New Roman" w:hAnsi="Arial" w:cs="Arial"/>
          <w:sz w:val="24"/>
          <w:szCs w:val="24"/>
        </w:rPr>
        <w:t xml:space="preserve"> that dismissal is inappropriate unless Student can prove no set of facts in support of his claim which would entitle him to relief. 160 F.3d 67, 72 (1</w:t>
      </w:r>
      <w:r w:rsidR="00410139" w:rsidRPr="00410139">
        <w:rPr>
          <w:rFonts w:ascii="Arial" w:eastAsia="Times New Roman" w:hAnsi="Arial" w:cs="Arial"/>
          <w:sz w:val="24"/>
          <w:szCs w:val="24"/>
          <w:vertAlign w:val="superscript"/>
        </w:rPr>
        <w:t>st</w:t>
      </w:r>
      <w:r w:rsidR="00410139">
        <w:rPr>
          <w:rFonts w:ascii="Arial" w:eastAsia="Times New Roman" w:hAnsi="Arial" w:cs="Arial"/>
          <w:sz w:val="24"/>
          <w:szCs w:val="24"/>
        </w:rPr>
        <w:t xml:space="preserve"> Cir. </w:t>
      </w:r>
      <w:r w:rsidR="00410139">
        <w:rPr>
          <w:rFonts w:ascii="Arial" w:eastAsia="Times New Roman" w:hAnsi="Arial" w:cs="Arial"/>
          <w:sz w:val="24"/>
          <w:szCs w:val="24"/>
        </w:rPr>
        <w:lastRenderedPageBreak/>
        <w:t>Parent</w:t>
      </w:r>
      <w:r>
        <w:rPr>
          <w:rFonts w:ascii="Arial" w:eastAsia="Times New Roman" w:hAnsi="Arial" w:cs="Arial"/>
          <w:sz w:val="24"/>
          <w:szCs w:val="24"/>
        </w:rPr>
        <w:t xml:space="preserve">s </w:t>
      </w:r>
      <w:r w:rsidR="003F65E4">
        <w:rPr>
          <w:rFonts w:ascii="Arial" w:eastAsia="Times New Roman" w:hAnsi="Arial" w:cs="Arial"/>
          <w:sz w:val="24"/>
          <w:szCs w:val="24"/>
        </w:rPr>
        <w:t xml:space="preserve">further </w:t>
      </w:r>
      <w:r>
        <w:rPr>
          <w:rFonts w:ascii="Arial" w:eastAsia="Times New Roman" w:hAnsi="Arial" w:cs="Arial"/>
          <w:sz w:val="24"/>
          <w:szCs w:val="24"/>
        </w:rPr>
        <w:t>contend that</w:t>
      </w:r>
      <w:r w:rsidR="00410139">
        <w:rPr>
          <w:rFonts w:ascii="Arial" w:eastAsia="Times New Roman" w:hAnsi="Arial" w:cs="Arial"/>
          <w:sz w:val="24"/>
          <w:szCs w:val="24"/>
        </w:rPr>
        <w:t xml:space="preserve"> the </w:t>
      </w:r>
      <w:r w:rsidR="00882054">
        <w:rPr>
          <w:rFonts w:ascii="Arial" w:eastAsia="Times New Roman" w:hAnsi="Arial" w:cs="Arial"/>
          <w:sz w:val="24"/>
          <w:szCs w:val="24"/>
        </w:rPr>
        <w:t>h</w:t>
      </w:r>
      <w:r w:rsidR="00410139">
        <w:rPr>
          <w:rFonts w:ascii="Arial" w:eastAsia="Times New Roman" w:hAnsi="Arial" w:cs="Arial"/>
          <w:sz w:val="24"/>
          <w:szCs w:val="24"/>
        </w:rPr>
        <w:t xml:space="preserve">earing </w:t>
      </w:r>
      <w:r w:rsidR="00882054">
        <w:rPr>
          <w:rFonts w:ascii="Arial" w:eastAsia="Times New Roman" w:hAnsi="Arial" w:cs="Arial"/>
          <w:sz w:val="24"/>
          <w:szCs w:val="24"/>
        </w:rPr>
        <w:t>o</w:t>
      </w:r>
      <w:r w:rsidR="00410139">
        <w:rPr>
          <w:rFonts w:ascii="Arial" w:eastAsia="Times New Roman" w:hAnsi="Arial" w:cs="Arial"/>
          <w:sz w:val="24"/>
          <w:szCs w:val="24"/>
        </w:rPr>
        <w:t xml:space="preserve">fficer must consider Student’s claims based upon </w:t>
      </w:r>
      <w:r w:rsidR="00410139" w:rsidRPr="00731064">
        <w:rPr>
          <w:rFonts w:ascii="Arial" w:eastAsia="Times New Roman" w:hAnsi="Arial" w:cs="Arial"/>
          <w:sz w:val="24"/>
          <w:szCs w:val="24"/>
          <w:u w:val="single"/>
        </w:rPr>
        <w:t>any</w:t>
      </w:r>
      <w:r w:rsidR="00882054">
        <w:rPr>
          <w:rFonts w:ascii="Arial" w:eastAsia="Times New Roman" w:hAnsi="Arial" w:cs="Arial"/>
          <w:sz w:val="24"/>
          <w:szCs w:val="24"/>
        </w:rPr>
        <w:t xml:space="preserve"> theory of law, </w:t>
      </w:r>
      <w:r w:rsidR="00410139">
        <w:rPr>
          <w:rFonts w:ascii="Arial" w:eastAsia="Times New Roman" w:hAnsi="Arial" w:cs="Arial"/>
          <w:sz w:val="24"/>
          <w:szCs w:val="24"/>
        </w:rPr>
        <w:t>must c</w:t>
      </w:r>
      <w:r w:rsidR="00882054">
        <w:rPr>
          <w:rFonts w:ascii="Arial" w:eastAsia="Times New Roman" w:hAnsi="Arial" w:cs="Arial"/>
          <w:sz w:val="24"/>
          <w:szCs w:val="24"/>
        </w:rPr>
        <w:t xml:space="preserve">onsider the allegations in the hearing request to be true, and must make </w:t>
      </w:r>
      <w:r w:rsidR="00410139">
        <w:rPr>
          <w:rFonts w:ascii="Arial" w:eastAsia="Times New Roman" w:hAnsi="Arial" w:cs="Arial"/>
          <w:sz w:val="24"/>
          <w:szCs w:val="24"/>
        </w:rPr>
        <w:t>all reasonable inferences in Student’s favor. Parent</w:t>
      </w:r>
      <w:r w:rsidR="00882054">
        <w:rPr>
          <w:rFonts w:ascii="Arial" w:eastAsia="Times New Roman" w:hAnsi="Arial" w:cs="Arial"/>
          <w:sz w:val="24"/>
          <w:szCs w:val="24"/>
        </w:rPr>
        <w:t>s assert</w:t>
      </w:r>
      <w:r w:rsidR="00410139">
        <w:rPr>
          <w:rFonts w:ascii="Arial" w:eastAsia="Times New Roman" w:hAnsi="Arial" w:cs="Arial"/>
          <w:sz w:val="24"/>
          <w:szCs w:val="24"/>
        </w:rPr>
        <w:t xml:space="preserve"> </w:t>
      </w:r>
      <w:r w:rsidR="00882054">
        <w:rPr>
          <w:rFonts w:ascii="Arial" w:eastAsia="Times New Roman" w:hAnsi="Arial" w:cs="Arial"/>
          <w:sz w:val="24"/>
          <w:szCs w:val="24"/>
        </w:rPr>
        <w:t xml:space="preserve">that </w:t>
      </w:r>
      <w:r w:rsidR="00742BE5">
        <w:rPr>
          <w:rFonts w:ascii="Arial" w:eastAsia="Times New Roman" w:hAnsi="Arial" w:cs="Arial"/>
          <w:sz w:val="24"/>
          <w:szCs w:val="24"/>
        </w:rPr>
        <w:t xml:space="preserve">the hearing request </w:t>
      </w:r>
      <w:r w:rsidR="00410139">
        <w:rPr>
          <w:rFonts w:ascii="Arial" w:eastAsia="Times New Roman" w:hAnsi="Arial" w:cs="Arial"/>
          <w:sz w:val="24"/>
          <w:szCs w:val="24"/>
        </w:rPr>
        <w:t>properly raise</w:t>
      </w:r>
      <w:r w:rsidR="00742BE5">
        <w:rPr>
          <w:rFonts w:ascii="Arial" w:eastAsia="Times New Roman" w:hAnsi="Arial" w:cs="Arial"/>
          <w:sz w:val="24"/>
          <w:szCs w:val="24"/>
        </w:rPr>
        <w:t>s</w:t>
      </w:r>
      <w:r w:rsidR="00410139">
        <w:rPr>
          <w:rFonts w:ascii="Arial" w:eastAsia="Times New Roman" w:hAnsi="Arial" w:cs="Arial"/>
          <w:sz w:val="24"/>
          <w:szCs w:val="24"/>
        </w:rPr>
        <w:t xml:space="preserve"> claims for which relief</w:t>
      </w:r>
      <w:r w:rsidR="003F65E4">
        <w:rPr>
          <w:rFonts w:ascii="Arial" w:eastAsia="Times New Roman" w:hAnsi="Arial" w:cs="Arial"/>
          <w:sz w:val="24"/>
          <w:szCs w:val="24"/>
        </w:rPr>
        <w:t xml:space="preserve"> can be granted </w:t>
      </w:r>
      <w:proofErr w:type="gramStart"/>
      <w:r w:rsidR="003F65E4">
        <w:rPr>
          <w:rFonts w:ascii="Arial" w:eastAsia="Times New Roman" w:hAnsi="Arial" w:cs="Arial"/>
          <w:sz w:val="24"/>
          <w:szCs w:val="24"/>
        </w:rPr>
        <w:t>under</w:t>
      </w:r>
      <w:proofErr w:type="gramEnd"/>
      <w:r w:rsidR="003F65E4">
        <w:rPr>
          <w:rFonts w:ascii="Arial" w:eastAsia="Times New Roman" w:hAnsi="Arial" w:cs="Arial"/>
          <w:sz w:val="24"/>
          <w:szCs w:val="24"/>
        </w:rPr>
        <w:t xml:space="preserve"> two </w:t>
      </w:r>
      <w:r w:rsidR="00410139">
        <w:rPr>
          <w:rFonts w:ascii="Arial" w:eastAsia="Times New Roman" w:hAnsi="Arial" w:cs="Arial"/>
          <w:sz w:val="24"/>
          <w:szCs w:val="24"/>
        </w:rPr>
        <w:t xml:space="preserve">contract </w:t>
      </w:r>
      <w:r w:rsidR="003F65E4">
        <w:rPr>
          <w:rFonts w:ascii="Arial" w:eastAsia="Times New Roman" w:hAnsi="Arial" w:cs="Arial"/>
          <w:sz w:val="24"/>
          <w:szCs w:val="24"/>
        </w:rPr>
        <w:t xml:space="preserve">law </w:t>
      </w:r>
      <w:r w:rsidR="00410139">
        <w:rPr>
          <w:rFonts w:ascii="Arial" w:eastAsia="Times New Roman" w:hAnsi="Arial" w:cs="Arial"/>
          <w:sz w:val="24"/>
          <w:szCs w:val="24"/>
        </w:rPr>
        <w:t>theories: 1) impossibility of performance and</w:t>
      </w:r>
      <w:r w:rsidR="003F65E4">
        <w:rPr>
          <w:rFonts w:ascii="Arial" w:eastAsia="Times New Roman" w:hAnsi="Arial" w:cs="Arial"/>
          <w:sz w:val="24"/>
          <w:szCs w:val="24"/>
        </w:rPr>
        <w:t xml:space="preserve"> </w:t>
      </w:r>
      <w:r w:rsidR="00410139">
        <w:rPr>
          <w:rFonts w:ascii="Arial" w:eastAsia="Times New Roman" w:hAnsi="Arial" w:cs="Arial"/>
          <w:sz w:val="24"/>
          <w:szCs w:val="24"/>
        </w:rPr>
        <w:t xml:space="preserve">2) </w:t>
      </w:r>
      <w:r w:rsidR="003F65E4">
        <w:rPr>
          <w:rFonts w:ascii="Arial" w:eastAsia="Times New Roman" w:hAnsi="Arial" w:cs="Arial"/>
          <w:sz w:val="24"/>
          <w:szCs w:val="24"/>
        </w:rPr>
        <w:t xml:space="preserve">breach of </w:t>
      </w:r>
      <w:r w:rsidR="00410139">
        <w:rPr>
          <w:rFonts w:ascii="Arial" w:eastAsia="Times New Roman" w:hAnsi="Arial" w:cs="Arial"/>
          <w:sz w:val="24"/>
          <w:szCs w:val="24"/>
        </w:rPr>
        <w:t xml:space="preserve">implied covenant of good </w:t>
      </w:r>
      <w:r w:rsidR="003F65E4">
        <w:rPr>
          <w:rFonts w:ascii="Arial" w:eastAsia="Times New Roman" w:hAnsi="Arial" w:cs="Arial"/>
          <w:sz w:val="24"/>
          <w:szCs w:val="24"/>
        </w:rPr>
        <w:t>faith and fair dealing</w:t>
      </w:r>
      <w:r w:rsidR="00410139">
        <w:rPr>
          <w:rFonts w:ascii="Arial" w:eastAsia="Times New Roman" w:hAnsi="Arial" w:cs="Arial"/>
          <w:sz w:val="24"/>
          <w:szCs w:val="24"/>
        </w:rPr>
        <w:t>.</w:t>
      </w:r>
      <w:r w:rsidR="003F65E4">
        <w:rPr>
          <w:rFonts w:ascii="Arial" w:eastAsia="Times New Roman" w:hAnsi="Arial" w:cs="Arial"/>
          <w:sz w:val="24"/>
          <w:szCs w:val="24"/>
        </w:rPr>
        <w:t xml:space="preserve">  Parents’ </w:t>
      </w:r>
      <w:r w:rsidR="003F65E4" w:rsidRPr="00556364">
        <w:rPr>
          <w:rFonts w:ascii="Arial" w:eastAsia="Times New Roman" w:hAnsi="Arial" w:cs="Arial"/>
          <w:i/>
          <w:sz w:val="24"/>
          <w:szCs w:val="24"/>
        </w:rPr>
        <w:t>Response</w:t>
      </w:r>
      <w:r w:rsidR="003F65E4">
        <w:rPr>
          <w:rFonts w:ascii="Arial" w:eastAsia="Times New Roman" w:hAnsi="Arial" w:cs="Arial"/>
          <w:sz w:val="24"/>
          <w:szCs w:val="24"/>
        </w:rPr>
        <w:t xml:space="preserve"> does not address the BSEA’s jurisdiction over contract disputes related to special education matters. </w:t>
      </w:r>
    </w:p>
    <w:p w:rsidR="00746FD9" w:rsidRPr="00746FD9" w:rsidRDefault="00746FD9" w:rsidP="00746FD9">
      <w:pPr>
        <w:spacing w:after="0" w:line="240" w:lineRule="auto"/>
        <w:ind w:firstLine="720"/>
        <w:rPr>
          <w:rFonts w:ascii="Arial" w:eastAsia="Times New Roman" w:hAnsi="Arial" w:cs="Arial"/>
          <w:sz w:val="24"/>
          <w:szCs w:val="24"/>
        </w:rPr>
      </w:pP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FINDINGS AND CONCLUSIONS</w:t>
      </w:r>
    </w:p>
    <w:p w:rsidR="00E80350" w:rsidRDefault="00E80350" w:rsidP="00E80350">
      <w:pPr>
        <w:spacing w:after="0" w:line="240" w:lineRule="auto"/>
        <w:ind w:firstLine="720"/>
        <w:jc w:val="center"/>
        <w:rPr>
          <w:rFonts w:ascii="Arial" w:eastAsia="Times New Roman" w:hAnsi="Arial" w:cs="Arial"/>
          <w:b/>
          <w:sz w:val="24"/>
          <w:szCs w:val="24"/>
          <w:u w:val="single"/>
        </w:rPr>
      </w:pP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Legal Framework</w:t>
      </w:r>
    </w:p>
    <w:p w:rsidR="00E80350" w:rsidRDefault="00E80350" w:rsidP="00E80350">
      <w:pPr>
        <w:spacing w:after="0" w:line="240" w:lineRule="auto"/>
        <w:ind w:firstLine="720"/>
        <w:jc w:val="center"/>
        <w:rPr>
          <w:rFonts w:ascii="Arial" w:eastAsia="Times New Roman" w:hAnsi="Arial" w:cs="Arial"/>
          <w:b/>
          <w:sz w:val="24"/>
          <w:szCs w:val="24"/>
          <w:u w:val="single"/>
        </w:rPr>
      </w:pPr>
    </w:p>
    <w:p w:rsidR="009D3DAC" w:rsidRDefault="009D3DAC" w:rsidP="009D3DAC">
      <w:pPr>
        <w:spacing w:after="0" w:line="240" w:lineRule="auto"/>
        <w:ind w:firstLine="720"/>
        <w:rPr>
          <w:rFonts w:ascii="Arial" w:eastAsia="Times New Roman" w:hAnsi="Arial" w:cs="Arial"/>
          <w:sz w:val="24"/>
          <w:szCs w:val="24"/>
        </w:rPr>
      </w:pPr>
    </w:p>
    <w:p w:rsidR="00925C70" w:rsidRPr="00925C70" w:rsidRDefault="00925C70" w:rsidP="00925C70">
      <w:pPr>
        <w:pStyle w:val="ListParagraph"/>
        <w:numPr>
          <w:ilvl w:val="0"/>
          <w:numId w:val="3"/>
        </w:numPr>
        <w:spacing w:after="0" w:line="240" w:lineRule="auto"/>
        <w:rPr>
          <w:rFonts w:ascii="Arial" w:eastAsia="Times New Roman" w:hAnsi="Arial" w:cs="Arial"/>
          <w:b/>
          <w:sz w:val="24"/>
          <w:szCs w:val="24"/>
        </w:rPr>
      </w:pPr>
      <w:r>
        <w:rPr>
          <w:rFonts w:ascii="Arial" w:eastAsia="Times New Roman" w:hAnsi="Arial" w:cs="Arial"/>
          <w:b/>
          <w:sz w:val="24"/>
          <w:szCs w:val="24"/>
        </w:rPr>
        <w:t>Standard for Ruling on A Motion to Dismiss</w:t>
      </w:r>
    </w:p>
    <w:p w:rsidR="00925C70" w:rsidRDefault="00925C70" w:rsidP="009D3DAC">
      <w:pPr>
        <w:spacing w:after="0" w:line="240" w:lineRule="auto"/>
        <w:ind w:firstLine="720"/>
        <w:rPr>
          <w:rFonts w:ascii="Arial" w:eastAsia="Times New Roman" w:hAnsi="Arial" w:cs="Arial"/>
          <w:sz w:val="24"/>
          <w:szCs w:val="24"/>
        </w:rPr>
      </w:pPr>
    </w:p>
    <w:p w:rsidR="009D3DAC" w:rsidRPr="009D3DAC" w:rsidRDefault="005417EB" w:rsidP="005417EB">
      <w:pPr>
        <w:spacing w:after="0" w:line="240" w:lineRule="auto"/>
        <w:ind w:firstLine="720"/>
        <w:rPr>
          <w:rFonts w:ascii="Arial" w:eastAsia="Times New Roman" w:hAnsi="Arial" w:cs="Arial"/>
          <w:sz w:val="24"/>
          <w:szCs w:val="24"/>
        </w:rPr>
      </w:pPr>
      <w:r>
        <w:rPr>
          <w:rFonts w:ascii="Arial" w:eastAsia="Times New Roman" w:hAnsi="Arial" w:cs="Arial"/>
          <w:sz w:val="24"/>
          <w:szCs w:val="24"/>
        </w:rPr>
        <w:t>T</w:t>
      </w:r>
      <w:r w:rsidR="009D3DAC" w:rsidRPr="009D3DAC">
        <w:rPr>
          <w:rFonts w:ascii="Arial" w:eastAsia="Times New Roman" w:hAnsi="Arial" w:cs="Arial"/>
          <w:sz w:val="24"/>
          <w:szCs w:val="24"/>
        </w:rPr>
        <w:t xml:space="preserve">he BSEA </w:t>
      </w:r>
      <w:r>
        <w:rPr>
          <w:rFonts w:ascii="Arial" w:eastAsia="Times New Roman" w:hAnsi="Arial" w:cs="Arial"/>
          <w:sz w:val="24"/>
          <w:szCs w:val="24"/>
        </w:rPr>
        <w:t xml:space="preserve">has jurisdiction </w:t>
      </w:r>
      <w:r w:rsidR="009D3DAC" w:rsidRPr="009D3DAC">
        <w:rPr>
          <w:rFonts w:ascii="Arial" w:eastAsia="Times New Roman" w:hAnsi="Arial" w:cs="Arial"/>
          <w:sz w:val="24"/>
          <w:szCs w:val="24"/>
        </w:rPr>
        <w:t xml:space="preserve">over motions to dismiss </w:t>
      </w:r>
      <w:r>
        <w:rPr>
          <w:rFonts w:ascii="Arial" w:eastAsia="Times New Roman" w:hAnsi="Arial" w:cs="Arial"/>
          <w:sz w:val="24"/>
          <w:szCs w:val="24"/>
        </w:rPr>
        <w:t>a claim if the non-moving party fails</w:t>
      </w:r>
      <w:r w:rsidR="009D3DAC" w:rsidRPr="009D3DAC">
        <w:rPr>
          <w:rFonts w:ascii="Arial" w:eastAsia="Times New Roman" w:hAnsi="Arial" w:cs="Arial"/>
          <w:sz w:val="24"/>
          <w:szCs w:val="24"/>
        </w:rPr>
        <w:t xml:space="preserve"> to state a claim up</w:t>
      </w:r>
      <w:r>
        <w:rPr>
          <w:rFonts w:ascii="Arial" w:eastAsia="Times New Roman" w:hAnsi="Arial" w:cs="Arial"/>
          <w:sz w:val="24"/>
          <w:szCs w:val="24"/>
        </w:rPr>
        <w:t xml:space="preserve">on which relief may be granted. </w:t>
      </w:r>
      <w:r w:rsidR="009D3DAC" w:rsidRPr="009D3DAC">
        <w:rPr>
          <w:rFonts w:ascii="Arial" w:eastAsia="Times New Roman" w:hAnsi="Arial" w:cs="Arial"/>
          <w:i/>
          <w:sz w:val="24"/>
          <w:szCs w:val="24"/>
        </w:rPr>
        <w:t>Standard Adjudicatory Rules of Practice and Procedure</w:t>
      </w:r>
      <w:r>
        <w:rPr>
          <w:rFonts w:ascii="Arial" w:eastAsia="Times New Roman" w:hAnsi="Arial" w:cs="Arial"/>
          <w:sz w:val="24"/>
          <w:szCs w:val="24"/>
        </w:rPr>
        <w:t xml:space="preserve">, 801 CMR 1.01(7)(g)(3), </w:t>
      </w:r>
      <w:r w:rsidRPr="005417EB">
        <w:rPr>
          <w:rFonts w:ascii="Arial" w:eastAsia="Times New Roman" w:hAnsi="Arial" w:cs="Arial"/>
          <w:i/>
          <w:sz w:val="24"/>
          <w:szCs w:val="24"/>
        </w:rPr>
        <w:t>H</w:t>
      </w:r>
      <w:r w:rsidR="009D3DAC" w:rsidRPr="009D3DAC">
        <w:rPr>
          <w:rFonts w:ascii="Arial" w:eastAsia="Times New Roman" w:hAnsi="Arial" w:cs="Arial"/>
          <w:i/>
          <w:sz w:val="24"/>
          <w:szCs w:val="24"/>
        </w:rPr>
        <w:t>earing Rules for Special Education Appeals</w:t>
      </w:r>
      <w:r>
        <w:rPr>
          <w:rFonts w:ascii="Arial" w:eastAsia="Times New Roman" w:hAnsi="Arial" w:cs="Arial"/>
          <w:sz w:val="24"/>
          <w:szCs w:val="24"/>
        </w:rPr>
        <w:t xml:space="preserve">, Rule </w:t>
      </w:r>
      <w:r w:rsidR="003F65E4">
        <w:rPr>
          <w:rFonts w:ascii="Arial" w:eastAsia="Times New Roman" w:hAnsi="Arial" w:cs="Arial"/>
          <w:sz w:val="24"/>
          <w:szCs w:val="24"/>
        </w:rPr>
        <w:t>XVIIB.</w:t>
      </w:r>
      <w:r>
        <w:rPr>
          <w:rFonts w:ascii="Arial" w:eastAsia="Times New Roman" w:hAnsi="Arial" w:cs="Arial"/>
          <w:sz w:val="24"/>
          <w:szCs w:val="24"/>
        </w:rPr>
        <w:t xml:space="preserve">  </w:t>
      </w:r>
      <w:r w:rsidR="009D3DAC" w:rsidRPr="009D3DAC">
        <w:rPr>
          <w:rFonts w:ascii="Arial" w:eastAsia="Times New Roman" w:hAnsi="Arial" w:cs="Arial"/>
          <w:sz w:val="24"/>
          <w:szCs w:val="24"/>
        </w:rPr>
        <w:t>These provisions are analogous to Rule 12(b</w:t>
      </w:r>
      <w:proofErr w:type="gramStart"/>
      <w:r w:rsidR="009D3DAC" w:rsidRPr="009D3DAC">
        <w:rPr>
          <w:rFonts w:ascii="Arial" w:eastAsia="Times New Roman" w:hAnsi="Arial" w:cs="Arial"/>
          <w:sz w:val="24"/>
          <w:szCs w:val="24"/>
        </w:rPr>
        <w:t>)(</w:t>
      </w:r>
      <w:proofErr w:type="gramEnd"/>
      <w:r w:rsidR="009D3DAC" w:rsidRPr="009D3DAC">
        <w:rPr>
          <w:rFonts w:ascii="Arial" w:eastAsia="Times New Roman" w:hAnsi="Arial" w:cs="Arial"/>
          <w:sz w:val="24"/>
          <w:szCs w:val="24"/>
        </w:rPr>
        <w:t>6) of the Federal Rules of Civil Procedure.</w:t>
      </w:r>
    </w:p>
    <w:p w:rsidR="009D3DAC" w:rsidRPr="009D3DAC" w:rsidRDefault="009D3DAC" w:rsidP="009D3DAC">
      <w:pPr>
        <w:spacing w:after="0" w:line="240" w:lineRule="auto"/>
        <w:ind w:firstLine="720"/>
        <w:rPr>
          <w:rFonts w:ascii="Arial" w:eastAsia="Times New Roman" w:hAnsi="Arial" w:cs="Arial"/>
          <w:sz w:val="24"/>
          <w:szCs w:val="24"/>
        </w:rPr>
      </w:pPr>
    </w:p>
    <w:p w:rsidR="009D3DAC" w:rsidRDefault="005417EB" w:rsidP="009D3DAC">
      <w:pPr>
        <w:spacing w:after="0" w:line="240" w:lineRule="auto"/>
        <w:ind w:firstLine="720"/>
        <w:rPr>
          <w:rFonts w:ascii="Arial" w:eastAsia="Times New Roman" w:hAnsi="Arial" w:cs="Arial"/>
          <w:sz w:val="24"/>
          <w:szCs w:val="24"/>
        </w:rPr>
      </w:pPr>
      <w:r>
        <w:rPr>
          <w:rFonts w:ascii="Arial" w:eastAsia="Times New Roman" w:hAnsi="Arial" w:cs="Arial"/>
          <w:sz w:val="24"/>
          <w:szCs w:val="24"/>
        </w:rPr>
        <w:t>In determining whether to dismiss a claim, a</w:t>
      </w:r>
      <w:r w:rsidR="009D3DAC">
        <w:rPr>
          <w:rFonts w:ascii="Arial" w:eastAsia="Times New Roman" w:hAnsi="Arial" w:cs="Arial"/>
          <w:sz w:val="24"/>
          <w:szCs w:val="24"/>
        </w:rPr>
        <w:t xml:space="preserve"> hearing officer must consider as true all facts alleged by the party opposing dismissal</w:t>
      </w:r>
      <w:r>
        <w:rPr>
          <w:rFonts w:ascii="Arial" w:eastAsia="Times New Roman" w:hAnsi="Arial" w:cs="Arial"/>
          <w:sz w:val="24"/>
          <w:szCs w:val="24"/>
        </w:rPr>
        <w:t xml:space="preserve">.  The hearing officer </w:t>
      </w:r>
      <w:r w:rsidR="009D3DAC">
        <w:rPr>
          <w:rFonts w:ascii="Arial" w:eastAsia="Times New Roman" w:hAnsi="Arial" w:cs="Arial"/>
          <w:sz w:val="24"/>
          <w:szCs w:val="24"/>
        </w:rPr>
        <w:t xml:space="preserve">should not </w:t>
      </w:r>
      <w:proofErr w:type="gramStart"/>
      <w:r w:rsidR="009D3DAC">
        <w:rPr>
          <w:rFonts w:ascii="Arial" w:eastAsia="Times New Roman" w:hAnsi="Arial" w:cs="Arial"/>
          <w:sz w:val="24"/>
          <w:szCs w:val="24"/>
        </w:rPr>
        <w:t>dismiss</w:t>
      </w:r>
      <w:r>
        <w:rPr>
          <w:rFonts w:ascii="Arial" w:eastAsia="Times New Roman" w:hAnsi="Arial" w:cs="Arial"/>
          <w:sz w:val="24"/>
          <w:szCs w:val="24"/>
        </w:rPr>
        <w:t xml:space="preserve">  the</w:t>
      </w:r>
      <w:proofErr w:type="gramEnd"/>
      <w:r>
        <w:rPr>
          <w:rFonts w:ascii="Arial" w:eastAsia="Times New Roman" w:hAnsi="Arial" w:cs="Arial"/>
          <w:sz w:val="24"/>
          <w:szCs w:val="24"/>
        </w:rPr>
        <w:t xml:space="preserve"> case if the alleged facts</w:t>
      </w:r>
      <w:r w:rsidR="009D3DAC">
        <w:rPr>
          <w:rFonts w:ascii="Arial" w:eastAsia="Times New Roman" w:hAnsi="Arial" w:cs="Arial"/>
          <w:sz w:val="24"/>
          <w:szCs w:val="24"/>
        </w:rPr>
        <w:t>, if proven</w:t>
      </w:r>
      <w:r>
        <w:rPr>
          <w:rFonts w:ascii="Arial" w:eastAsia="Times New Roman" w:hAnsi="Arial" w:cs="Arial"/>
          <w:sz w:val="24"/>
          <w:szCs w:val="24"/>
        </w:rPr>
        <w:t>,</w:t>
      </w:r>
      <w:r w:rsidR="009D3DAC">
        <w:rPr>
          <w:rFonts w:ascii="Arial" w:eastAsia="Times New Roman" w:hAnsi="Arial" w:cs="Arial"/>
          <w:sz w:val="24"/>
          <w:szCs w:val="24"/>
        </w:rPr>
        <w:t xml:space="preserve"> would entitle the non-moving party relief that the BSEA has authority to grant. </w:t>
      </w:r>
      <w:proofErr w:type="spellStart"/>
      <w:proofErr w:type="gramStart"/>
      <w:r w:rsidR="009D3DAC" w:rsidRPr="00410139">
        <w:rPr>
          <w:rFonts w:ascii="Arial" w:eastAsia="Times New Roman" w:hAnsi="Arial" w:cs="Arial"/>
          <w:i/>
          <w:sz w:val="24"/>
          <w:szCs w:val="24"/>
        </w:rPr>
        <w:t>Caleron</w:t>
      </w:r>
      <w:proofErr w:type="spellEnd"/>
      <w:r w:rsidR="009D3DAC" w:rsidRPr="00410139">
        <w:rPr>
          <w:rFonts w:ascii="Arial" w:eastAsia="Times New Roman" w:hAnsi="Arial" w:cs="Arial"/>
          <w:i/>
          <w:sz w:val="24"/>
          <w:szCs w:val="24"/>
        </w:rPr>
        <w:t xml:space="preserve">-Ortiz v. </w:t>
      </w:r>
      <w:proofErr w:type="spellStart"/>
      <w:r w:rsidR="009D3DAC" w:rsidRPr="00410139">
        <w:rPr>
          <w:rFonts w:ascii="Arial" w:eastAsia="Times New Roman" w:hAnsi="Arial" w:cs="Arial"/>
          <w:i/>
          <w:sz w:val="24"/>
          <w:szCs w:val="24"/>
        </w:rPr>
        <w:t>LaBoy</w:t>
      </w:r>
      <w:proofErr w:type="spellEnd"/>
      <w:r w:rsidR="009D3DAC" w:rsidRPr="00410139">
        <w:rPr>
          <w:rFonts w:ascii="Arial" w:eastAsia="Times New Roman" w:hAnsi="Arial" w:cs="Arial"/>
          <w:i/>
          <w:sz w:val="24"/>
          <w:szCs w:val="24"/>
        </w:rPr>
        <w:t>-Alvarado</w:t>
      </w:r>
      <w:r w:rsidR="009D3DAC">
        <w:rPr>
          <w:rFonts w:ascii="Arial" w:eastAsia="Times New Roman" w:hAnsi="Arial" w:cs="Arial"/>
          <w:sz w:val="24"/>
          <w:szCs w:val="24"/>
        </w:rPr>
        <w:t>, 300 F.3d 60 (1</w:t>
      </w:r>
      <w:r w:rsidR="009D3DAC" w:rsidRPr="00410139">
        <w:rPr>
          <w:rFonts w:ascii="Arial" w:eastAsia="Times New Roman" w:hAnsi="Arial" w:cs="Arial"/>
          <w:sz w:val="24"/>
          <w:szCs w:val="24"/>
          <w:vertAlign w:val="superscript"/>
        </w:rPr>
        <w:t>st</w:t>
      </w:r>
      <w:r w:rsidR="009D3DAC">
        <w:rPr>
          <w:rFonts w:ascii="Arial" w:eastAsia="Times New Roman" w:hAnsi="Arial" w:cs="Arial"/>
          <w:sz w:val="24"/>
          <w:szCs w:val="24"/>
        </w:rPr>
        <w:t xml:space="preserve"> Cir. 2002); </w:t>
      </w:r>
      <w:r w:rsidR="009D3DAC" w:rsidRPr="009D3DAC">
        <w:rPr>
          <w:rFonts w:ascii="Arial" w:eastAsia="Times New Roman" w:hAnsi="Arial" w:cs="Arial"/>
          <w:i/>
          <w:sz w:val="24"/>
          <w:szCs w:val="24"/>
        </w:rPr>
        <w:t>Ocasio-Hernandez v. Fortunato-</w:t>
      </w:r>
      <w:proofErr w:type="spellStart"/>
      <w:r w:rsidR="009D3DAC" w:rsidRPr="009D3DAC">
        <w:rPr>
          <w:rFonts w:ascii="Arial" w:eastAsia="Times New Roman" w:hAnsi="Arial" w:cs="Arial"/>
          <w:i/>
          <w:sz w:val="24"/>
          <w:szCs w:val="24"/>
        </w:rPr>
        <w:t>Burset</w:t>
      </w:r>
      <w:proofErr w:type="spellEnd"/>
      <w:r w:rsidR="009D3DAC">
        <w:rPr>
          <w:rFonts w:ascii="Arial" w:eastAsia="Times New Roman" w:hAnsi="Arial" w:cs="Arial"/>
          <w:sz w:val="24"/>
          <w:szCs w:val="24"/>
        </w:rPr>
        <w:t>, 640 F.3d. 1 (1</w:t>
      </w:r>
      <w:r w:rsidR="009D3DAC" w:rsidRPr="009D3DAC">
        <w:rPr>
          <w:rFonts w:ascii="Arial" w:eastAsia="Times New Roman" w:hAnsi="Arial" w:cs="Arial"/>
          <w:sz w:val="24"/>
          <w:szCs w:val="24"/>
          <w:vertAlign w:val="superscript"/>
        </w:rPr>
        <w:t>st</w:t>
      </w:r>
      <w:r w:rsidR="009D3DAC">
        <w:rPr>
          <w:rFonts w:ascii="Arial" w:eastAsia="Times New Roman" w:hAnsi="Arial" w:cs="Arial"/>
          <w:sz w:val="24"/>
          <w:szCs w:val="24"/>
        </w:rPr>
        <w:t xml:space="preserve"> Cir. 2011).</w:t>
      </w:r>
      <w:proofErr w:type="gramEnd"/>
      <w:r w:rsidR="009D3DAC">
        <w:rPr>
          <w:rFonts w:ascii="Arial" w:eastAsia="Times New Roman" w:hAnsi="Arial" w:cs="Arial"/>
          <w:sz w:val="24"/>
          <w:szCs w:val="24"/>
        </w:rPr>
        <w:t xml:space="preserve"> </w:t>
      </w:r>
      <w:r w:rsidR="00627563">
        <w:rPr>
          <w:rFonts w:ascii="Arial" w:eastAsia="Times New Roman" w:hAnsi="Arial" w:cs="Arial"/>
          <w:sz w:val="24"/>
          <w:szCs w:val="24"/>
        </w:rPr>
        <w:t xml:space="preserve"> </w:t>
      </w:r>
      <w:r w:rsidR="009D3DAC">
        <w:rPr>
          <w:rFonts w:ascii="Arial" w:eastAsia="Times New Roman" w:hAnsi="Arial" w:cs="Arial"/>
          <w:sz w:val="24"/>
          <w:szCs w:val="24"/>
        </w:rPr>
        <w:t xml:space="preserve">A motion to dismiss will be denied if “accepting as true well-pleaded factual averments and indulging all reasonable inferences in the plaintiff’s favor…recovery can be justified under any applicable legal theory.” See </w:t>
      </w:r>
      <w:proofErr w:type="spellStart"/>
      <w:r w:rsidR="003F65E4">
        <w:rPr>
          <w:rFonts w:ascii="Arial" w:eastAsia="Times New Roman" w:hAnsi="Arial" w:cs="Arial"/>
          <w:i/>
          <w:sz w:val="24"/>
          <w:szCs w:val="24"/>
        </w:rPr>
        <w:t>Caleron</w:t>
      </w:r>
      <w:proofErr w:type="spellEnd"/>
      <w:r w:rsidR="003F65E4">
        <w:rPr>
          <w:rFonts w:ascii="Arial" w:eastAsia="Times New Roman" w:hAnsi="Arial" w:cs="Arial"/>
          <w:i/>
          <w:sz w:val="24"/>
          <w:szCs w:val="24"/>
        </w:rPr>
        <w:t>-Ortiz, supra</w:t>
      </w:r>
      <w:r w:rsidR="009D3DAC">
        <w:rPr>
          <w:rFonts w:ascii="Arial" w:eastAsia="Times New Roman" w:hAnsi="Arial" w:cs="Arial"/>
          <w:sz w:val="24"/>
          <w:szCs w:val="24"/>
        </w:rPr>
        <w:t>. The factual allegations must be suffici</w:t>
      </w:r>
      <w:r>
        <w:rPr>
          <w:rFonts w:ascii="Arial" w:eastAsia="Times New Roman" w:hAnsi="Arial" w:cs="Arial"/>
          <w:sz w:val="24"/>
          <w:szCs w:val="24"/>
        </w:rPr>
        <w:t>ent to “raise a right to relief</w:t>
      </w:r>
      <w:r w:rsidR="009D3DAC">
        <w:rPr>
          <w:rFonts w:ascii="Arial" w:eastAsia="Times New Roman" w:hAnsi="Arial" w:cs="Arial"/>
          <w:sz w:val="24"/>
          <w:szCs w:val="24"/>
        </w:rPr>
        <w:t xml:space="preserve"> above a speculative level on the assumption that the allegations in the complaint are true (even if doubtful in fact.)” </w:t>
      </w:r>
      <w:proofErr w:type="gramStart"/>
      <w:r w:rsidR="009D3DAC" w:rsidRPr="009D3DAC">
        <w:rPr>
          <w:rFonts w:ascii="Arial" w:eastAsia="Times New Roman" w:hAnsi="Arial" w:cs="Arial"/>
          <w:i/>
          <w:sz w:val="24"/>
          <w:szCs w:val="24"/>
        </w:rPr>
        <w:t xml:space="preserve">Bell Atlantic v. </w:t>
      </w:r>
      <w:proofErr w:type="spellStart"/>
      <w:r w:rsidR="009D3DAC" w:rsidRPr="009D3DAC">
        <w:rPr>
          <w:rFonts w:ascii="Arial" w:eastAsia="Times New Roman" w:hAnsi="Arial" w:cs="Arial"/>
          <w:i/>
          <w:sz w:val="24"/>
          <w:szCs w:val="24"/>
        </w:rPr>
        <w:t>Twombly</w:t>
      </w:r>
      <w:proofErr w:type="spellEnd"/>
      <w:r w:rsidR="009D3DAC">
        <w:rPr>
          <w:rFonts w:ascii="Arial" w:eastAsia="Times New Roman" w:hAnsi="Arial" w:cs="Arial"/>
          <w:sz w:val="24"/>
          <w:szCs w:val="24"/>
        </w:rPr>
        <w:t>, 550 U.S. 554, 555 (2007).</w:t>
      </w:r>
      <w:proofErr w:type="gramEnd"/>
      <w:r w:rsidR="009D3DAC">
        <w:rPr>
          <w:rFonts w:ascii="Arial" w:eastAsia="Times New Roman" w:hAnsi="Arial" w:cs="Arial"/>
          <w:sz w:val="24"/>
          <w:szCs w:val="24"/>
        </w:rPr>
        <w:t xml:space="preserve"> </w:t>
      </w:r>
    </w:p>
    <w:p w:rsidR="009D3DAC" w:rsidRPr="009D3DAC" w:rsidRDefault="009D3DAC" w:rsidP="00925C70">
      <w:pPr>
        <w:spacing w:after="0" w:line="240" w:lineRule="auto"/>
        <w:rPr>
          <w:rFonts w:ascii="Arial" w:eastAsia="Times New Roman" w:hAnsi="Arial" w:cs="Arial"/>
          <w:sz w:val="24"/>
          <w:szCs w:val="24"/>
        </w:rPr>
      </w:pPr>
    </w:p>
    <w:p w:rsidR="001B606E" w:rsidRDefault="001B606E" w:rsidP="009D3DAC">
      <w:pPr>
        <w:spacing w:after="0" w:line="240" w:lineRule="auto"/>
        <w:ind w:firstLine="720"/>
        <w:rPr>
          <w:rFonts w:ascii="Arial" w:eastAsia="Times New Roman" w:hAnsi="Arial" w:cs="Arial"/>
          <w:sz w:val="24"/>
          <w:szCs w:val="24"/>
        </w:rPr>
      </w:pPr>
      <w:r>
        <w:rPr>
          <w:rFonts w:ascii="Arial" w:eastAsia="Times New Roman" w:hAnsi="Arial" w:cs="Arial"/>
          <w:sz w:val="24"/>
          <w:szCs w:val="24"/>
        </w:rPr>
        <w:t>The case may be dismissed o</w:t>
      </w:r>
      <w:r w:rsidR="009D3DAC" w:rsidRPr="009D3DAC">
        <w:rPr>
          <w:rFonts w:ascii="Arial" w:eastAsia="Times New Roman" w:hAnsi="Arial" w:cs="Arial"/>
          <w:sz w:val="24"/>
          <w:szCs w:val="24"/>
        </w:rPr>
        <w:t xml:space="preserve">nly if the Hearing Officer cannot grant </w:t>
      </w:r>
      <w:r>
        <w:rPr>
          <w:rFonts w:ascii="Arial" w:eastAsia="Times New Roman" w:hAnsi="Arial" w:cs="Arial"/>
          <w:sz w:val="24"/>
          <w:szCs w:val="24"/>
        </w:rPr>
        <w:t xml:space="preserve">any </w:t>
      </w:r>
      <w:r w:rsidR="009D3DAC" w:rsidRPr="009D3DAC">
        <w:rPr>
          <w:rFonts w:ascii="Arial" w:eastAsia="Times New Roman" w:hAnsi="Arial" w:cs="Arial"/>
          <w:sz w:val="24"/>
          <w:szCs w:val="24"/>
        </w:rPr>
        <w:t>relief under federal</w:t>
      </w:r>
      <w:r>
        <w:rPr>
          <w:rStyle w:val="FootnoteReference"/>
          <w:rFonts w:ascii="Arial" w:eastAsia="Times New Roman" w:hAnsi="Arial" w:cs="Arial"/>
          <w:sz w:val="24"/>
          <w:szCs w:val="24"/>
        </w:rPr>
        <w:footnoteReference w:id="3"/>
      </w:r>
      <w:r w:rsidR="009D3DAC" w:rsidRPr="009D3DAC">
        <w:rPr>
          <w:rFonts w:ascii="Arial" w:eastAsia="Times New Roman" w:hAnsi="Arial" w:cs="Arial"/>
          <w:sz w:val="24"/>
          <w:szCs w:val="24"/>
        </w:rPr>
        <w:t xml:space="preserve"> or state</w:t>
      </w:r>
      <w:r w:rsidR="00E92F96">
        <w:rPr>
          <w:rStyle w:val="FootnoteReference"/>
          <w:rFonts w:ascii="Arial" w:eastAsia="Times New Roman" w:hAnsi="Arial" w:cs="Arial"/>
          <w:sz w:val="24"/>
          <w:szCs w:val="24"/>
        </w:rPr>
        <w:footnoteReference w:id="4"/>
      </w:r>
      <w:r w:rsidR="000F2817">
        <w:rPr>
          <w:rFonts w:ascii="Arial" w:eastAsia="Times New Roman" w:hAnsi="Arial" w:cs="Arial"/>
          <w:sz w:val="24"/>
          <w:szCs w:val="24"/>
        </w:rPr>
        <w:t xml:space="preserve"> special education statutes</w:t>
      </w:r>
      <w:r w:rsidR="009D3DAC" w:rsidRPr="009D3DAC">
        <w:rPr>
          <w:rFonts w:ascii="Arial" w:eastAsia="Times New Roman" w:hAnsi="Arial" w:cs="Arial"/>
          <w:sz w:val="24"/>
          <w:szCs w:val="24"/>
        </w:rPr>
        <w:t xml:space="preserve">, or Section 504 </w:t>
      </w:r>
      <w:r w:rsidR="000F2817">
        <w:rPr>
          <w:rFonts w:ascii="Arial" w:eastAsia="Times New Roman" w:hAnsi="Arial" w:cs="Arial"/>
          <w:sz w:val="24"/>
          <w:szCs w:val="24"/>
        </w:rPr>
        <w:t>of the Rehabilitation Act</w:t>
      </w:r>
      <w:r>
        <w:rPr>
          <w:rFonts w:ascii="Arial" w:eastAsia="Times New Roman" w:hAnsi="Arial" w:cs="Arial"/>
          <w:sz w:val="24"/>
          <w:szCs w:val="24"/>
        </w:rPr>
        <w:t>.</w:t>
      </w:r>
      <w:r w:rsidR="000F2817">
        <w:rPr>
          <w:rStyle w:val="FootnoteReference"/>
          <w:rFonts w:ascii="Arial" w:eastAsia="Times New Roman" w:hAnsi="Arial" w:cs="Arial"/>
          <w:sz w:val="24"/>
          <w:szCs w:val="24"/>
        </w:rPr>
        <w:footnoteReference w:id="5"/>
      </w:r>
      <w:r w:rsidR="009D3DAC" w:rsidRPr="009D3DAC">
        <w:rPr>
          <w:rFonts w:ascii="Arial" w:eastAsia="Times New Roman" w:hAnsi="Arial" w:cs="Arial"/>
          <w:sz w:val="24"/>
          <w:szCs w:val="24"/>
        </w:rPr>
        <w:t xml:space="preserve"> See </w:t>
      </w:r>
      <w:r w:rsidR="003F65E4">
        <w:rPr>
          <w:rFonts w:ascii="Arial" w:eastAsia="Times New Roman" w:hAnsi="Arial" w:cs="Arial"/>
          <w:i/>
          <w:sz w:val="24"/>
          <w:szCs w:val="24"/>
        </w:rPr>
        <w:t xml:space="preserve">Calderon-Ortiz, supra; </w:t>
      </w:r>
      <w:r w:rsidR="005417EB" w:rsidRPr="005417EB">
        <w:rPr>
          <w:rFonts w:ascii="Arial" w:eastAsia="Times New Roman" w:hAnsi="Arial" w:cs="Arial"/>
          <w:i/>
          <w:sz w:val="24"/>
          <w:szCs w:val="24"/>
        </w:rPr>
        <w:t>W</w:t>
      </w:r>
      <w:r w:rsidR="005417EB">
        <w:rPr>
          <w:rFonts w:ascii="Arial" w:eastAsia="Times New Roman" w:hAnsi="Arial" w:cs="Arial"/>
          <w:i/>
          <w:sz w:val="24"/>
          <w:szCs w:val="24"/>
        </w:rPr>
        <w:t>h</w:t>
      </w:r>
      <w:r w:rsidR="009D3DAC" w:rsidRPr="009D3DAC">
        <w:rPr>
          <w:rFonts w:ascii="Arial" w:eastAsia="Times New Roman" w:hAnsi="Arial" w:cs="Arial"/>
          <w:i/>
          <w:sz w:val="24"/>
          <w:szCs w:val="24"/>
        </w:rPr>
        <w:t xml:space="preserve">itinsville Plaza Inc. v. </w:t>
      </w:r>
      <w:proofErr w:type="spellStart"/>
      <w:r w:rsidR="009D3DAC" w:rsidRPr="009D3DAC">
        <w:rPr>
          <w:rFonts w:ascii="Arial" w:eastAsia="Times New Roman" w:hAnsi="Arial" w:cs="Arial"/>
          <w:i/>
          <w:sz w:val="24"/>
          <w:szCs w:val="24"/>
        </w:rPr>
        <w:t>Kotseas</w:t>
      </w:r>
      <w:proofErr w:type="spellEnd"/>
      <w:r w:rsidR="009D3DAC" w:rsidRPr="009D3DAC">
        <w:rPr>
          <w:rFonts w:ascii="Arial" w:eastAsia="Times New Roman" w:hAnsi="Arial" w:cs="Arial"/>
          <w:sz w:val="24"/>
          <w:szCs w:val="24"/>
        </w:rPr>
        <w:t xml:space="preserve">, 378 Mass. 85, 89 (1979); </w:t>
      </w:r>
      <w:r w:rsidR="009D3DAC" w:rsidRPr="009D3DAC">
        <w:rPr>
          <w:rFonts w:ascii="Arial" w:eastAsia="Times New Roman" w:hAnsi="Arial" w:cs="Arial"/>
          <w:i/>
          <w:sz w:val="24"/>
          <w:szCs w:val="24"/>
        </w:rPr>
        <w:t>Nader v. Citron</w:t>
      </w:r>
      <w:r w:rsidR="009D3DAC" w:rsidRPr="009D3DAC">
        <w:rPr>
          <w:rFonts w:ascii="Arial" w:eastAsia="Times New Roman" w:hAnsi="Arial" w:cs="Arial"/>
          <w:sz w:val="24"/>
          <w:szCs w:val="24"/>
        </w:rPr>
        <w:t xml:space="preserve">, 372 Mass. 96, 98 (1977); </w:t>
      </w:r>
      <w:r w:rsidR="009D3DAC" w:rsidRPr="009D3DAC">
        <w:rPr>
          <w:rFonts w:ascii="Arial" w:eastAsia="Times New Roman" w:hAnsi="Arial" w:cs="Arial"/>
          <w:i/>
          <w:sz w:val="24"/>
          <w:szCs w:val="24"/>
        </w:rPr>
        <w:t>Norfolk County Agricultural School</w:t>
      </w:r>
      <w:r w:rsidR="009D3DAC" w:rsidRPr="009D3DAC">
        <w:rPr>
          <w:rFonts w:ascii="Arial" w:eastAsia="Times New Roman" w:hAnsi="Arial" w:cs="Arial"/>
          <w:sz w:val="24"/>
          <w:szCs w:val="24"/>
        </w:rPr>
        <w:t>, 45 IDELR, 26 (</w:t>
      </w:r>
      <w:r w:rsidR="003F65E4">
        <w:rPr>
          <w:rFonts w:ascii="Arial" w:eastAsia="Times New Roman" w:hAnsi="Arial" w:cs="Arial"/>
          <w:sz w:val="24"/>
          <w:szCs w:val="24"/>
        </w:rPr>
        <w:t>2005)</w:t>
      </w:r>
      <w:r>
        <w:rPr>
          <w:rFonts w:ascii="Arial" w:eastAsia="Times New Roman" w:hAnsi="Arial" w:cs="Arial"/>
          <w:sz w:val="24"/>
          <w:szCs w:val="24"/>
        </w:rPr>
        <w:t>.</w:t>
      </w:r>
    </w:p>
    <w:p w:rsidR="001B606E" w:rsidRDefault="001B606E" w:rsidP="009D3DAC">
      <w:pPr>
        <w:spacing w:after="0" w:line="240" w:lineRule="auto"/>
        <w:ind w:firstLine="720"/>
        <w:rPr>
          <w:rFonts w:ascii="Arial" w:eastAsia="Times New Roman" w:hAnsi="Arial" w:cs="Arial"/>
          <w:sz w:val="24"/>
          <w:szCs w:val="24"/>
        </w:rPr>
      </w:pPr>
    </w:p>
    <w:p w:rsidR="009D3DAC" w:rsidRDefault="009D3DAC" w:rsidP="009D3DAC">
      <w:pPr>
        <w:spacing w:after="0" w:line="240" w:lineRule="auto"/>
        <w:ind w:firstLine="720"/>
        <w:rPr>
          <w:rFonts w:ascii="Arial" w:eastAsia="Times New Roman" w:hAnsi="Arial" w:cs="Arial"/>
          <w:sz w:val="24"/>
          <w:szCs w:val="24"/>
        </w:rPr>
      </w:pPr>
      <w:r w:rsidRPr="009D3DAC">
        <w:rPr>
          <w:rFonts w:ascii="Arial" w:eastAsia="Times New Roman" w:hAnsi="Arial" w:cs="Arial"/>
          <w:sz w:val="24"/>
          <w:szCs w:val="24"/>
        </w:rPr>
        <w:t xml:space="preserve"> Conversely, if the opposing party’s allegations raise the plausibility of a viable claim that may give rise to some form of reli</w:t>
      </w:r>
      <w:r w:rsidR="005417EB">
        <w:rPr>
          <w:rFonts w:ascii="Arial" w:eastAsia="Times New Roman" w:hAnsi="Arial" w:cs="Arial"/>
          <w:sz w:val="24"/>
          <w:szCs w:val="24"/>
        </w:rPr>
        <w:t xml:space="preserve">ef </w:t>
      </w:r>
      <w:r w:rsidR="001B606E">
        <w:rPr>
          <w:rFonts w:ascii="Arial" w:eastAsia="Times New Roman" w:hAnsi="Arial" w:cs="Arial"/>
          <w:sz w:val="24"/>
          <w:szCs w:val="24"/>
        </w:rPr>
        <w:t xml:space="preserve">cognizable </w:t>
      </w:r>
      <w:r w:rsidR="000F2817">
        <w:rPr>
          <w:rFonts w:ascii="Arial" w:eastAsia="Times New Roman" w:hAnsi="Arial" w:cs="Arial"/>
          <w:sz w:val="24"/>
          <w:szCs w:val="24"/>
        </w:rPr>
        <w:t>any one or more of these statutory provisions,</w:t>
      </w:r>
      <w:r w:rsidRPr="009D3DAC">
        <w:rPr>
          <w:rFonts w:ascii="Arial" w:eastAsia="Times New Roman" w:hAnsi="Arial" w:cs="Arial"/>
          <w:sz w:val="24"/>
          <w:szCs w:val="24"/>
        </w:rPr>
        <w:t xml:space="preserve"> the matter </w:t>
      </w:r>
      <w:r w:rsidR="000F2817">
        <w:rPr>
          <w:rFonts w:ascii="Arial" w:eastAsia="Times New Roman" w:hAnsi="Arial" w:cs="Arial"/>
          <w:sz w:val="24"/>
          <w:szCs w:val="24"/>
        </w:rPr>
        <w:t xml:space="preserve">should </w:t>
      </w:r>
      <w:r w:rsidRPr="009D3DAC">
        <w:rPr>
          <w:rFonts w:ascii="Arial" w:eastAsia="Times New Roman" w:hAnsi="Arial" w:cs="Arial"/>
          <w:sz w:val="24"/>
          <w:szCs w:val="24"/>
        </w:rPr>
        <w:t xml:space="preserve">not be dismissed. See </w:t>
      </w:r>
      <w:proofErr w:type="spellStart"/>
      <w:r w:rsidRPr="009D3DAC">
        <w:rPr>
          <w:rFonts w:ascii="Arial" w:eastAsia="Times New Roman" w:hAnsi="Arial" w:cs="Arial"/>
          <w:i/>
          <w:sz w:val="24"/>
          <w:szCs w:val="24"/>
        </w:rPr>
        <w:t>Ashcorft</w:t>
      </w:r>
      <w:proofErr w:type="spellEnd"/>
      <w:r w:rsidRPr="009D3DAC">
        <w:rPr>
          <w:rFonts w:ascii="Arial" w:eastAsia="Times New Roman" w:hAnsi="Arial" w:cs="Arial"/>
          <w:i/>
          <w:sz w:val="24"/>
          <w:szCs w:val="24"/>
        </w:rPr>
        <w:t xml:space="preserve"> v. Iqbal</w:t>
      </w:r>
      <w:r w:rsidRPr="009D3DAC">
        <w:rPr>
          <w:rFonts w:ascii="Arial" w:eastAsia="Times New Roman" w:hAnsi="Arial" w:cs="Arial"/>
          <w:sz w:val="24"/>
          <w:szCs w:val="24"/>
        </w:rPr>
        <w:t xml:space="preserve">, 129 S. Ct. 1937, 1948 (2009). </w:t>
      </w:r>
    </w:p>
    <w:p w:rsidR="0069221F" w:rsidRDefault="0069221F" w:rsidP="009D3DAC">
      <w:pPr>
        <w:spacing w:after="0" w:line="240" w:lineRule="auto"/>
        <w:ind w:firstLine="720"/>
        <w:rPr>
          <w:rFonts w:ascii="Arial" w:eastAsia="Times New Roman" w:hAnsi="Arial" w:cs="Arial"/>
          <w:sz w:val="24"/>
          <w:szCs w:val="24"/>
        </w:rPr>
      </w:pPr>
    </w:p>
    <w:p w:rsidR="0069221F" w:rsidRDefault="0069221F" w:rsidP="0069221F">
      <w:pPr>
        <w:pStyle w:val="ListParagraph"/>
        <w:numPr>
          <w:ilvl w:val="0"/>
          <w:numId w:val="3"/>
        </w:numPr>
        <w:spacing w:after="0" w:line="240" w:lineRule="auto"/>
        <w:rPr>
          <w:rFonts w:ascii="Arial" w:eastAsia="Times New Roman" w:hAnsi="Arial" w:cs="Arial"/>
          <w:b/>
          <w:sz w:val="24"/>
          <w:szCs w:val="24"/>
        </w:rPr>
      </w:pPr>
      <w:r w:rsidRPr="0069221F">
        <w:rPr>
          <w:rFonts w:ascii="Arial" w:eastAsia="Times New Roman" w:hAnsi="Arial" w:cs="Arial"/>
          <w:b/>
          <w:sz w:val="24"/>
          <w:szCs w:val="24"/>
        </w:rPr>
        <w:t xml:space="preserve">BSEA’s Jurisdiction </w:t>
      </w:r>
      <w:r w:rsidR="000F2817">
        <w:rPr>
          <w:rFonts w:ascii="Arial" w:eastAsia="Times New Roman" w:hAnsi="Arial" w:cs="Arial"/>
          <w:b/>
          <w:sz w:val="24"/>
          <w:szCs w:val="24"/>
        </w:rPr>
        <w:t>Over Settlement Agreements</w:t>
      </w:r>
    </w:p>
    <w:p w:rsidR="00742BE5" w:rsidRDefault="00742BE5" w:rsidP="00742BE5">
      <w:pPr>
        <w:pStyle w:val="ListParagraph"/>
        <w:spacing w:after="0" w:line="240" w:lineRule="auto"/>
        <w:ind w:left="1080"/>
        <w:rPr>
          <w:rFonts w:ascii="Arial" w:eastAsia="Times New Roman" w:hAnsi="Arial" w:cs="Arial"/>
          <w:b/>
          <w:sz w:val="24"/>
          <w:szCs w:val="24"/>
        </w:rPr>
      </w:pPr>
    </w:p>
    <w:p w:rsidR="000331B1" w:rsidRDefault="000331B1" w:rsidP="00E27FC5">
      <w:pPr>
        <w:spacing w:after="0" w:line="240" w:lineRule="auto"/>
        <w:ind w:firstLine="360"/>
        <w:rPr>
          <w:rFonts w:ascii="Arial" w:eastAsia="Times New Roman" w:hAnsi="Arial" w:cs="Arial"/>
          <w:sz w:val="24"/>
          <w:szCs w:val="24"/>
        </w:rPr>
      </w:pPr>
      <w:r w:rsidRPr="000331B1">
        <w:rPr>
          <w:rFonts w:ascii="Arial" w:eastAsia="Times New Roman" w:hAnsi="Arial" w:cs="Arial"/>
          <w:sz w:val="24"/>
          <w:szCs w:val="24"/>
        </w:rPr>
        <w:t>The BSEA has jurisdiction to consider only those claims for which en</w:t>
      </w:r>
      <w:r>
        <w:rPr>
          <w:rFonts w:ascii="Arial" w:eastAsia="Times New Roman" w:hAnsi="Arial" w:cs="Arial"/>
          <w:sz w:val="24"/>
          <w:szCs w:val="24"/>
        </w:rPr>
        <w:t>abling statutes and regulations provide express authority</w:t>
      </w:r>
      <w:r w:rsidRPr="000331B1">
        <w:rPr>
          <w:rFonts w:ascii="Arial" w:eastAsia="Times New Roman" w:hAnsi="Arial" w:cs="Arial"/>
          <w:sz w:val="24"/>
          <w:szCs w:val="24"/>
        </w:rPr>
        <w:t xml:space="preserve">. </w:t>
      </w:r>
      <w:proofErr w:type="gramStart"/>
      <w:r w:rsidR="00836A88">
        <w:rPr>
          <w:rFonts w:ascii="Arial" w:eastAsia="Times New Roman" w:hAnsi="Arial" w:cs="Arial"/>
          <w:sz w:val="24"/>
          <w:szCs w:val="24"/>
        </w:rPr>
        <w:t xml:space="preserve">See </w:t>
      </w:r>
      <w:r w:rsidRPr="000331B1">
        <w:rPr>
          <w:rFonts w:ascii="Arial" w:eastAsia="Times New Roman" w:hAnsi="Arial" w:cs="Arial"/>
          <w:i/>
          <w:sz w:val="24"/>
          <w:szCs w:val="24"/>
        </w:rPr>
        <w:t>Globe Newspaper Co. v. Beacon Hill Architectural Comm.</w:t>
      </w:r>
      <w:r>
        <w:rPr>
          <w:rFonts w:ascii="Arial" w:eastAsia="Times New Roman" w:hAnsi="Arial" w:cs="Arial"/>
          <w:sz w:val="24"/>
          <w:szCs w:val="24"/>
        </w:rPr>
        <w:t xml:space="preserve">, </w:t>
      </w:r>
      <w:r w:rsidRPr="000331B1">
        <w:rPr>
          <w:rFonts w:ascii="Arial" w:eastAsia="Times New Roman" w:hAnsi="Arial" w:cs="Arial"/>
          <w:sz w:val="24"/>
          <w:szCs w:val="24"/>
        </w:rPr>
        <w:t xml:space="preserve">421 Mass. </w:t>
      </w:r>
      <w:r w:rsidR="00836A88">
        <w:rPr>
          <w:rFonts w:ascii="Arial" w:eastAsia="Times New Roman" w:hAnsi="Arial" w:cs="Arial"/>
          <w:sz w:val="24"/>
          <w:szCs w:val="24"/>
        </w:rPr>
        <w:t xml:space="preserve">570 </w:t>
      </w:r>
      <w:r>
        <w:rPr>
          <w:rFonts w:ascii="Arial" w:eastAsia="Times New Roman" w:hAnsi="Arial" w:cs="Arial"/>
          <w:sz w:val="24"/>
          <w:szCs w:val="24"/>
        </w:rPr>
        <w:t>(1996).</w:t>
      </w:r>
      <w:proofErr w:type="gramEnd"/>
      <w:r>
        <w:rPr>
          <w:rFonts w:ascii="Arial" w:eastAsia="Times New Roman" w:hAnsi="Arial" w:cs="Arial"/>
          <w:sz w:val="24"/>
          <w:szCs w:val="24"/>
        </w:rPr>
        <w:t xml:space="preserve"> “</w:t>
      </w:r>
      <w:r w:rsidRPr="000331B1">
        <w:rPr>
          <w:rFonts w:ascii="Arial" w:eastAsia="Times New Roman" w:hAnsi="Arial" w:cs="Arial"/>
          <w:sz w:val="24"/>
          <w:szCs w:val="24"/>
        </w:rPr>
        <w:t>The IDEA and conforming Massachusetts law give the BSEA authority to determine the respective rights and obligations of publicly funded agencies and parents/students in the implementation of federal and st</w:t>
      </w:r>
      <w:r>
        <w:rPr>
          <w:rFonts w:ascii="Arial" w:eastAsia="Times New Roman" w:hAnsi="Arial" w:cs="Arial"/>
          <w:sz w:val="24"/>
          <w:szCs w:val="24"/>
        </w:rPr>
        <w:t>ate special education statutes.”</w:t>
      </w:r>
      <w:r w:rsidRPr="000331B1">
        <w:rPr>
          <w:rFonts w:ascii="Arial" w:eastAsia="Times New Roman" w:hAnsi="Arial" w:cs="Arial"/>
          <w:sz w:val="24"/>
          <w:szCs w:val="24"/>
        </w:rPr>
        <w:t xml:space="preserve"> </w:t>
      </w:r>
      <w:r w:rsidRPr="000331B1">
        <w:rPr>
          <w:rFonts w:ascii="Arial" w:eastAsia="Times New Roman" w:hAnsi="Arial" w:cs="Arial"/>
          <w:i/>
          <w:sz w:val="24"/>
          <w:szCs w:val="24"/>
        </w:rPr>
        <w:t>In Re: Monson Public Schools</w:t>
      </w:r>
      <w:r w:rsidRPr="000331B1">
        <w:rPr>
          <w:rFonts w:ascii="Arial" w:eastAsia="Times New Roman" w:hAnsi="Arial" w:cs="Arial"/>
          <w:sz w:val="24"/>
          <w:szCs w:val="24"/>
        </w:rPr>
        <w:t xml:space="preserve">, </w:t>
      </w:r>
      <w:r>
        <w:rPr>
          <w:rFonts w:ascii="Arial" w:eastAsia="Times New Roman" w:hAnsi="Arial" w:cs="Arial"/>
          <w:sz w:val="24"/>
          <w:szCs w:val="24"/>
        </w:rPr>
        <w:t>BSEA #</w:t>
      </w:r>
      <w:r w:rsidRPr="000331B1">
        <w:rPr>
          <w:rFonts w:ascii="Arial" w:eastAsia="Times New Roman" w:hAnsi="Arial" w:cs="Arial"/>
          <w:bCs/>
          <w:sz w:val="24"/>
          <w:szCs w:val="24"/>
        </w:rPr>
        <w:t>10-5064</w:t>
      </w:r>
      <w:r w:rsidRPr="000331B1">
        <w:rPr>
          <w:rFonts w:ascii="Arial" w:eastAsia="Times New Roman" w:hAnsi="Arial" w:cs="Arial"/>
          <w:sz w:val="24"/>
          <w:szCs w:val="24"/>
        </w:rPr>
        <w:t xml:space="preserve"> (</w:t>
      </w:r>
      <w:r>
        <w:rPr>
          <w:rFonts w:ascii="Arial" w:eastAsia="Times New Roman" w:hAnsi="Arial" w:cs="Arial"/>
          <w:sz w:val="24"/>
          <w:szCs w:val="24"/>
        </w:rPr>
        <w:t xml:space="preserve">Byrne, </w:t>
      </w:r>
      <w:r w:rsidRPr="000331B1">
        <w:rPr>
          <w:rFonts w:ascii="Arial" w:eastAsia="Times New Roman" w:hAnsi="Arial" w:cs="Arial"/>
          <w:sz w:val="24"/>
          <w:szCs w:val="24"/>
        </w:rPr>
        <w:t xml:space="preserve">2010). </w:t>
      </w:r>
    </w:p>
    <w:p w:rsidR="000331B1" w:rsidRDefault="000331B1" w:rsidP="00164C8C">
      <w:pPr>
        <w:spacing w:after="0" w:line="240" w:lineRule="auto"/>
        <w:ind w:firstLine="360"/>
        <w:rPr>
          <w:rFonts w:ascii="Arial" w:eastAsia="Times New Roman" w:hAnsi="Arial" w:cs="Arial"/>
          <w:sz w:val="24"/>
          <w:szCs w:val="24"/>
        </w:rPr>
      </w:pPr>
    </w:p>
    <w:p w:rsidR="005726D4" w:rsidRPr="0069221F" w:rsidRDefault="00D11EF9" w:rsidP="00164C8C">
      <w:pPr>
        <w:spacing w:after="0" w:line="240" w:lineRule="auto"/>
        <w:ind w:firstLine="360"/>
        <w:rPr>
          <w:rFonts w:ascii="Arial" w:eastAsia="Times New Roman" w:hAnsi="Arial" w:cs="Arial"/>
          <w:sz w:val="24"/>
          <w:szCs w:val="24"/>
        </w:rPr>
      </w:pPr>
      <w:r w:rsidRPr="00D11EF9">
        <w:rPr>
          <w:rFonts w:ascii="Arial" w:eastAsia="Times New Roman" w:hAnsi="Arial" w:cs="Arial"/>
          <w:sz w:val="24"/>
          <w:szCs w:val="24"/>
        </w:rPr>
        <w:t xml:space="preserve">The question of whether the </w:t>
      </w:r>
      <w:r>
        <w:rPr>
          <w:rFonts w:ascii="Arial" w:eastAsia="Times New Roman" w:hAnsi="Arial" w:cs="Arial"/>
          <w:sz w:val="24"/>
          <w:szCs w:val="24"/>
        </w:rPr>
        <w:t>BSEA</w:t>
      </w:r>
      <w:r w:rsidRPr="00D11EF9">
        <w:rPr>
          <w:rFonts w:ascii="Arial" w:eastAsia="Times New Roman" w:hAnsi="Arial" w:cs="Arial"/>
          <w:sz w:val="24"/>
          <w:szCs w:val="24"/>
        </w:rPr>
        <w:t xml:space="preserve"> has</w:t>
      </w:r>
      <w:r>
        <w:rPr>
          <w:rFonts w:ascii="Arial" w:eastAsia="Times New Roman" w:hAnsi="Arial" w:cs="Arial"/>
          <w:sz w:val="24"/>
          <w:szCs w:val="24"/>
        </w:rPr>
        <w:t xml:space="preserve"> subject matter</w:t>
      </w:r>
      <w:r w:rsidRPr="00D11EF9">
        <w:rPr>
          <w:rFonts w:ascii="Arial" w:eastAsia="Times New Roman" w:hAnsi="Arial" w:cs="Arial"/>
          <w:sz w:val="24"/>
          <w:szCs w:val="24"/>
        </w:rPr>
        <w:t xml:space="preserve"> jurisdiction to interpret privately negotiated settlement agreements concerning </w:t>
      </w:r>
      <w:r>
        <w:rPr>
          <w:rFonts w:ascii="Arial" w:eastAsia="Times New Roman" w:hAnsi="Arial" w:cs="Arial"/>
          <w:sz w:val="24"/>
          <w:szCs w:val="24"/>
        </w:rPr>
        <w:t>special education matters</w:t>
      </w:r>
      <w:r w:rsidRPr="00D11EF9">
        <w:rPr>
          <w:rFonts w:ascii="Arial" w:eastAsia="Times New Roman" w:hAnsi="Arial" w:cs="Arial"/>
          <w:sz w:val="24"/>
          <w:szCs w:val="24"/>
        </w:rPr>
        <w:t xml:space="preserve"> </w:t>
      </w:r>
      <w:r w:rsidR="005417EB">
        <w:rPr>
          <w:rFonts w:ascii="Arial" w:eastAsia="Times New Roman" w:hAnsi="Arial" w:cs="Arial"/>
          <w:sz w:val="24"/>
          <w:szCs w:val="24"/>
        </w:rPr>
        <w:t xml:space="preserve">and determine whether either party has breached such an agreement </w:t>
      </w:r>
      <w:r>
        <w:rPr>
          <w:rFonts w:ascii="Arial" w:eastAsia="Times New Roman" w:hAnsi="Arial" w:cs="Arial"/>
          <w:sz w:val="24"/>
          <w:szCs w:val="24"/>
        </w:rPr>
        <w:t>has been debated within courts and the BSEA for some time.</w:t>
      </w:r>
      <w:r w:rsidRPr="00D11EF9">
        <w:rPr>
          <w:rFonts w:ascii="Arial" w:eastAsia="Times New Roman" w:hAnsi="Arial" w:cs="Arial"/>
          <w:sz w:val="24"/>
          <w:szCs w:val="24"/>
        </w:rPr>
        <w:t xml:space="preserve"> There are reasonable arguments for and against asserting administrative due process jurisdiction over private agreements. There is, however, no </w:t>
      </w:r>
      <w:r w:rsidR="000331B1" w:rsidRPr="00D11EF9">
        <w:rPr>
          <w:rFonts w:ascii="Arial" w:eastAsia="Times New Roman" w:hAnsi="Arial" w:cs="Arial"/>
          <w:sz w:val="24"/>
          <w:szCs w:val="24"/>
        </w:rPr>
        <w:t>conclusive</w:t>
      </w:r>
      <w:r w:rsidRPr="00D11EF9">
        <w:rPr>
          <w:rFonts w:ascii="Arial" w:eastAsia="Times New Roman" w:hAnsi="Arial" w:cs="Arial"/>
          <w:sz w:val="24"/>
          <w:szCs w:val="24"/>
        </w:rPr>
        <w:t xml:space="preserve"> guidance on this issue from </w:t>
      </w:r>
      <w:r w:rsidR="00556364">
        <w:rPr>
          <w:rFonts w:ascii="Arial" w:eastAsia="Times New Roman" w:hAnsi="Arial" w:cs="Arial"/>
          <w:sz w:val="24"/>
          <w:szCs w:val="24"/>
        </w:rPr>
        <w:t xml:space="preserve">either </w:t>
      </w:r>
      <w:r w:rsidR="000F2817">
        <w:rPr>
          <w:rFonts w:ascii="Arial" w:eastAsia="Times New Roman" w:hAnsi="Arial" w:cs="Arial"/>
          <w:sz w:val="24"/>
          <w:szCs w:val="24"/>
        </w:rPr>
        <w:t>the First Circuit or the Massachusetts Supreme Judicial Court</w:t>
      </w:r>
      <w:r w:rsidR="00556364">
        <w:rPr>
          <w:rFonts w:ascii="Arial" w:eastAsia="Times New Roman" w:hAnsi="Arial" w:cs="Arial"/>
          <w:sz w:val="24"/>
          <w:szCs w:val="24"/>
        </w:rPr>
        <w:t xml:space="preserve">.  </w:t>
      </w:r>
      <w:r w:rsidR="005726D4">
        <w:rPr>
          <w:rFonts w:ascii="Arial" w:eastAsia="Times New Roman" w:hAnsi="Arial" w:cs="Arial"/>
          <w:sz w:val="24"/>
          <w:szCs w:val="24"/>
        </w:rPr>
        <w:t xml:space="preserve">See </w:t>
      </w:r>
      <w:r w:rsidR="005726D4" w:rsidRPr="0069221F">
        <w:rPr>
          <w:rFonts w:ascii="Arial" w:eastAsia="Times New Roman" w:hAnsi="Arial" w:cs="Arial"/>
          <w:i/>
          <w:sz w:val="24"/>
          <w:szCs w:val="24"/>
        </w:rPr>
        <w:t>S. Kingstown Sch. Comm. v. Joanna S.</w:t>
      </w:r>
      <w:r w:rsidR="005726D4" w:rsidRPr="005726D4">
        <w:rPr>
          <w:rFonts w:ascii="Arial" w:eastAsia="Times New Roman" w:hAnsi="Arial" w:cs="Arial"/>
          <w:sz w:val="24"/>
          <w:szCs w:val="24"/>
        </w:rPr>
        <w:t xml:space="preserve"> </w:t>
      </w:r>
      <w:r w:rsidR="005726D4" w:rsidRPr="0069221F">
        <w:rPr>
          <w:rFonts w:ascii="Arial" w:eastAsia="Times New Roman" w:hAnsi="Arial" w:cs="Arial"/>
          <w:sz w:val="24"/>
          <w:szCs w:val="24"/>
        </w:rPr>
        <w:t xml:space="preserve">773 F.3d </w:t>
      </w:r>
      <w:r w:rsidR="005726D4">
        <w:rPr>
          <w:rFonts w:ascii="Arial" w:eastAsia="Times New Roman" w:hAnsi="Arial" w:cs="Arial"/>
          <w:sz w:val="24"/>
          <w:szCs w:val="24"/>
        </w:rPr>
        <w:t>n.</w:t>
      </w:r>
      <w:r w:rsidR="005726D4" w:rsidRPr="0069221F">
        <w:rPr>
          <w:rFonts w:ascii="Arial" w:eastAsia="Times New Roman" w:hAnsi="Arial" w:cs="Arial"/>
          <w:sz w:val="24"/>
          <w:szCs w:val="24"/>
        </w:rPr>
        <w:t>3 (1st Cir. 2014)</w:t>
      </w:r>
      <w:r w:rsidR="00C21E98">
        <w:rPr>
          <w:rFonts w:ascii="Arial" w:eastAsia="Times New Roman" w:hAnsi="Arial" w:cs="Arial"/>
          <w:sz w:val="24"/>
          <w:szCs w:val="24"/>
        </w:rPr>
        <w:t xml:space="preserve"> </w:t>
      </w:r>
      <w:r w:rsidR="005726D4">
        <w:rPr>
          <w:rFonts w:ascii="Arial" w:eastAsia="Times New Roman" w:hAnsi="Arial" w:cs="Arial"/>
          <w:sz w:val="24"/>
          <w:szCs w:val="24"/>
        </w:rPr>
        <w:t>(</w:t>
      </w:r>
      <w:r w:rsidR="00C21E98">
        <w:rPr>
          <w:rFonts w:ascii="Arial" w:eastAsia="Times New Roman" w:hAnsi="Arial" w:cs="Arial"/>
          <w:sz w:val="24"/>
          <w:szCs w:val="24"/>
        </w:rPr>
        <w:t>declining to address whether</w:t>
      </w:r>
      <w:r w:rsidR="000331B1">
        <w:rPr>
          <w:rFonts w:ascii="Arial" w:eastAsia="Times New Roman" w:hAnsi="Arial" w:cs="Arial"/>
          <w:sz w:val="24"/>
          <w:szCs w:val="24"/>
        </w:rPr>
        <w:t>,</w:t>
      </w:r>
      <w:r w:rsidR="00C21E98">
        <w:rPr>
          <w:rFonts w:ascii="Arial" w:eastAsia="Times New Roman" w:hAnsi="Arial" w:cs="Arial"/>
          <w:sz w:val="24"/>
          <w:szCs w:val="24"/>
        </w:rPr>
        <w:t xml:space="preserve"> </w:t>
      </w:r>
      <w:r w:rsidR="000331B1">
        <w:rPr>
          <w:rFonts w:ascii="Arial" w:eastAsia="Times New Roman" w:hAnsi="Arial" w:cs="Arial"/>
          <w:sz w:val="24"/>
          <w:szCs w:val="24"/>
        </w:rPr>
        <w:t>or to</w:t>
      </w:r>
      <w:r w:rsidR="00C21E98">
        <w:rPr>
          <w:rFonts w:ascii="Arial" w:eastAsia="Times New Roman" w:hAnsi="Arial" w:cs="Arial"/>
          <w:sz w:val="24"/>
          <w:szCs w:val="24"/>
        </w:rPr>
        <w:t xml:space="preserve"> what extent</w:t>
      </w:r>
      <w:r w:rsidR="000331B1">
        <w:rPr>
          <w:rFonts w:ascii="Arial" w:eastAsia="Times New Roman" w:hAnsi="Arial" w:cs="Arial"/>
          <w:sz w:val="24"/>
          <w:szCs w:val="24"/>
        </w:rPr>
        <w:t>,</w:t>
      </w:r>
      <w:r w:rsidR="00C21E98">
        <w:rPr>
          <w:rFonts w:ascii="Arial" w:eastAsia="Times New Roman" w:hAnsi="Arial" w:cs="Arial"/>
          <w:sz w:val="24"/>
          <w:szCs w:val="24"/>
        </w:rPr>
        <w:t xml:space="preserve"> </w:t>
      </w:r>
      <w:r w:rsidR="000474E8">
        <w:rPr>
          <w:rFonts w:ascii="Arial" w:eastAsia="Times New Roman" w:hAnsi="Arial" w:cs="Arial"/>
          <w:sz w:val="24"/>
          <w:szCs w:val="24"/>
        </w:rPr>
        <w:t>administrative hearing officers—as opposed to courts--</w:t>
      </w:r>
      <w:r w:rsidR="00C21E98">
        <w:rPr>
          <w:rFonts w:ascii="Arial" w:eastAsia="Times New Roman" w:hAnsi="Arial" w:cs="Arial"/>
          <w:sz w:val="24"/>
          <w:szCs w:val="24"/>
        </w:rPr>
        <w:t xml:space="preserve">have jurisdiction over </w:t>
      </w:r>
      <w:r w:rsidR="000474E8">
        <w:rPr>
          <w:rFonts w:ascii="Arial" w:eastAsia="Times New Roman" w:hAnsi="Arial" w:cs="Arial"/>
          <w:sz w:val="24"/>
          <w:szCs w:val="24"/>
        </w:rPr>
        <w:t xml:space="preserve">the interpretation of </w:t>
      </w:r>
      <w:r w:rsidR="00C21E98">
        <w:rPr>
          <w:rFonts w:ascii="Arial" w:eastAsia="Times New Roman" w:hAnsi="Arial" w:cs="Arial"/>
          <w:sz w:val="24"/>
          <w:szCs w:val="24"/>
        </w:rPr>
        <w:t xml:space="preserve">settlement agreements). </w:t>
      </w:r>
    </w:p>
    <w:p w:rsidR="00D11EF9" w:rsidRDefault="00D11EF9" w:rsidP="00D11EF9">
      <w:pPr>
        <w:spacing w:after="0" w:line="240" w:lineRule="auto"/>
        <w:rPr>
          <w:rFonts w:ascii="Arial" w:eastAsia="Times New Roman" w:hAnsi="Arial" w:cs="Arial"/>
          <w:sz w:val="24"/>
          <w:szCs w:val="24"/>
        </w:rPr>
      </w:pPr>
    </w:p>
    <w:p w:rsidR="005C25EB" w:rsidRDefault="00D11EF9" w:rsidP="005726D4">
      <w:pPr>
        <w:spacing w:after="0" w:line="240" w:lineRule="auto"/>
        <w:ind w:firstLine="360"/>
        <w:rPr>
          <w:rFonts w:ascii="Arial" w:eastAsia="Times New Roman" w:hAnsi="Arial" w:cs="Arial"/>
          <w:sz w:val="24"/>
          <w:szCs w:val="24"/>
        </w:rPr>
      </w:pPr>
      <w:r>
        <w:rPr>
          <w:rFonts w:ascii="Arial" w:eastAsia="Times New Roman" w:hAnsi="Arial" w:cs="Arial"/>
          <w:sz w:val="24"/>
          <w:szCs w:val="24"/>
        </w:rPr>
        <w:t xml:space="preserve">Courts in other </w:t>
      </w:r>
      <w:r w:rsidR="000331B1">
        <w:rPr>
          <w:rFonts w:ascii="Arial" w:eastAsia="Times New Roman" w:hAnsi="Arial" w:cs="Arial"/>
          <w:sz w:val="24"/>
          <w:szCs w:val="24"/>
        </w:rPr>
        <w:t>jurisdictions</w:t>
      </w:r>
      <w:r>
        <w:rPr>
          <w:rFonts w:ascii="Arial" w:eastAsia="Times New Roman" w:hAnsi="Arial" w:cs="Arial"/>
          <w:sz w:val="24"/>
          <w:szCs w:val="24"/>
        </w:rPr>
        <w:t xml:space="preserve"> are divided on </w:t>
      </w:r>
      <w:r w:rsidR="005417EB">
        <w:rPr>
          <w:rFonts w:ascii="Arial" w:eastAsia="Times New Roman" w:hAnsi="Arial" w:cs="Arial"/>
          <w:sz w:val="24"/>
          <w:szCs w:val="24"/>
        </w:rPr>
        <w:t>this issue, which frequently arises in the context of a party’s responsibility to exhaust the administrative process established by the IDEA before seeking judicial relief</w:t>
      </w:r>
      <w:r>
        <w:rPr>
          <w:rFonts w:ascii="Arial" w:eastAsia="Times New Roman" w:hAnsi="Arial" w:cs="Arial"/>
          <w:sz w:val="24"/>
          <w:szCs w:val="24"/>
        </w:rPr>
        <w:t xml:space="preserve">. </w:t>
      </w:r>
      <w:r w:rsidR="000F2817">
        <w:rPr>
          <w:rFonts w:ascii="Arial" w:eastAsia="Times New Roman" w:hAnsi="Arial" w:cs="Arial"/>
          <w:sz w:val="24"/>
          <w:szCs w:val="24"/>
        </w:rPr>
        <w:t xml:space="preserve"> </w:t>
      </w:r>
      <w:r w:rsidR="005417EB">
        <w:rPr>
          <w:rFonts w:ascii="Arial" w:eastAsia="Times New Roman" w:hAnsi="Arial" w:cs="Arial"/>
          <w:sz w:val="24"/>
          <w:szCs w:val="24"/>
        </w:rPr>
        <w:t xml:space="preserve">For example, the </w:t>
      </w:r>
      <w:r w:rsidR="00F8433C">
        <w:rPr>
          <w:rFonts w:ascii="Arial" w:eastAsia="Times New Roman" w:hAnsi="Arial" w:cs="Arial"/>
          <w:sz w:val="24"/>
          <w:szCs w:val="24"/>
        </w:rPr>
        <w:t xml:space="preserve">Court of Appeals </w:t>
      </w:r>
      <w:r w:rsidR="005417EB">
        <w:rPr>
          <w:rFonts w:ascii="Arial" w:eastAsia="Times New Roman" w:hAnsi="Arial" w:cs="Arial"/>
          <w:sz w:val="24"/>
          <w:szCs w:val="24"/>
        </w:rPr>
        <w:t>for the 11</w:t>
      </w:r>
      <w:r w:rsidR="005417EB" w:rsidRPr="005417EB">
        <w:rPr>
          <w:rFonts w:ascii="Arial" w:eastAsia="Times New Roman" w:hAnsi="Arial" w:cs="Arial"/>
          <w:sz w:val="24"/>
          <w:szCs w:val="24"/>
          <w:vertAlign w:val="superscript"/>
        </w:rPr>
        <w:t>th</w:t>
      </w:r>
      <w:r w:rsidR="005417EB">
        <w:rPr>
          <w:rFonts w:ascii="Arial" w:eastAsia="Times New Roman" w:hAnsi="Arial" w:cs="Arial"/>
          <w:sz w:val="24"/>
          <w:szCs w:val="24"/>
        </w:rPr>
        <w:t xml:space="preserve"> Circuit has </w:t>
      </w:r>
      <w:r w:rsidR="00F8433C">
        <w:rPr>
          <w:rFonts w:ascii="Arial" w:eastAsia="Times New Roman" w:hAnsi="Arial" w:cs="Arial"/>
          <w:sz w:val="24"/>
          <w:szCs w:val="24"/>
        </w:rPr>
        <w:t xml:space="preserve">held that </w:t>
      </w:r>
      <w:r w:rsidR="005C25EB">
        <w:rPr>
          <w:rFonts w:ascii="Arial" w:eastAsia="Times New Roman" w:hAnsi="Arial" w:cs="Arial"/>
          <w:sz w:val="24"/>
          <w:szCs w:val="24"/>
        </w:rPr>
        <w:t xml:space="preserve">such exhaustion was required in a case where the Court deemed that an alleged </w:t>
      </w:r>
      <w:r w:rsidR="00F8433C">
        <w:rPr>
          <w:rFonts w:ascii="Arial" w:eastAsia="Times New Roman" w:hAnsi="Arial" w:cs="Arial"/>
          <w:sz w:val="24"/>
          <w:szCs w:val="24"/>
        </w:rPr>
        <w:t xml:space="preserve">breach of </w:t>
      </w:r>
      <w:r w:rsidR="005C25EB">
        <w:rPr>
          <w:rFonts w:ascii="Arial" w:eastAsia="Times New Roman" w:hAnsi="Arial" w:cs="Arial"/>
          <w:sz w:val="24"/>
          <w:szCs w:val="24"/>
        </w:rPr>
        <w:t>c</w:t>
      </w:r>
      <w:r w:rsidR="00F8433C">
        <w:rPr>
          <w:rFonts w:ascii="Arial" w:eastAsia="Times New Roman" w:hAnsi="Arial" w:cs="Arial"/>
          <w:sz w:val="24"/>
          <w:szCs w:val="24"/>
        </w:rPr>
        <w:t xml:space="preserve">ontract </w:t>
      </w:r>
      <w:r w:rsidR="005C25EB">
        <w:rPr>
          <w:rFonts w:ascii="Arial" w:eastAsia="Times New Roman" w:hAnsi="Arial" w:cs="Arial"/>
          <w:sz w:val="24"/>
          <w:szCs w:val="24"/>
        </w:rPr>
        <w:t>was related</w:t>
      </w:r>
      <w:r w:rsidR="00F8433C">
        <w:rPr>
          <w:rFonts w:ascii="Arial" w:eastAsia="Times New Roman" w:hAnsi="Arial" w:cs="Arial"/>
          <w:sz w:val="24"/>
          <w:szCs w:val="24"/>
        </w:rPr>
        <w:t xml:space="preserve"> to </w:t>
      </w:r>
      <w:r w:rsidR="005C25EB">
        <w:rPr>
          <w:rFonts w:ascii="Arial" w:eastAsia="Times New Roman" w:hAnsi="Arial" w:cs="Arial"/>
          <w:sz w:val="24"/>
          <w:szCs w:val="24"/>
        </w:rPr>
        <w:t xml:space="preserve">provision of a free, appropriate public education (“FAPE”).  </w:t>
      </w:r>
      <w:r w:rsidR="005C25EB">
        <w:rPr>
          <w:rFonts w:ascii="Arial" w:eastAsia="Times New Roman" w:hAnsi="Arial" w:cs="Arial"/>
          <w:i/>
          <w:sz w:val="24"/>
          <w:szCs w:val="24"/>
        </w:rPr>
        <w:t xml:space="preserve">School Bd. </w:t>
      </w:r>
      <w:proofErr w:type="gramStart"/>
      <w:r w:rsidR="005C25EB">
        <w:rPr>
          <w:rFonts w:ascii="Arial" w:eastAsia="Times New Roman" w:hAnsi="Arial" w:cs="Arial"/>
          <w:i/>
          <w:sz w:val="24"/>
          <w:szCs w:val="24"/>
        </w:rPr>
        <w:t>Of Lee County FL</w:t>
      </w:r>
      <w:r w:rsidR="00F8433C" w:rsidRPr="00F8433C">
        <w:rPr>
          <w:rFonts w:ascii="Arial" w:eastAsia="Times New Roman" w:hAnsi="Arial" w:cs="Arial"/>
          <w:i/>
          <w:sz w:val="24"/>
          <w:szCs w:val="24"/>
        </w:rPr>
        <w:t>. v. M.M. ex rel. M.M.</w:t>
      </w:r>
      <w:r w:rsidR="00F8433C" w:rsidRPr="0069221F">
        <w:rPr>
          <w:rFonts w:ascii="Arial" w:eastAsia="Times New Roman" w:hAnsi="Arial" w:cs="Arial"/>
          <w:sz w:val="24"/>
          <w:szCs w:val="24"/>
        </w:rPr>
        <w:t xml:space="preserve">, </w:t>
      </w:r>
      <w:r w:rsidR="00F8433C">
        <w:rPr>
          <w:rFonts w:ascii="Arial" w:eastAsia="Times New Roman" w:hAnsi="Arial" w:cs="Arial"/>
          <w:sz w:val="24"/>
          <w:szCs w:val="24"/>
        </w:rPr>
        <w:t xml:space="preserve">2009 WL 3182971(11th Cir. 2009); </w:t>
      </w:r>
      <w:r w:rsidR="00F8433C" w:rsidRPr="00F8433C">
        <w:rPr>
          <w:rFonts w:ascii="Arial" w:eastAsia="Times New Roman" w:hAnsi="Arial" w:cs="Arial"/>
          <w:i/>
          <w:sz w:val="24"/>
          <w:szCs w:val="24"/>
        </w:rPr>
        <w:t>J.P. v. Cherokee County Bd. of Educ.</w:t>
      </w:r>
      <w:r w:rsidR="00F8433C" w:rsidRPr="0069221F">
        <w:rPr>
          <w:rFonts w:ascii="Arial" w:eastAsia="Times New Roman" w:hAnsi="Arial" w:cs="Arial"/>
          <w:sz w:val="24"/>
          <w:szCs w:val="24"/>
        </w:rPr>
        <w:t xml:space="preserve">, 218 </w:t>
      </w:r>
      <w:r w:rsidR="00F8433C">
        <w:rPr>
          <w:rFonts w:ascii="Arial" w:eastAsia="Times New Roman" w:hAnsi="Arial" w:cs="Arial"/>
          <w:sz w:val="24"/>
          <w:szCs w:val="24"/>
        </w:rPr>
        <w:t>Fed.</w:t>
      </w:r>
      <w:proofErr w:type="gramEnd"/>
      <w:r w:rsidR="00F8433C">
        <w:rPr>
          <w:rFonts w:ascii="Arial" w:eastAsia="Times New Roman" w:hAnsi="Arial" w:cs="Arial"/>
          <w:sz w:val="24"/>
          <w:szCs w:val="24"/>
        </w:rPr>
        <w:t xml:space="preserve"> </w:t>
      </w:r>
      <w:proofErr w:type="gramStart"/>
      <w:r w:rsidR="00F8433C">
        <w:rPr>
          <w:rFonts w:ascii="Arial" w:eastAsia="Times New Roman" w:hAnsi="Arial" w:cs="Arial"/>
          <w:sz w:val="24"/>
          <w:szCs w:val="24"/>
        </w:rPr>
        <w:t>Appx.</w:t>
      </w:r>
      <w:proofErr w:type="gramEnd"/>
      <w:r w:rsidR="00F8433C">
        <w:rPr>
          <w:rFonts w:ascii="Arial" w:eastAsia="Times New Roman" w:hAnsi="Arial" w:cs="Arial"/>
          <w:sz w:val="24"/>
          <w:szCs w:val="24"/>
        </w:rPr>
        <w:t xml:space="preserve"> </w:t>
      </w:r>
      <w:proofErr w:type="gramStart"/>
      <w:r w:rsidR="00F8433C">
        <w:rPr>
          <w:rFonts w:ascii="Arial" w:eastAsia="Times New Roman" w:hAnsi="Arial" w:cs="Arial"/>
          <w:sz w:val="24"/>
          <w:szCs w:val="24"/>
        </w:rPr>
        <w:t>911 (11th Cir. 2007).</w:t>
      </w:r>
      <w:proofErr w:type="gramEnd"/>
      <w:r w:rsidR="00F8433C">
        <w:rPr>
          <w:rFonts w:ascii="Arial" w:eastAsia="Times New Roman" w:hAnsi="Arial" w:cs="Arial"/>
          <w:sz w:val="24"/>
          <w:szCs w:val="24"/>
        </w:rPr>
        <w:t xml:space="preserve"> </w:t>
      </w:r>
    </w:p>
    <w:p w:rsidR="005C25EB" w:rsidRDefault="005C25EB" w:rsidP="005726D4">
      <w:pPr>
        <w:spacing w:after="0" w:line="240" w:lineRule="auto"/>
        <w:ind w:firstLine="360"/>
        <w:rPr>
          <w:rFonts w:ascii="Arial" w:eastAsia="Times New Roman" w:hAnsi="Arial" w:cs="Arial"/>
          <w:sz w:val="24"/>
          <w:szCs w:val="24"/>
        </w:rPr>
      </w:pPr>
    </w:p>
    <w:p w:rsidR="000474E8" w:rsidRPr="00925C70" w:rsidRDefault="005C25EB" w:rsidP="000474E8">
      <w:pPr>
        <w:spacing w:after="0" w:line="240" w:lineRule="auto"/>
        <w:ind w:firstLine="360"/>
        <w:rPr>
          <w:rFonts w:ascii="Arial" w:eastAsia="Times New Roman" w:hAnsi="Arial" w:cs="Arial"/>
          <w:sz w:val="24"/>
          <w:szCs w:val="24"/>
        </w:rPr>
      </w:pPr>
      <w:r>
        <w:rPr>
          <w:rFonts w:ascii="Arial" w:eastAsia="Times New Roman" w:hAnsi="Arial" w:cs="Arial"/>
          <w:sz w:val="24"/>
          <w:szCs w:val="24"/>
        </w:rPr>
        <w:t>In contrast</w:t>
      </w:r>
      <w:r w:rsidR="00F8433C">
        <w:rPr>
          <w:rFonts w:ascii="Arial" w:eastAsia="Times New Roman" w:hAnsi="Arial" w:cs="Arial"/>
          <w:sz w:val="24"/>
          <w:szCs w:val="24"/>
        </w:rPr>
        <w:t>, the 2</w:t>
      </w:r>
      <w:r w:rsidR="00F8433C" w:rsidRPr="00F8433C">
        <w:rPr>
          <w:rFonts w:ascii="Arial" w:eastAsia="Times New Roman" w:hAnsi="Arial" w:cs="Arial"/>
          <w:sz w:val="24"/>
          <w:szCs w:val="24"/>
          <w:vertAlign w:val="superscript"/>
        </w:rPr>
        <w:t>nd</w:t>
      </w:r>
      <w:r w:rsidR="00F8433C">
        <w:rPr>
          <w:rFonts w:ascii="Arial" w:eastAsia="Times New Roman" w:hAnsi="Arial" w:cs="Arial"/>
          <w:sz w:val="24"/>
          <w:szCs w:val="24"/>
        </w:rPr>
        <w:t xml:space="preserve"> Circuit Court of Appeals held that a “due process hearing before an IHO [impartial hearing officer] was not the proper vehicle to enforce the settlement agreement,</w:t>
      </w:r>
      <w:r>
        <w:rPr>
          <w:rFonts w:ascii="Arial" w:eastAsia="Times New Roman" w:hAnsi="Arial" w:cs="Arial"/>
          <w:sz w:val="24"/>
          <w:szCs w:val="24"/>
        </w:rPr>
        <w:t>”</w:t>
      </w:r>
      <w:r w:rsidR="00F8433C">
        <w:rPr>
          <w:rFonts w:ascii="Arial" w:eastAsia="Times New Roman" w:hAnsi="Arial" w:cs="Arial"/>
          <w:sz w:val="24"/>
          <w:szCs w:val="24"/>
        </w:rPr>
        <w:t xml:space="preserve"> but the hearing officer must “consider the settlement agreement to the extent it might have been relevant to the issues before him [</w:t>
      </w:r>
      <w:r w:rsidR="00F8433C" w:rsidRPr="005C25EB">
        <w:rPr>
          <w:rFonts w:ascii="Arial" w:eastAsia="Times New Roman" w:hAnsi="Arial" w:cs="Arial"/>
          <w:i/>
          <w:sz w:val="24"/>
          <w:szCs w:val="24"/>
        </w:rPr>
        <w:t>i.e</w:t>
      </w:r>
      <w:r w:rsidR="00F8433C">
        <w:rPr>
          <w:rFonts w:ascii="Arial" w:eastAsia="Times New Roman" w:hAnsi="Arial" w:cs="Arial"/>
          <w:sz w:val="24"/>
          <w:szCs w:val="24"/>
        </w:rPr>
        <w:t xml:space="preserve">. </w:t>
      </w:r>
      <w:r>
        <w:rPr>
          <w:rFonts w:ascii="Arial" w:eastAsia="Times New Roman" w:hAnsi="Arial" w:cs="Arial"/>
          <w:sz w:val="24"/>
          <w:szCs w:val="24"/>
        </w:rPr>
        <w:t xml:space="preserve">provision of FAPE to the </w:t>
      </w:r>
      <w:r w:rsidR="00F8433C">
        <w:rPr>
          <w:rFonts w:ascii="Arial" w:eastAsia="Times New Roman" w:hAnsi="Arial" w:cs="Arial"/>
          <w:sz w:val="24"/>
          <w:szCs w:val="24"/>
        </w:rPr>
        <w:t xml:space="preserve">student].” Similarly, </w:t>
      </w:r>
      <w:r w:rsidR="000F2817">
        <w:rPr>
          <w:rFonts w:ascii="Arial" w:eastAsia="Times New Roman" w:hAnsi="Arial" w:cs="Arial"/>
          <w:sz w:val="24"/>
          <w:szCs w:val="24"/>
        </w:rPr>
        <w:t xml:space="preserve">in the matter of </w:t>
      </w:r>
      <w:r w:rsidR="000F2817" w:rsidRPr="005726D4">
        <w:rPr>
          <w:rFonts w:ascii="Arial" w:eastAsia="Times New Roman" w:hAnsi="Arial" w:cs="Arial"/>
          <w:i/>
          <w:sz w:val="24"/>
          <w:szCs w:val="24"/>
        </w:rPr>
        <w:t>T.L. ex rel. G.L. v. Palm Springs Unified School Dist.</w:t>
      </w:r>
      <w:r w:rsidR="000F2817" w:rsidRPr="0069221F">
        <w:rPr>
          <w:rFonts w:ascii="Arial" w:eastAsia="Times New Roman" w:hAnsi="Arial" w:cs="Arial"/>
          <w:sz w:val="24"/>
          <w:szCs w:val="24"/>
        </w:rPr>
        <w:t xml:space="preserve">, 304 </w:t>
      </w:r>
      <w:r w:rsidR="000F2817">
        <w:rPr>
          <w:rFonts w:ascii="Arial" w:eastAsia="Times New Roman" w:hAnsi="Arial" w:cs="Arial"/>
          <w:sz w:val="24"/>
          <w:szCs w:val="24"/>
        </w:rPr>
        <w:t xml:space="preserve">Fed. </w:t>
      </w:r>
      <w:proofErr w:type="gramStart"/>
      <w:r w:rsidR="000F2817">
        <w:rPr>
          <w:rFonts w:ascii="Arial" w:eastAsia="Times New Roman" w:hAnsi="Arial" w:cs="Arial"/>
          <w:sz w:val="24"/>
          <w:szCs w:val="24"/>
        </w:rPr>
        <w:t>Appx.</w:t>
      </w:r>
      <w:proofErr w:type="gramEnd"/>
      <w:r w:rsidR="000F2817">
        <w:rPr>
          <w:rFonts w:ascii="Arial" w:eastAsia="Times New Roman" w:hAnsi="Arial" w:cs="Arial"/>
          <w:sz w:val="24"/>
          <w:szCs w:val="24"/>
        </w:rPr>
        <w:t xml:space="preserve"> 548 (9th Cir.</w:t>
      </w:r>
      <w:r w:rsidR="00562798">
        <w:rPr>
          <w:rFonts w:ascii="Arial" w:eastAsia="Times New Roman" w:hAnsi="Arial" w:cs="Arial"/>
          <w:sz w:val="24"/>
          <w:szCs w:val="24"/>
        </w:rPr>
        <w:t xml:space="preserve"> 2008), </w:t>
      </w:r>
      <w:r w:rsidR="00F8433C">
        <w:rPr>
          <w:rFonts w:ascii="Arial" w:eastAsia="Times New Roman" w:hAnsi="Arial" w:cs="Arial"/>
          <w:sz w:val="24"/>
          <w:szCs w:val="24"/>
        </w:rPr>
        <w:t>the 9</w:t>
      </w:r>
      <w:r w:rsidR="00F8433C" w:rsidRPr="00F8433C">
        <w:rPr>
          <w:rFonts w:ascii="Arial" w:eastAsia="Times New Roman" w:hAnsi="Arial" w:cs="Arial"/>
          <w:sz w:val="24"/>
          <w:szCs w:val="24"/>
          <w:vertAlign w:val="superscript"/>
        </w:rPr>
        <w:t>th</w:t>
      </w:r>
      <w:r w:rsidR="00F8433C">
        <w:rPr>
          <w:rFonts w:ascii="Arial" w:eastAsia="Times New Roman" w:hAnsi="Arial" w:cs="Arial"/>
          <w:sz w:val="24"/>
          <w:szCs w:val="24"/>
        </w:rPr>
        <w:t xml:space="preserve"> Circuit held </w:t>
      </w:r>
      <w:r>
        <w:rPr>
          <w:rFonts w:ascii="Arial" w:eastAsia="Times New Roman" w:hAnsi="Arial" w:cs="Arial"/>
          <w:sz w:val="24"/>
          <w:szCs w:val="24"/>
        </w:rPr>
        <w:t xml:space="preserve">that </w:t>
      </w:r>
      <w:r w:rsidR="00F8433C">
        <w:rPr>
          <w:rFonts w:ascii="Arial" w:eastAsia="Times New Roman" w:hAnsi="Arial" w:cs="Arial"/>
          <w:sz w:val="24"/>
          <w:szCs w:val="24"/>
        </w:rPr>
        <w:t>exhaustion</w:t>
      </w:r>
      <w:r>
        <w:rPr>
          <w:rFonts w:ascii="Arial" w:eastAsia="Times New Roman" w:hAnsi="Arial" w:cs="Arial"/>
          <w:sz w:val="24"/>
          <w:szCs w:val="24"/>
        </w:rPr>
        <w:t xml:space="preserve"> was</w:t>
      </w:r>
      <w:r w:rsidR="00F8433C">
        <w:rPr>
          <w:rFonts w:ascii="Arial" w:eastAsia="Times New Roman" w:hAnsi="Arial" w:cs="Arial"/>
          <w:sz w:val="24"/>
          <w:szCs w:val="24"/>
        </w:rPr>
        <w:t xml:space="preserve"> </w:t>
      </w:r>
      <w:r w:rsidR="005726D4">
        <w:rPr>
          <w:rFonts w:ascii="Arial" w:eastAsia="Times New Roman" w:hAnsi="Arial" w:cs="Arial"/>
          <w:sz w:val="24"/>
          <w:szCs w:val="24"/>
        </w:rPr>
        <w:t>mandatory</w:t>
      </w:r>
      <w:r w:rsidR="00F8433C">
        <w:rPr>
          <w:rFonts w:ascii="Arial" w:eastAsia="Times New Roman" w:hAnsi="Arial" w:cs="Arial"/>
          <w:sz w:val="24"/>
          <w:szCs w:val="24"/>
        </w:rPr>
        <w:t xml:space="preserve"> </w:t>
      </w:r>
      <w:r w:rsidR="00F8433C" w:rsidRPr="0069221F">
        <w:rPr>
          <w:rFonts w:ascii="Arial" w:eastAsia="Times New Roman" w:hAnsi="Arial" w:cs="Arial"/>
          <w:sz w:val="24"/>
          <w:szCs w:val="24"/>
        </w:rPr>
        <w:t>w</w:t>
      </w:r>
      <w:r w:rsidR="005726D4">
        <w:rPr>
          <w:rFonts w:ascii="Arial" w:eastAsia="Times New Roman" w:hAnsi="Arial" w:cs="Arial"/>
          <w:sz w:val="24"/>
          <w:szCs w:val="24"/>
        </w:rPr>
        <w:t>hen</w:t>
      </w:r>
      <w:r w:rsidR="00F8433C" w:rsidRPr="0069221F">
        <w:rPr>
          <w:rFonts w:ascii="Arial" w:eastAsia="Times New Roman" w:hAnsi="Arial" w:cs="Arial"/>
          <w:sz w:val="24"/>
          <w:szCs w:val="24"/>
        </w:rPr>
        <w:t xml:space="preserve"> </w:t>
      </w:r>
      <w:r w:rsidR="00F8433C">
        <w:rPr>
          <w:rFonts w:ascii="Arial" w:eastAsia="Times New Roman" w:hAnsi="Arial" w:cs="Arial"/>
          <w:sz w:val="24"/>
          <w:szCs w:val="24"/>
        </w:rPr>
        <w:t xml:space="preserve">a </w:t>
      </w:r>
      <w:r>
        <w:rPr>
          <w:rFonts w:ascii="Arial" w:eastAsia="Times New Roman" w:hAnsi="Arial" w:cs="Arial"/>
          <w:sz w:val="24"/>
          <w:szCs w:val="24"/>
        </w:rPr>
        <w:t xml:space="preserve">breach of contract claim </w:t>
      </w:r>
      <w:r w:rsidR="000F2817">
        <w:rPr>
          <w:rFonts w:ascii="Arial" w:eastAsia="Times New Roman" w:hAnsi="Arial" w:cs="Arial"/>
          <w:sz w:val="24"/>
          <w:szCs w:val="24"/>
        </w:rPr>
        <w:t xml:space="preserve">was </w:t>
      </w:r>
      <w:r>
        <w:rPr>
          <w:rFonts w:ascii="Arial" w:eastAsia="Times New Roman" w:hAnsi="Arial" w:cs="Arial"/>
          <w:sz w:val="24"/>
          <w:szCs w:val="24"/>
        </w:rPr>
        <w:t>related</w:t>
      </w:r>
      <w:r w:rsidR="005726D4">
        <w:rPr>
          <w:rFonts w:ascii="Arial" w:eastAsia="Times New Roman" w:hAnsi="Arial" w:cs="Arial"/>
          <w:sz w:val="24"/>
          <w:szCs w:val="24"/>
        </w:rPr>
        <w:t xml:space="preserve"> to</w:t>
      </w:r>
      <w:r w:rsidR="00F8433C" w:rsidRPr="0069221F">
        <w:rPr>
          <w:rFonts w:ascii="Arial" w:eastAsia="Times New Roman" w:hAnsi="Arial" w:cs="Arial"/>
          <w:sz w:val="24"/>
          <w:szCs w:val="24"/>
        </w:rPr>
        <w:t xml:space="preserve"> educational services under the IDEA</w:t>
      </w:r>
      <w:r w:rsidR="000474E8">
        <w:rPr>
          <w:rFonts w:ascii="Arial" w:eastAsia="Times New Roman" w:hAnsi="Arial" w:cs="Arial"/>
          <w:sz w:val="24"/>
          <w:szCs w:val="24"/>
        </w:rPr>
        <w:t xml:space="preserve">.  </w:t>
      </w:r>
    </w:p>
    <w:p w:rsid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Discussion</w:t>
      </w:r>
    </w:p>
    <w:p w:rsidR="0098215E" w:rsidRDefault="0098215E" w:rsidP="0098215E">
      <w:pPr>
        <w:spacing w:after="0" w:line="240" w:lineRule="auto"/>
        <w:ind w:firstLine="720"/>
        <w:rPr>
          <w:rFonts w:ascii="Arial" w:eastAsia="Times New Roman" w:hAnsi="Arial" w:cs="Arial"/>
          <w:sz w:val="24"/>
          <w:szCs w:val="24"/>
        </w:rPr>
      </w:pPr>
    </w:p>
    <w:p w:rsidR="00842AE6" w:rsidRDefault="000474E8" w:rsidP="0098215E">
      <w:pPr>
        <w:spacing w:after="0" w:line="240" w:lineRule="auto"/>
        <w:ind w:firstLine="720"/>
        <w:rPr>
          <w:rFonts w:ascii="Arial" w:eastAsia="Times New Roman" w:hAnsi="Arial" w:cs="Arial"/>
          <w:sz w:val="24"/>
          <w:szCs w:val="24"/>
        </w:rPr>
      </w:pPr>
      <w:r>
        <w:rPr>
          <w:rFonts w:ascii="Arial" w:eastAsia="Times New Roman" w:hAnsi="Arial" w:cs="Arial"/>
          <w:sz w:val="24"/>
          <w:szCs w:val="24"/>
        </w:rPr>
        <w:t xml:space="preserve">The BSEA </w:t>
      </w:r>
      <w:r w:rsidR="00F27FFE">
        <w:rPr>
          <w:rFonts w:ascii="Arial" w:eastAsia="Times New Roman" w:hAnsi="Arial" w:cs="Arial"/>
          <w:sz w:val="24"/>
          <w:szCs w:val="24"/>
        </w:rPr>
        <w:t xml:space="preserve">has the authority to grant relief </w:t>
      </w:r>
      <w:r>
        <w:rPr>
          <w:rFonts w:ascii="Arial" w:eastAsia="Times New Roman" w:hAnsi="Arial" w:cs="Arial"/>
          <w:sz w:val="24"/>
          <w:szCs w:val="24"/>
        </w:rPr>
        <w:t xml:space="preserve">pursuant to the IDEA and M.G.L. c. 71B as well as </w:t>
      </w:r>
      <w:r w:rsidRPr="009D3DAC">
        <w:rPr>
          <w:rFonts w:ascii="Arial" w:eastAsia="Times New Roman" w:hAnsi="Arial" w:cs="Arial"/>
          <w:sz w:val="24"/>
          <w:szCs w:val="24"/>
        </w:rPr>
        <w:t>§</w:t>
      </w:r>
      <w:r w:rsidR="00F27FFE" w:rsidRPr="009D3DAC">
        <w:rPr>
          <w:rFonts w:ascii="Arial" w:eastAsia="Times New Roman" w:hAnsi="Arial" w:cs="Arial"/>
          <w:sz w:val="24"/>
          <w:szCs w:val="24"/>
        </w:rPr>
        <w:t xml:space="preserve"> 504 </w:t>
      </w:r>
      <w:r>
        <w:rPr>
          <w:rFonts w:ascii="Arial" w:eastAsia="Times New Roman" w:hAnsi="Arial" w:cs="Arial"/>
          <w:sz w:val="24"/>
          <w:szCs w:val="24"/>
        </w:rPr>
        <w:t xml:space="preserve">of the Rehabilitation Act.  </w:t>
      </w:r>
      <w:r w:rsidR="00F27FFE">
        <w:rPr>
          <w:rFonts w:ascii="Arial" w:eastAsia="Times New Roman" w:hAnsi="Arial" w:cs="Arial"/>
          <w:sz w:val="24"/>
          <w:szCs w:val="24"/>
        </w:rPr>
        <w:t xml:space="preserve"> </w:t>
      </w:r>
      <w:r>
        <w:rPr>
          <w:rFonts w:ascii="Arial" w:eastAsia="Times New Roman" w:hAnsi="Arial" w:cs="Arial"/>
          <w:sz w:val="24"/>
          <w:szCs w:val="24"/>
        </w:rPr>
        <w:t xml:space="preserve">In the instant case, </w:t>
      </w:r>
      <w:r w:rsidR="00F27FFE">
        <w:rPr>
          <w:rFonts w:ascii="Arial" w:eastAsia="Times New Roman" w:hAnsi="Arial" w:cs="Arial"/>
          <w:sz w:val="24"/>
          <w:szCs w:val="24"/>
        </w:rPr>
        <w:t>Parent</w:t>
      </w:r>
      <w:r>
        <w:rPr>
          <w:rFonts w:ascii="Arial" w:eastAsia="Times New Roman" w:hAnsi="Arial" w:cs="Arial"/>
          <w:sz w:val="24"/>
          <w:szCs w:val="24"/>
        </w:rPr>
        <w:t>s</w:t>
      </w:r>
      <w:r w:rsidR="00F27FFE">
        <w:rPr>
          <w:rFonts w:ascii="Arial" w:eastAsia="Times New Roman" w:hAnsi="Arial" w:cs="Arial"/>
          <w:sz w:val="24"/>
          <w:szCs w:val="24"/>
        </w:rPr>
        <w:t xml:space="preserve"> do</w:t>
      </w:r>
      <w:r>
        <w:rPr>
          <w:rFonts w:ascii="Arial" w:eastAsia="Times New Roman" w:hAnsi="Arial" w:cs="Arial"/>
          <w:sz w:val="24"/>
          <w:szCs w:val="24"/>
        </w:rPr>
        <w:t xml:space="preserve"> not assert any claims under these provisions</w:t>
      </w:r>
      <w:r w:rsidR="00F27FFE">
        <w:rPr>
          <w:rFonts w:ascii="Arial" w:eastAsia="Times New Roman" w:hAnsi="Arial" w:cs="Arial"/>
          <w:sz w:val="24"/>
          <w:szCs w:val="24"/>
        </w:rPr>
        <w:t xml:space="preserve">. </w:t>
      </w:r>
      <w:r>
        <w:rPr>
          <w:rFonts w:ascii="Arial" w:eastAsia="Times New Roman" w:hAnsi="Arial" w:cs="Arial"/>
          <w:sz w:val="24"/>
          <w:szCs w:val="24"/>
        </w:rPr>
        <w:t xml:space="preserve"> They do not allege that Student’s IEP is inappropriate or has not been implemented, or that Milford has denied Student a FAPE during the period in question.  </w:t>
      </w:r>
      <w:r w:rsidR="00C86888">
        <w:rPr>
          <w:rFonts w:ascii="Arial" w:eastAsia="Times New Roman" w:hAnsi="Arial" w:cs="Arial"/>
          <w:sz w:val="24"/>
          <w:szCs w:val="24"/>
        </w:rPr>
        <w:t xml:space="preserve">See </w:t>
      </w:r>
      <w:r w:rsidR="00C86888" w:rsidRPr="00C86888">
        <w:rPr>
          <w:rFonts w:ascii="Arial" w:eastAsia="Times New Roman" w:hAnsi="Arial" w:cs="Arial"/>
          <w:i/>
          <w:sz w:val="24"/>
          <w:szCs w:val="24"/>
        </w:rPr>
        <w:t>In Re Georgetown Public Schools (Ruling on Motion</w:t>
      </w:r>
      <w:r w:rsidR="00C86888">
        <w:rPr>
          <w:rFonts w:ascii="Arial" w:eastAsia="Times New Roman" w:hAnsi="Arial" w:cs="Arial"/>
          <w:sz w:val="24"/>
          <w:szCs w:val="24"/>
        </w:rPr>
        <w:t xml:space="preserve"> </w:t>
      </w:r>
      <w:r w:rsidR="00C86888" w:rsidRPr="00C86888">
        <w:rPr>
          <w:rFonts w:ascii="Arial" w:eastAsia="Times New Roman" w:hAnsi="Arial" w:cs="Arial"/>
          <w:i/>
          <w:sz w:val="24"/>
          <w:szCs w:val="24"/>
        </w:rPr>
        <w:lastRenderedPageBreak/>
        <w:t>to Dismiss)</w:t>
      </w:r>
      <w:r w:rsidR="00C86888">
        <w:rPr>
          <w:rFonts w:ascii="Arial" w:eastAsia="Times New Roman" w:hAnsi="Arial" w:cs="Arial"/>
          <w:sz w:val="24"/>
          <w:szCs w:val="24"/>
        </w:rPr>
        <w:t xml:space="preserve">, BSEA No. 1408733 , 20 MSER 169 (Berman, 2014)  </w:t>
      </w:r>
      <w:r>
        <w:rPr>
          <w:rFonts w:ascii="Arial" w:eastAsia="Times New Roman" w:hAnsi="Arial" w:cs="Arial"/>
          <w:sz w:val="24"/>
          <w:szCs w:val="24"/>
        </w:rPr>
        <w:t>Rather, Parents have framed their</w:t>
      </w:r>
      <w:r w:rsidR="00F27FFE">
        <w:rPr>
          <w:rFonts w:ascii="Arial" w:eastAsia="Times New Roman" w:hAnsi="Arial" w:cs="Arial"/>
          <w:sz w:val="24"/>
          <w:szCs w:val="24"/>
        </w:rPr>
        <w:t xml:space="preserve"> </w:t>
      </w:r>
      <w:r w:rsidR="006805B2">
        <w:rPr>
          <w:rFonts w:ascii="Arial" w:eastAsia="Times New Roman" w:hAnsi="Arial" w:cs="Arial"/>
          <w:sz w:val="24"/>
          <w:szCs w:val="24"/>
        </w:rPr>
        <w:t xml:space="preserve">claims </w:t>
      </w:r>
      <w:r>
        <w:rPr>
          <w:rFonts w:ascii="Arial" w:eastAsia="Times New Roman" w:hAnsi="Arial" w:cs="Arial"/>
          <w:sz w:val="24"/>
          <w:szCs w:val="24"/>
        </w:rPr>
        <w:t xml:space="preserve">as constituting a </w:t>
      </w:r>
      <w:r w:rsidR="00F27FFE">
        <w:rPr>
          <w:rFonts w:ascii="Arial" w:eastAsia="Times New Roman" w:hAnsi="Arial" w:cs="Arial"/>
          <w:sz w:val="24"/>
          <w:szCs w:val="24"/>
        </w:rPr>
        <w:t>breach of contract under the doctrines of impossibility and implied covenant</w:t>
      </w:r>
      <w:r w:rsidR="00AB5860">
        <w:rPr>
          <w:rFonts w:ascii="Arial" w:eastAsia="Times New Roman" w:hAnsi="Arial" w:cs="Arial"/>
          <w:sz w:val="24"/>
          <w:szCs w:val="24"/>
        </w:rPr>
        <w:t xml:space="preserve"> of good faith and fair dealing</w:t>
      </w:r>
      <w:r w:rsidR="00F27FFE">
        <w:rPr>
          <w:rFonts w:ascii="Arial" w:eastAsia="Times New Roman" w:hAnsi="Arial" w:cs="Arial"/>
          <w:sz w:val="24"/>
          <w:szCs w:val="24"/>
        </w:rPr>
        <w:t>.</w:t>
      </w:r>
      <w:r w:rsidR="00C86888">
        <w:rPr>
          <w:rFonts w:ascii="Arial" w:eastAsia="Times New Roman" w:hAnsi="Arial" w:cs="Arial"/>
          <w:sz w:val="24"/>
          <w:szCs w:val="24"/>
        </w:rPr>
        <w:t xml:space="preserve"> </w:t>
      </w:r>
      <w:r w:rsidR="00F27FFE">
        <w:rPr>
          <w:rFonts w:ascii="Arial" w:eastAsia="Times New Roman" w:hAnsi="Arial" w:cs="Arial"/>
          <w:sz w:val="24"/>
          <w:szCs w:val="24"/>
        </w:rPr>
        <w:t xml:space="preserve"> While these arguments may well have merit, the BSEA does not retain subject matter jurisdiction</w:t>
      </w:r>
      <w:r w:rsidR="00C86888">
        <w:rPr>
          <w:rFonts w:ascii="Arial" w:eastAsia="Times New Roman" w:hAnsi="Arial" w:cs="Arial"/>
          <w:sz w:val="24"/>
          <w:szCs w:val="24"/>
        </w:rPr>
        <w:t xml:space="preserve"> over contract law disputes, </w:t>
      </w:r>
      <w:r w:rsidR="00F27FFE">
        <w:rPr>
          <w:rFonts w:ascii="Arial" w:eastAsia="Times New Roman" w:hAnsi="Arial" w:cs="Arial"/>
          <w:sz w:val="24"/>
          <w:szCs w:val="24"/>
        </w:rPr>
        <w:t xml:space="preserve">cannot grant relief </w:t>
      </w:r>
      <w:r w:rsidR="006805B2">
        <w:rPr>
          <w:rFonts w:ascii="Arial" w:eastAsia="Times New Roman" w:hAnsi="Arial" w:cs="Arial"/>
          <w:sz w:val="24"/>
          <w:szCs w:val="24"/>
        </w:rPr>
        <w:t>under contract law</w:t>
      </w:r>
      <w:r w:rsidR="00836A88">
        <w:rPr>
          <w:rFonts w:ascii="Arial" w:eastAsia="Times New Roman" w:hAnsi="Arial" w:cs="Arial"/>
          <w:sz w:val="24"/>
          <w:szCs w:val="24"/>
        </w:rPr>
        <w:t xml:space="preserve"> claims</w:t>
      </w:r>
      <w:r w:rsidR="00C86888">
        <w:rPr>
          <w:rFonts w:ascii="Arial" w:eastAsia="Times New Roman" w:hAnsi="Arial" w:cs="Arial"/>
          <w:sz w:val="24"/>
          <w:szCs w:val="24"/>
        </w:rPr>
        <w:t xml:space="preserve">, and has no particular expertise in interpreting and applying contract law.  </w:t>
      </w:r>
      <w:r w:rsidR="006805B2">
        <w:rPr>
          <w:rFonts w:ascii="Arial" w:eastAsia="Times New Roman" w:hAnsi="Arial" w:cs="Arial"/>
          <w:sz w:val="24"/>
          <w:szCs w:val="24"/>
        </w:rPr>
        <w:t xml:space="preserve"> </w:t>
      </w:r>
    </w:p>
    <w:p w:rsidR="006805B2" w:rsidRDefault="006805B2" w:rsidP="0098215E">
      <w:pPr>
        <w:spacing w:after="0" w:line="240" w:lineRule="auto"/>
        <w:ind w:firstLine="720"/>
        <w:rPr>
          <w:rFonts w:ascii="Arial" w:eastAsia="Times New Roman" w:hAnsi="Arial" w:cs="Arial"/>
          <w:sz w:val="24"/>
          <w:szCs w:val="24"/>
        </w:rPr>
      </w:pPr>
    </w:p>
    <w:p w:rsidR="006805B2" w:rsidRDefault="00C86888" w:rsidP="00C86888">
      <w:pPr>
        <w:spacing w:after="0" w:line="240" w:lineRule="auto"/>
        <w:ind w:firstLine="720"/>
        <w:rPr>
          <w:rFonts w:ascii="Arial" w:eastAsia="Times New Roman" w:hAnsi="Arial" w:cs="Arial"/>
          <w:sz w:val="24"/>
          <w:szCs w:val="24"/>
        </w:rPr>
      </w:pPr>
      <w:r>
        <w:rPr>
          <w:rFonts w:ascii="Arial" w:eastAsia="Times New Roman" w:hAnsi="Arial" w:cs="Arial"/>
          <w:sz w:val="24"/>
          <w:szCs w:val="24"/>
        </w:rPr>
        <w:t>P</w:t>
      </w:r>
      <w:r w:rsidR="00A12F1F">
        <w:rPr>
          <w:rFonts w:ascii="Arial" w:eastAsia="Times New Roman" w:hAnsi="Arial" w:cs="Arial"/>
          <w:sz w:val="24"/>
          <w:szCs w:val="24"/>
        </w:rPr>
        <w:t>arent</w:t>
      </w:r>
      <w:r>
        <w:rPr>
          <w:rFonts w:ascii="Arial" w:eastAsia="Times New Roman" w:hAnsi="Arial" w:cs="Arial"/>
          <w:sz w:val="24"/>
          <w:szCs w:val="24"/>
        </w:rPr>
        <w:t>s are not</w:t>
      </w:r>
      <w:r w:rsidR="00A12F1F">
        <w:rPr>
          <w:rFonts w:ascii="Arial" w:eastAsia="Times New Roman" w:hAnsi="Arial" w:cs="Arial"/>
          <w:sz w:val="24"/>
          <w:szCs w:val="24"/>
        </w:rPr>
        <w:t xml:space="preserve"> without recourse. T</w:t>
      </w:r>
      <w:r w:rsidR="00A12F1F" w:rsidRPr="00A12F1F">
        <w:rPr>
          <w:rFonts w:ascii="Arial" w:eastAsia="Times New Roman" w:hAnsi="Arial" w:cs="Arial"/>
          <w:sz w:val="24"/>
          <w:szCs w:val="24"/>
        </w:rPr>
        <w:t>he dispute about the terms of the settlement agreement could be considered in a court of competent jurisdiction, where the judge's experience and expertise in interpretation of contract language, along with the court's enforcement powers, might give better effect to the parties' original intentions.</w:t>
      </w:r>
      <w:r w:rsidR="00A12F1F">
        <w:rPr>
          <w:rFonts w:ascii="Arial" w:eastAsia="Times New Roman" w:hAnsi="Arial" w:cs="Arial"/>
          <w:sz w:val="24"/>
          <w:szCs w:val="24"/>
        </w:rPr>
        <w:t xml:space="preserve"> See </w:t>
      </w:r>
      <w:r w:rsidR="00A12F1F" w:rsidRPr="00742BE5">
        <w:rPr>
          <w:rFonts w:ascii="Arial" w:eastAsia="Times New Roman" w:hAnsi="Arial" w:cs="Arial"/>
          <w:i/>
          <w:sz w:val="24"/>
          <w:szCs w:val="24"/>
        </w:rPr>
        <w:t>In</w:t>
      </w:r>
      <w:r w:rsidR="00A12F1F">
        <w:rPr>
          <w:rFonts w:ascii="Arial" w:eastAsia="Times New Roman" w:hAnsi="Arial" w:cs="Arial"/>
          <w:sz w:val="24"/>
          <w:szCs w:val="24"/>
        </w:rPr>
        <w:t xml:space="preserve"> </w:t>
      </w:r>
      <w:r w:rsidR="00A12F1F" w:rsidRPr="0017359B">
        <w:rPr>
          <w:rFonts w:ascii="Arial" w:eastAsia="Times New Roman" w:hAnsi="Arial" w:cs="Arial"/>
          <w:i/>
          <w:sz w:val="24"/>
          <w:szCs w:val="24"/>
        </w:rPr>
        <w:t>Re: Israel and the Monson Public Schools</w:t>
      </w:r>
      <w:r w:rsidR="00A12F1F">
        <w:rPr>
          <w:rFonts w:ascii="Arial" w:eastAsia="Times New Roman" w:hAnsi="Arial" w:cs="Arial"/>
          <w:sz w:val="24"/>
          <w:szCs w:val="24"/>
        </w:rPr>
        <w:t xml:space="preserve">, BSEA #10-5064 </w:t>
      </w:r>
      <w:r w:rsidR="00A12F1F" w:rsidRPr="0069221F">
        <w:rPr>
          <w:rFonts w:ascii="Arial" w:eastAsia="Times New Roman" w:hAnsi="Arial" w:cs="Arial"/>
          <w:sz w:val="24"/>
          <w:szCs w:val="24"/>
        </w:rPr>
        <w:t>(Byrne, 2010)</w:t>
      </w:r>
      <w:r w:rsidR="00A12F1F">
        <w:rPr>
          <w:rFonts w:ascii="Arial" w:eastAsia="Times New Roman" w:hAnsi="Arial" w:cs="Arial"/>
          <w:sz w:val="24"/>
          <w:szCs w:val="24"/>
        </w:rPr>
        <w:t>.</w:t>
      </w:r>
      <w:r>
        <w:rPr>
          <w:rFonts w:ascii="Arial" w:eastAsia="Times New Roman" w:hAnsi="Arial" w:cs="Arial"/>
          <w:sz w:val="24"/>
          <w:szCs w:val="24"/>
        </w:rPr>
        <w:t xml:space="preserve">  Additionally, Parents retain the right to seek relief </w:t>
      </w:r>
      <w:r w:rsidR="00B04796">
        <w:rPr>
          <w:rFonts w:ascii="Arial" w:eastAsia="Times New Roman" w:hAnsi="Arial" w:cs="Arial"/>
          <w:sz w:val="24"/>
          <w:szCs w:val="24"/>
        </w:rPr>
        <w:t xml:space="preserve">in a hearing on the merits at the BSEA </w:t>
      </w:r>
      <w:r>
        <w:rPr>
          <w:rFonts w:ascii="Arial" w:eastAsia="Times New Roman" w:hAnsi="Arial" w:cs="Arial"/>
          <w:sz w:val="24"/>
          <w:szCs w:val="24"/>
        </w:rPr>
        <w:t>based on allegations</w:t>
      </w:r>
      <w:r w:rsidR="00B04796">
        <w:rPr>
          <w:rFonts w:ascii="Arial" w:eastAsia="Times New Roman" w:hAnsi="Arial" w:cs="Arial"/>
          <w:sz w:val="24"/>
          <w:szCs w:val="24"/>
        </w:rPr>
        <w:t xml:space="preserve"> past denials of FAPE to Student and/or seeking determination of what constitutes FAPE prospectively.  </w:t>
      </w:r>
    </w:p>
    <w:p w:rsidR="00F27FFE" w:rsidRDefault="00F27FFE" w:rsidP="0098215E">
      <w:pPr>
        <w:spacing w:after="0" w:line="240" w:lineRule="auto"/>
        <w:ind w:firstLine="720"/>
        <w:rPr>
          <w:rFonts w:ascii="Arial" w:eastAsia="Times New Roman" w:hAnsi="Arial" w:cs="Arial"/>
          <w:sz w:val="24"/>
          <w:szCs w:val="24"/>
        </w:rPr>
      </w:pPr>
    </w:p>
    <w:p w:rsidR="00E80350" w:rsidRPr="00E80350" w:rsidRDefault="00E80350" w:rsidP="00E80350">
      <w:pPr>
        <w:spacing w:after="0" w:line="240" w:lineRule="auto"/>
        <w:ind w:firstLine="720"/>
        <w:jc w:val="center"/>
        <w:rPr>
          <w:rFonts w:ascii="Arial" w:eastAsia="Times New Roman" w:hAnsi="Arial" w:cs="Arial"/>
          <w:b/>
          <w:sz w:val="24"/>
          <w:szCs w:val="24"/>
          <w:u w:val="single"/>
        </w:rPr>
      </w:pPr>
      <w:r>
        <w:rPr>
          <w:rFonts w:ascii="Arial" w:eastAsia="Times New Roman" w:hAnsi="Arial" w:cs="Arial"/>
          <w:b/>
          <w:sz w:val="24"/>
          <w:szCs w:val="24"/>
          <w:u w:val="single"/>
        </w:rPr>
        <w:t>ORDER</w:t>
      </w:r>
    </w:p>
    <w:p w:rsidR="00101D6C" w:rsidRDefault="00101D6C" w:rsidP="00D33C5B">
      <w:pPr>
        <w:spacing w:after="0" w:line="240" w:lineRule="auto"/>
        <w:rPr>
          <w:rFonts w:ascii="Arial" w:eastAsia="Times New Roman" w:hAnsi="Arial" w:cs="Arial"/>
          <w:sz w:val="24"/>
          <w:szCs w:val="24"/>
        </w:rPr>
      </w:pPr>
    </w:p>
    <w:p w:rsidR="00D33C5B" w:rsidRDefault="00A12F1F">
      <w:pPr>
        <w:rPr>
          <w:rFonts w:ascii="Arial" w:eastAsia="Times New Roman" w:hAnsi="Arial" w:cs="Arial"/>
          <w:sz w:val="24"/>
          <w:szCs w:val="24"/>
        </w:rPr>
      </w:pPr>
      <w:r w:rsidRPr="00E601EE">
        <w:rPr>
          <w:rFonts w:ascii="Arial" w:hAnsi="Arial" w:cs="Arial"/>
          <w:sz w:val="24"/>
          <w:szCs w:val="24"/>
        </w:rPr>
        <w:t xml:space="preserve">The District's Motion to Dismiss for lack of jurisdiction is </w:t>
      </w:r>
      <w:r w:rsidRPr="00E601EE">
        <w:rPr>
          <w:rFonts w:ascii="Arial" w:hAnsi="Arial" w:cs="Arial"/>
          <w:b/>
          <w:sz w:val="24"/>
          <w:szCs w:val="24"/>
        </w:rPr>
        <w:t>GRANTED</w:t>
      </w:r>
      <w:r w:rsidR="00E601EE" w:rsidRPr="00E601EE">
        <w:rPr>
          <w:rFonts w:ascii="Arial" w:hAnsi="Arial" w:cs="Arial"/>
          <w:sz w:val="24"/>
          <w:szCs w:val="24"/>
        </w:rPr>
        <w:t xml:space="preserve"> without prejudice to the right of Parents to file a future claim based on alleged violations of federal or state special education law and/or </w:t>
      </w:r>
      <w:r w:rsidR="00562798">
        <w:rPr>
          <w:rFonts w:ascii="Arial" w:eastAsia="Times New Roman" w:hAnsi="Arial" w:cs="Arial"/>
          <w:sz w:val="24"/>
          <w:szCs w:val="24"/>
        </w:rPr>
        <w:t xml:space="preserve">§ 504 of the Rehabilitation Act and/or seeking prospective relief pursuant to these statutes.  </w:t>
      </w:r>
      <w:r w:rsidR="00E601EE" w:rsidRPr="00E601EE">
        <w:rPr>
          <w:rFonts w:ascii="Arial" w:eastAsia="Times New Roman" w:hAnsi="Arial" w:cs="Arial"/>
          <w:sz w:val="24"/>
          <w:szCs w:val="24"/>
        </w:rPr>
        <w:t xml:space="preserve">   </w:t>
      </w:r>
    </w:p>
    <w:p w:rsidR="00E601EE" w:rsidRDefault="00E601EE">
      <w:pPr>
        <w:rPr>
          <w:rFonts w:ascii="Arial" w:eastAsia="Times New Roman" w:hAnsi="Arial" w:cs="Arial"/>
          <w:sz w:val="24"/>
          <w:szCs w:val="24"/>
        </w:rPr>
      </w:pPr>
    </w:p>
    <w:p w:rsidR="00E601EE" w:rsidRDefault="00E601EE">
      <w:pPr>
        <w:rPr>
          <w:rFonts w:ascii="Arial" w:eastAsia="Times New Roman" w:hAnsi="Arial" w:cs="Arial"/>
          <w:sz w:val="24"/>
          <w:szCs w:val="24"/>
        </w:rPr>
      </w:pPr>
    </w:p>
    <w:p w:rsidR="00E601EE" w:rsidRDefault="00E601EE">
      <w:pPr>
        <w:rPr>
          <w:rFonts w:ascii="Arial" w:eastAsia="Times New Roman" w:hAnsi="Arial" w:cs="Arial"/>
          <w:sz w:val="24"/>
          <w:szCs w:val="24"/>
        </w:rPr>
      </w:pPr>
      <w:r>
        <w:rPr>
          <w:rFonts w:ascii="Arial" w:eastAsia="Times New Roman" w:hAnsi="Arial" w:cs="Arial"/>
          <w:sz w:val="24"/>
          <w:szCs w:val="24"/>
        </w:rPr>
        <w:t>By the Hearing Officer</w:t>
      </w:r>
    </w:p>
    <w:p w:rsidR="00E601EE" w:rsidRDefault="00E601EE">
      <w:pPr>
        <w:rPr>
          <w:rFonts w:ascii="Arial" w:eastAsia="Times New Roman" w:hAnsi="Arial" w:cs="Arial"/>
          <w:sz w:val="24"/>
          <w:szCs w:val="24"/>
        </w:rPr>
      </w:pPr>
    </w:p>
    <w:p w:rsidR="00E601EE" w:rsidRDefault="00E601EE" w:rsidP="00E601EE">
      <w:pPr>
        <w:spacing w:line="240" w:lineRule="auto"/>
        <w:rPr>
          <w:rFonts w:ascii="Arial" w:eastAsia="Times New Roman" w:hAnsi="Arial" w:cs="Arial"/>
          <w:sz w:val="24"/>
          <w:szCs w:val="24"/>
        </w:rPr>
      </w:pPr>
      <w:r>
        <w:rPr>
          <w:rFonts w:ascii="Arial" w:eastAsia="Times New Roman" w:hAnsi="Arial" w:cs="Arial"/>
          <w:sz w:val="24"/>
          <w:szCs w:val="24"/>
        </w:rPr>
        <w:t>________________________</w:t>
      </w:r>
    </w:p>
    <w:p w:rsidR="00E601EE" w:rsidRDefault="00E601EE" w:rsidP="00E601EE">
      <w:pPr>
        <w:spacing w:line="240" w:lineRule="auto"/>
        <w:rPr>
          <w:rFonts w:ascii="Arial" w:hAnsi="Arial" w:cs="Arial"/>
          <w:sz w:val="24"/>
          <w:szCs w:val="24"/>
        </w:rPr>
      </w:pPr>
      <w:r>
        <w:rPr>
          <w:rFonts w:ascii="Arial" w:hAnsi="Arial" w:cs="Arial"/>
          <w:sz w:val="24"/>
          <w:szCs w:val="24"/>
        </w:rPr>
        <w:t>Sara Berman</w:t>
      </w:r>
      <w:r>
        <w:rPr>
          <w:rStyle w:val="FootnoteReference"/>
          <w:rFonts w:ascii="Arial" w:hAnsi="Arial" w:cs="Arial"/>
          <w:sz w:val="24"/>
          <w:szCs w:val="24"/>
        </w:rPr>
        <w:footnoteReference w:id="6"/>
      </w:r>
    </w:p>
    <w:p w:rsidR="00E601EE" w:rsidRPr="00E601EE" w:rsidRDefault="00E601EE" w:rsidP="00E601EE">
      <w:pPr>
        <w:spacing w:line="240" w:lineRule="auto"/>
        <w:rPr>
          <w:rFonts w:ascii="Arial" w:hAnsi="Arial" w:cs="Arial"/>
          <w:sz w:val="24"/>
          <w:szCs w:val="24"/>
        </w:rPr>
      </w:pPr>
      <w:r>
        <w:rPr>
          <w:rFonts w:ascii="Arial" w:hAnsi="Arial" w:cs="Arial"/>
          <w:sz w:val="24"/>
          <w:szCs w:val="24"/>
        </w:rPr>
        <w:t>Dated: October 13, 2015</w:t>
      </w:r>
    </w:p>
    <w:sectPr w:rsidR="00E601EE" w:rsidRPr="00E601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235" w:rsidRDefault="00422235" w:rsidP="00CA40BA">
      <w:pPr>
        <w:spacing w:after="0" w:line="240" w:lineRule="auto"/>
      </w:pPr>
      <w:r>
        <w:separator/>
      </w:r>
    </w:p>
  </w:endnote>
  <w:endnote w:type="continuationSeparator" w:id="0">
    <w:p w:rsidR="00422235" w:rsidRDefault="00422235" w:rsidP="00CA4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235" w:rsidRDefault="00422235" w:rsidP="00CA40BA">
      <w:pPr>
        <w:spacing w:after="0" w:line="240" w:lineRule="auto"/>
      </w:pPr>
      <w:r>
        <w:separator/>
      </w:r>
    </w:p>
  </w:footnote>
  <w:footnote w:type="continuationSeparator" w:id="0">
    <w:p w:rsidR="00422235" w:rsidRDefault="00422235" w:rsidP="00CA40BA">
      <w:pPr>
        <w:spacing w:after="0" w:line="240" w:lineRule="auto"/>
      </w:pPr>
      <w:r>
        <w:continuationSeparator/>
      </w:r>
    </w:p>
  </w:footnote>
  <w:footnote w:id="1">
    <w:p w:rsidR="00CA40BA" w:rsidRDefault="00CA40BA">
      <w:pPr>
        <w:pStyle w:val="FootnoteText"/>
      </w:pPr>
      <w:r>
        <w:rPr>
          <w:rStyle w:val="FootnoteReference"/>
        </w:rPr>
        <w:footnoteRef/>
      </w:r>
      <w:r>
        <w:t xml:space="preserve"> </w:t>
      </w:r>
      <w:proofErr w:type="gramStart"/>
      <w:r>
        <w:t>Agreement at p. 2, Para.</w:t>
      </w:r>
      <w:proofErr w:type="gramEnd"/>
      <w:r>
        <w:t xml:space="preserve"> 3.  </w:t>
      </w:r>
    </w:p>
  </w:footnote>
  <w:footnote w:id="2">
    <w:p w:rsidR="00013F03" w:rsidRDefault="00013F03">
      <w:pPr>
        <w:pStyle w:val="FootnoteText"/>
      </w:pPr>
      <w:r>
        <w:rPr>
          <w:rStyle w:val="FootnoteReference"/>
        </w:rPr>
        <w:footnoteRef/>
      </w:r>
      <w:r>
        <w:t xml:space="preserve"> The injury causing Student’s TBI occu</w:t>
      </w:r>
      <w:r w:rsidR="00DF154C">
        <w:t>rred in 2</w:t>
      </w:r>
      <w:r w:rsidR="00556364">
        <w:t xml:space="preserve">012.  It appears </w:t>
      </w:r>
      <w:r w:rsidR="00DF154C">
        <w:t xml:space="preserve">that the lingering effects of this injury on Student’s cognitive and emotional functioning were not fully diagnosed until </w:t>
      </w:r>
      <w:r w:rsidR="00556364">
        <w:t xml:space="preserve">a New Vision-affiliated psychologist evaluated Student in May and June 2015.  </w:t>
      </w:r>
    </w:p>
  </w:footnote>
  <w:footnote w:id="3">
    <w:p w:rsidR="001B606E" w:rsidRPr="00E92F96" w:rsidRDefault="001B606E">
      <w:pPr>
        <w:pStyle w:val="FootnoteText"/>
      </w:pPr>
      <w:r>
        <w:rPr>
          <w:rStyle w:val="FootnoteReference"/>
        </w:rPr>
        <w:footnoteRef/>
      </w:r>
      <w:r>
        <w:t xml:space="preserve"> </w:t>
      </w:r>
      <w:r w:rsidR="00E92F96" w:rsidRPr="000F2817">
        <w:rPr>
          <w:rFonts w:ascii="Arial" w:hAnsi="Arial" w:cs="Arial"/>
        </w:rPr>
        <w:t xml:space="preserve">Individuals with Disabilities Education Act (IDEA), </w:t>
      </w:r>
      <w:r w:rsidR="00E92F96" w:rsidRPr="000F2817">
        <w:rPr>
          <w:rFonts w:ascii="Arial" w:eastAsia="Times New Roman" w:hAnsi="Arial" w:cs="Arial"/>
        </w:rPr>
        <w:t>20</w:t>
      </w:r>
      <w:r w:rsidR="00E92F96" w:rsidRPr="00E92F96">
        <w:rPr>
          <w:rFonts w:ascii="Arial" w:eastAsia="Times New Roman" w:hAnsi="Arial" w:cs="Arial"/>
        </w:rPr>
        <w:t xml:space="preserve"> U.S.C. § 1400 </w:t>
      </w:r>
      <w:proofErr w:type="gramStart"/>
      <w:r w:rsidR="00E92F96" w:rsidRPr="00E92F96">
        <w:rPr>
          <w:rFonts w:ascii="Arial" w:eastAsia="Times New Roman" w:hAnsi="Arial" w:cs="Arial"/>
          <w:i/>
        </w:rPr>
        <w:t>et</w:t>
      </w:r>
      <w:proofErr w:type="gramEnd"/>
      <w:r w:rsidR="00E92F96" w:rsidRPr="00E92F96">
        <w:rPr>
          <w:rFonts w:ascii="Arial" w:eastAsia="Times New Roman" w:hAnsi="Arial" w:cs="Arial"/>
          <w:i/>
        </w:rPr>
        <w:t xml:space="preserve">. </w:t>
      </w:r>
      <w:proofErr w:type="spellStart"/>
      <w:r w:rsidR="00E92F96" w:rsidRPr="00E92F96">
        <w:rPr>
          <w:rFonts w:ascii="Arial" w:eastAsia="Times New Roman" w:hAnsi="Arial" w:cs="Arial"/>
          <w:i/>
        </w:rPr>
        <w:t>seq</w:t>
      </w:r>
      <w:proofErr w:type="spellEnd"/>
    </w:p>
  </w:footnote>
  <w:footnote w:id="4">
    <w:p w:rsidR="00E92F96" w:rsidRPr="000F2817" w:rsidRDefault="00E92F96">
      <w:pPr>
        <w:pStyle w:val="FootnoteText"/>
      </w:pPr>
      <w:r>
        <w:rPr>
          <w:rStyle w:val="FootnoteReference"/>
        </w:rPr>
        <w:footnoteRef/>
      </w:r>
      <w:r>
        <w:t xml:space="preserve"> </w:t>
      </w:r>
      <w:r w:rsidRPr="000F2817">
        <w:rPr>
          <w:rFonts w:ascii="Arial" w:eastAsia="Times New Roman" w:hAnsi="Arial" w:cs="Arial"/>
        </w:rPr>
        <w:t>M.G.L. 71B</w:t>
      </w:r>
    </w:p>
  </w:footnote>
  <w:footnote w:id="5">
    <w:p w:rsidR="000F2817" w:rsidRPr="000F2817" w:rsidRDefault="000F2817">
      <w:pPr>
        <w:pStyle w:val="FootnoteText"/>
        <w:rPr>
          <w:rFonts w:ascii="Arial" w:hAnsi="Arial" w:cs="Arial"/>
        </w:rPr>
      </w:pPr>
      <w:r w:rsidRPr="000F2817">
        <w:rPr>
          <w:rStyle w:val="FootnoteReference"/>
          <w:rFonts w:ascii="Arial" w:hAnsi="Arial" w:cs="Arial"/>
        </w:rPr>
        <w:footnoteRef/>
      </w:r>
      <w:r w:rsidRPr="000F2817">
        <w:rPr>
          <w:rFonts w:ascii="Arial" w:hAnsi="Arial" w:cs="Arial"/>
        </w:rPr>
        <w:t xml:space="preserve"> </w:t>
      </w:r>
      <w:r w:rsidRPr="000F2817">
        <w:rPr>
          <w:rFonts w:ascii="Arial" w:eastAsia="Times New Roman" w:hAnsi="Arial" w:cs="Arial"/>
        </w:rPr>
        <w:t>29 U.S.C. § 479</w:t>
      </w:r>
    </w:p>
  </w:footnote>
  <w:footnote w:id="6">
    <w:p w:rsidR="00E601EE" w:rsidRPr="00E601EE" w:rsidRDefault="00E601EE">
      <w:pPr>
        <w:pStyle w:val="FootnoteText"/>
        <w:rPr>
          <w:rFonts w:ascii="Arial" w:hAnsi="Arial" w:cs="Arial"/>
        </w:rPr>
      </w:pPr>
      <w:r w:rsidRPr="00E601EE">
        <w:rPr>
          <w:rStyle w:val="FootnoteReference"/>
          <w:rFonts w:ascii="Arial" w:hAnsi="Arial" w:cs="Arial"/>
        </w:rPr>
        <w:footnoteRef/>
      </w:r>
      <w:r w:rsidRPr="00E601EE">
        <w:rPr>
          <w:rFonts w:ascii="Arial" w:hAnsi="Arial" w:cs="Arial"/>
        </w:rPr>
        <w:t xml:space="preserve"> The Hearing Officer gratefully acknowledges the contributions of BSEA Law Clerk Colleen Shea in researching and drafting this Ruling.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489B"/>
    <w:multiLevelType w:val="hybridMultilevel"/>
    <w:tmpl w:val="618EDAB0"/>
    <w:lvl w:ilvl="0" w:tplc="CF6616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50411"/>
    <w:multiLevelType w:val="hybridMultilevel"/>
    <w:tmpl w:val="11A0A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A5775"/>
    <w:multiLevelType w:val="hybridMultilevel"/>
    <w:tmpl w:val="FB208372"/>
    <w:lvl w:ilvl="0" w:tplc="42A65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8F526C"/>
    <w:multiLevelType w:val="hybridMultilevel"/>
    <w:tmpl w:val="B01A6C80"/>
    <w:lvl w:ilvl="0" w:tplc="F43EB5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765DD0"/>
    <w:multiLevelType w:val="multilevel"/>
    <w:tmpl w:val="A37C50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5B"/>
    <w:rsid w:val="00004B20"/>
    <w:rsid w:val="00013F03"/>
    <w:rsid w:val="00030556"/>
    <w:rsid w:val="000331B1"/>
    <w:rsid w:val="000474E8"/>
    <w:rsid w:val="00054174"/>
    <w:rsid w:val="000A4368"/>
    <w:rsid w:val="000F2817"/>
    <w:rsid w:val="00101D6C"/>
    <w:rsid w:val="00164C8C"/>
    <w:rsid w:val="0017359B"/>
    <w:rsid w:val="00181735"/>
    <w:rsid w:val="001B3C02"/>
    <w:rsid w:val="001B606E"/>
    <w:rsid w:val="002C7C07"/>
    <w:rsid w:val="0030549C"/>
    <w:rsid w:val="003361C4"/>
    <w:rsid w:val="003C3DB9"/>
    <w:rsid w:val="003C6F17"/>
    <w:rsid w:val="003F370E"/>
    <w:rsid w:val="003F65E4"/>
    <w:rsid w:val="00410139"/>
    <w:rsid w:val="00422235"/>
    <w:rsid w:val="0046104E"/>
    <w:rsid w:val="00470CC5"/>
    <w:rsid w:val="00493A33"/>
    <w:rsid w:val="004E4392"/>
    <w:rsid w:val="005417EB"/>
    <w:rsid w:val="00556364"/>
    <w:rsid w:val="00562798"/>
    <w:rsid w:val="005726D4"/>
    <w:rsid w:val="005C25EB"/>
    <w:rsid w:val="006123D1"/>
    <w:rsid w:val="0061248E"/>
    <w:rsid w:val="00627563"/>
    <w:rsid w:val="00670A76"/>
    <w:rsid w:val="006805B2"/>
    <w:rsid w:val="0069221F"/>
    <w:rsid w:val="0071446A"/>
    <w:rsid w:val="007173BC"/>
    <w:rsid w:val="00731064"/>
    <w:rsid w:val="00742BE5"/>
    <w:rsid w:val="00746FD9"/>
    <w:rsid w:val="00836A88"/>
    <w:rsid w:val="00842AE6"/>
    <w:rsid w:val="00882054"/>
    <w:rsid w:val="008A2828"/>
    <w:rsid w:val="008E71A4"/>
    <w:rsid w:val="008F1FB1"/>
    <w:rsid w:val="00925C70"/>
    <w:rsid w:val="0098215E"/>
    <w:rsid w:val="009C579F"/>
    <w:rsid w:val="009D3DAC"/>
    <w:rsid w:val="00A112C6"/>
    <w:rsid w:val="00A12F1F"/>
    <w:rsid w:val="00A70F43"/>
    <w:rsid w:val="00A8751C"/>
    <w:rsid w:val="00AB5860"/>
    <w:rsid w:val="00B04796"/>
    <w:rsid w:val="00B135D5"/>
    <w:rsid w:val="00BB1306"/>
    <w:rsid w:val="00BE3161"/>
    <w:rsid w:val="00C21E98"/>
    <w:rsid w:val="00C84DE4"/>
    <w:rsid w:val="00C86888"/>
    <w:rsid w:val="00CA2AC8"/>
    <w:rsid w:val="00CA40BA"/>
    <w:rsid w:val="00D11EF9"/>
    <w:rsid w:val="00D33C5B"/>
    <w:rsid w:val="00D43922"/>
    <w:rsid w:val="00D84471"/>
    <w:rsid w:val="00DD5D92"/>
    <w:rsid w:val="00DE6256"/>
    <w:rsid w:val="00DF154C"/>
    <w:rsid w:val="00E10EBE"/>
    <w:rsid w:val="00E27FC5"/>
    <w:rsid w:val="00E601EE"/>
    <w:rsid w:val="00E63F73"/>
    <w:rsid w:val="00E80350"/>
    <w:rsid w:val="00E92F96"/>
    <w:rsid w:val="00E93F47"/>
    <w:rsid w:val="00ED35B9"/>
    <w:rsid w:val="00F27FFE"/>
    <w:rsid w:val="00F3770C"/>
    <w:rsid w:val="00F8433C"/>
    <w:rsid w:val="00FB5BF8"/>
    <w:rsid w:val="00FE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searchterm">
    <w:name w:val="co_searchterm"/>
    <w:basedOn w:val="DefaultParagraphFont"/>
    <w:rsid w:val="00D33C5B"/>
  </w:style>
  <w:style w:type="character" w:styleId="Emphasis">
    <w:name w:val="Emphasis"/>
    <w:basedOn w:val="DefaultParagraphFont"/>
    <w:uiPriority w:val="20"/>
    <w:qFormat/>
    <w:rsid w:val="00D33C5B"/>
    <w:rPr>
      <w:i/>
      <w:iCs/>
    </w:rPr>
  </w:style>
  <w:style w:type="character" w:customStyle="1" w:styleId="costarpage">
    <w:name w:val="co_starpage"/>
    <w:basedOn w:val="DefaultParagraphFont"/>
    <w:rsid w:val="00D33C5B"/>
  </w:style>
  <w:style w:type="paragraph" w:styleId="ListParagraph">
    <w:name w:val="List Paragraph"/>
    <w:basedOn w:val="Normal"/>
    <w:uiPriority w:val="34"/>
    <w:qFormat/>
    <w:rsid w:val="003C6F17"/>
    <w:pPr>
      <w:ind w:left="720"/>
      <w:contextualSpacing/>
    </w:pPr>
  </w:style>
  <w:style w:type="character" w:styleId="Hyperlink">
    <w:name w:val="Hyperlink"/>
    <w:basedOn w:val="DefaultParagraphFont"/>
    <w:uiPriority w:val="99"/>
    <w:unhideWhenUsed/>
    <w:rsid w:val="003361C4"/>
    <w:rPr>
      <w:color w:val="0000FF" w:themeColor="hyperlink"/>
      <w:u w:val="single"/>
    </w:rPr>
  </w:style>
  <w:style w:type="paragraph" w:styleId="FootnoteText">
    <w:name w:val="footnote text"/>
    <w:basedOn w:val="Normal"/>
    <w:link w:val="FootnoteTextChar"/>
    <w:uiPriority w:val="99"/>
    <w:semiHidden/>
    <w:unhideWhenUsed/>
    <w:rsid w:val="00CA40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40BA"/>
    <w:rPr>
      <w:sz w:val="20"/>
      <w:szCs w:val="20"/>
    </w:rPr>
  </w:style>
  <w:style w:type="character" w:styleId="FootnoteReference">
    <w:name w:val="footnote reference"/>
    <w:basedOn w:val="DefaultParagraphFont"/>
    <w:uiPriority w:val="99"/>
    <w:semiHidden/>
    <w:unhideWhenUsed/>
    <w:rsid w:val="00CA40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313773">
      <w:bodyDiv w:val="1"/>
      <w:marLeft w:val="0"/>
      <w:marRight w:val="0"/>
      <w:marTop w:val="0"/>
      <w:marBottom w:val="0"/>
      <w:divBdr>
        <w:top w:val="none" w:sz="0" w:space="0" w:color="auto"/>
        <w:left w:val="none" w:sz="0" w:space="0" w:color="auto"/>
        <w:bottom w:val="none" w:sz="0" w:space="0" w:color="auto"/>
        <w:right w:val="none" w:sz="0" w:space="0" w:color="auto"/>
      </w:divBdr>
      <w:divsChild>
        <w:div w:id="1386685227">
          <w:marLeft w:val="0"/>
          <w:marRight w:val="0"/>
          <w:marTop w:val="0"/>
          <w:marBottom w:val="0"/>
          <w:divBdr>
            <w:top w:val="none" w:sz="0" w:space="0" w:color="auto"/>
            <w:left w:val="none" w:sz="0" w:space="0" w:color="auto"/>
            <w:bottom w:val="none" w:sz="0" w:space="0" w:color="auto"/>
            <w:right w:val="none" w:sz="0" w:space="0" w:color="auto"/>
          </w:divBdr>
          <w:divsChild>
            <w:div w:id="1350788636">
              <w:marLeft w:val="0"/>
              <w:marRight w:val="0"/>
              <w:marTop w:val="0"/>
              <w:marBottom w:val="0"/>
              <w:divBdr>
                <w:top w:val="none" w:sz="0" w:space="0" w:color="auto"/>
                <w:left w:val="none" w:sz="0" w:space="0" w:color="auto"/>
                <w:bottom w:val="none" w:sz="0" w:space="0" w:color="auto"/>
                <w:right w:val="none" w:sz="0" w:space="0" w:color="auto"/>
              </w:divBdr>
              <w:divsChild>
                <w:div w:id="1540169405">
                  <w:marLeft w:val="0"/>
                  <w:marRight w:val="0"/>
                  <w:marTop w:val="0"/>
                  <w:marBottom w:val="0"/>
                  <w:divBdr>
                    <w:top w:val="none" w:sz="0" w:space="0" w:color="auto"/>
                    <w:left w:val="none" w:sz="0" w:space="0" w:color="auto"/>
                    <w:bottom w:val="none" w:sz="0" w:space="0" w:color="auto"/>
                    <w:right w:val="none" w:sz="0" w:space="0" w:color="auto"/>
                  </w:divBdr>
                </w:div>
              </w:divsChild>
            </w:div>
            <w:div w:id="839930519">
              <w:marLeft w:val="0"/>
              <w:marRight w:val="0"/>
              <w:marTop w:val="0"/>
              <w:marBottom w:val="0"/>
              <w:divBdr>
                <w:top w:val="none" w:sz="0" w:space="0" w:color="auto"/>
                <w:left w:val="none" w:sz="0" w:space="0" w:color="auto"/>
                <w:bottom w:val="none" w:sz="0" w:space="0" w:color="auto"/>
                <w:right w:val="none" w:sz="0" w:space="0" w:color="auto"/>
              </w:divBdr>
              <w:divsChild>
                <w:div w:id="1728069217">
                  <w:marLeft w:val="0"/>
                  <w:marRight w:val="0"/>
                  <w:marTop w:val="0"/>
                  <w:marBottom w:val="0"/>
                  <w:divBdr>
                    <w:top w:val="none" w:sz="0" w:space="0" w:color="auto"/>
                    <w:left w:val="none" w:sz="0" w:space="0" w:color="auto"/>
                    <w:bottom w:val="none" w:sz="0" w:space="0" w:color="auto"/>
                    <w:right w:val="none" w:sz="0" w:space="0" w:color="auto"/>
                  </w:divBdr>
                </w:div>
              </w:divsChild>
            </w:div>
            <w:div w:id="21466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528237">
      <w:bodyDiv w:val="1"/>
      <w:marLeft w:val="0"/>
      <w:marRight w:val="0"/>
      <w:marTop w:val="0"/>
      <w:marBottom w:val="0"/>
      <w:divBdr>
        <w:top w:val="none" w:sz="0" w:space="0" w:color="auto"/>
        <w:left w:val="none" w:sz="0" w:space="0" w:color="auto"/>
        <w:bottom w:val="none" w:sz="0" w:space="0" w:color="auto"/>
        <w:right w:val="none" w:sz="0" w:space="0" w:color="auto"/>
      </w:divBdr>
    </w:div>
    <w:div w:id="1540044275">
      <w:bodyDiv w:val="1"/>
      <w:marLeft w:val="0"/>
      <w:marRight w:val="0"/>
      <w:marTop w:val="0"/>
      <w:marBottom w:val="0"/>
      <w:divBdr>
        <w:top w:val="none" w:sz="0" w:space="0" w:color="auto"/>
        <w:left w:val="none" w:sz="0" w:space="0" w:color="auto"/>
        <w:bottom w:val="none" w:sz="0" w:space="0" w:color="auto"/>
        <w:right w:val="none" w:sz="0" w:space="0" w:color="auto"/>
      </w:divBdr>
    </w:div>
    <w:div w:id="1586302075">
      <w:bodyDiv w:val="1"/>
      <w:marLeft w:val="0"/>
      <w:marRight w:val="0"/>
      <w:marTop w:val="0"/>
      <w:marBottom w:val="0"/>
      <w:divBdr>
        <w:top w:val="none" w:sz="0" w:space="0" w:color="auto"/>
        <w:left w:val="none" w:sz="0" w:space="0" w:color="auto"/>
        <w:bottom w:val="none" w:sz="0" w:space="0" w:color="auto"/>
        <w:right w:val="none" w:sz="0" w:space="0" w:color="auto"/>
      </w:divBdr>
      <w:divsChild>
        <w:div w:id="281112046">
          <w:marLeft w:val="0"/>
          <w:marRight w:val="0"/>
          <w:marTop w:val="0"/>
          <w:marBottom w:val="0"/>
          <w:divBdr>
            <w:top w:val="none" w:sz="0" w:space="0" w:color="auto"/>
            <w:left w:val="none" w:sz="0" w:space="0" w:color="auto"/>
            <w:bottom w:val="none" w:sz="0" w:space="0" w:color="auto"/>
            <w:right w:val="none" w:sz="0" w:space="0" w:color="auto"/>
          </w:divBdr>
          <w:divsChild>
            <w:div w:id="1179655906">
              <w:marLeft w:val="0"/>
              <w:marRight w:val="0"/>
              <w:marTop w:val="0"/>
              <w:marBottom w:val="0"/>
              <w:divBdr>
                <w:top w:val="none" w:sz="0" w:space="0" w:color="auto"/>
                <w:left w:val="none" w:sz="0" w:space="0" w:color="auto"/>
                <w:bottom w:val="none" w:sz="0" w:space="0" w:color="auto"/>
                <w:right w:val="none" w:sz="0" w:space="0" w:color="auto"/>
              </w:divBdr>
              <w:divsChild>
                <w:div w:id="1267154780">
                  <w:marLeft w:val="0"/>
                  <w:marRight w:val="0"/>
                  <w:marTop w:val="0"/>
                  <w:marBottom w:val="0"/>
                  <w:divBdr>
                    <w:top w:val="none" w:sz="0" w:space="0" w:color="auto"/>
                    <w:left w:val="none" w:sz="0" w:space="0" w:color="auto"/>
                    <w:bottom w:val="none" w:sz="0" w:space="0" w:color="auto"/>
                    <w:right w:val="none" w:sz="0" w:space="0" w:color="auto"/>
                  </w:divBdr>
                </w:div>
              </w:divsChild>
            </w:div>
            <w:div w:id="316806514">
              <w:marLeft w:val="0"/>
              <w:marRight w:val="0"/>
              <w:marTop w:val="0"/>
              <w:marBottom w:val="0"/>
              <w:divBdr>
                <w:top w:val="none" w:sz="0" w:space="0" w:color="auto"/>
                <w:left w:val="none" w:sz="0" w:space="0" w:color="auto"/>
                <w:bottom w:val="none" w:sz="0" w:space="0" w:color="auto"/>
                <w:right w:val="none" w:sz="0" w:space="0" w:color="auto"/>
              </w:divBdr>
              <w:divsChild>
                <w:div w:id="1592543354">
                  <w:marLeft w:val="0"/>
                  <w:marRight w:val="0"/>
                  <w:marTop w:val="0"/>
                  <w:marBottom w:val="0"/>
                  <w:divBdr>
                    <w:top w:val="none" w:sz="0" w:space="0" w:color="auto"/>
                    <w:left w:val="none" w:sz="0" w:space="0" w:color="auto"/>
                    <w:bottom w:val="none" w:sz="0" w:space="0" w:color="auto"/>
                    <w:right w:val="none" w:sz="0" w:space="0" w:color="auto"/>
                  </w:divBdr>
                </w:div>
              </w:divsChild>
            </w:div>
            <w:div w:id="740449335">
              <w:marLeft w:val="0"/>
              <w:marRight w:val="0"/>
              <w:marTop w:val="0"/>
              <w:marBottom w:val="0"/>
              <w:divBdr>
                <w:top w:val="none" w:sz="0" w:space="0" w:color="auto"/>
                <w:left w:val="none" w:sz="0" w:space="0" w:color="auto"/>
                <w:bottom w:val="none" w:sz="0" w:space="0" w:color="auto"/>
                <w:right w:val="none" w:sz="0" w:space="0" w:color="auto"/>
              </w:divBdr>
              <w:divsChild>
                <w:div w:id="1415513990">
                  <w:marLeft w:val="0"/>
                  <w:marRight w:val="0"/>
                  <w:marTop w:val="0"/>
                  <w:marBottom w:val="0"/>
                  <w:divBdr>
                    <w:top w:val="none" w:sz="0" w:space="0" w:color="auto"/>
                    <w:left w:val="none" w:sz="0" w:space="0" w:color="auto"/>
                    <w:bottom w:val="none" w:sz="0" w:space="0" w:color="auto"/>
                    <w:right w:val="none" w:sz="0" w:space="0" w:color="auto"/>
                  </w:divBdr>
                </w:div>
              </w:divsChild>
            </w:div>
            <w:div w:id="149028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3537B-1E5E-46C6-9741-CC8150275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2015-10-26T18:39:00Z</dcterms:created>
  <dc:creator>Shea, Colleen (ALA)</dc:creator>
  <lastModifiedBy>ANF</lastModifiedBy>
  <dcterms:modified xsi:type="dcterms:W3CDTF">2015-10-26T18:42:00Z</dcterms:modified>
  <revision>3</revision>
</coreProperties>
</file>