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:rsidR="006D06D9" w:rsidRDefault="00C676EF" w:rsidP="000F315B">
      <w:pPr>
        <w:pStyle w:val="ExecOffice"/>
        <w:framePr w:w="6926" w:wrap="notBeside" w:vAnchor="page" w:x="2884" w:y="711"/>
      </w:pPr>
      <w:r>
        <w:t>250 Washington Street, Boston, MA 02108</w:t>
      </w:r>
    </w:p>
    <w:p w:rsidR="00BA4055" w:rsidRDefault="00C05E3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5200" cy="1149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C05E37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58570" wp14:editId="26AD1E16">
                <wp:simplePos x="0" y="0"/>
                <wp:positionH relativeFrom="column">
                  <wp:posOffset>4141470</wp:posOffset>
                </wp:positionH>
                <wp:positionV relativeFrom="paragraph">
                  <wp:posOffset>539750</wp:posOffset>
                </wp:positionV>
                <wp:extent cx="1572895" cy="1136015"/>
                <wp:effectExtent l="0" t="0" r="63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A4F" w:rsidRDefault="005B1A4F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5B1A4F" w:rsidRPr="003A7AFC" w:rsidRDefault="005B1A4F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5B1A4F" w:rsidRDefault="005B1A4F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5B1A4F" w:rsidRDefault="005B1A4F" w:rsidP="005535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5B1A4F" w:rsidRDefault="005B1A4F" w:rsidP="005535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1pt;margin-top:42.5pt;width:123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7bgQIAABA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q8w&#10;UqQHih746NG1HlEeqjMYV4HRvQEzP8I2sBwzdeZO088OKX3TEbXhV9bqoeOEQXRZuJmcXJ1wXABZ&#10;D+80Azdk63UEGlvbh9JBMRCgA0uPR2ZCKDS4nJ/ny3KOEYWzLHu1SLN59EGqw3VjnX/DdY/CpMYW&#10;qI/wZHfnfAiHVAeT4M1pKVgjpIwLu1nfSIt2BGTSxG+P/sxMqmCsdLg2IU47ECX4CGch3kj7tzLL&#10;i/Q6L2fNYnk+K5piPivP0+UszcrrcpEWZXHbfA8BZkXVCca4uhOKHySYFX9H8b4ZJvFEEaKhxuU8&#10;n08c/THJNH6/S7IXHjpSir7Gy6MRqQKzrxWDtEnliZDTPHkefqwy1ODwj1WJOgjUTyLw43oElCCO&#10;tWaPoAirgS+gHZ4RmHTafsVogJassfuyJZZjJN8qUFWZFUXo4bgoQBGwsKcn69MToihA1dhjNE1v&#10;/NT3W2PFpgNPBx1fgRIbETXyFNVev9B2MZn9ExH6+nQdrZ4estUPAAAA//8DAFBLAwQUAAYACAAA&#10;ACEATkNP/N8AAAAKAQAADwAAAGRycy9kb3ducmV2LnhtbEyPQUvEMBCF74L/IYzgzU2ttLS102Vx&#10;8eJBcFfQY7ZJm2IyKUm2W/+98aTHYT7e+167Xa1hi/JhcoRwv8mAKeqdnGhEeD8+31XAQhQkhXGk&#10;EL5VgG13fdWKRroLvanlEEeWQig0AkHHODech14rK8LGzYrSb3DeiphOP3LpxSWFW8PzLCu5FROl&#10;Bi1m9aRV/3U4W4QPqye596+fgzTL/mXYFfPqZ8Tbm3X3CCyqNf7B8Kuf1KFLTid3JhmYQSiLPE8o&#10;QlWkTQmo6roGdkLIy4caeNfy/xO6HwAAAP//AwBQSwECLQAUAAYACAAAACEAtoM4kv4AAADhAQAA&#10;EwAAAAAAAAAAAAAAAAAAAAAAW0NvbnRlbnRfVHlwZXNdLnhtbFBLAQItABQABgAIAAAAIQA4/SH/&#10;1gAAAJQBAAALAAAAAAAAAAAAAAAAAC8BAABfcmVscy8ucmVsc1BLAQItABQABgAIAAAAIQAg0b7b&#10;gQIAABAFAAAOAAAAAAAAAAAAAAAAAC4CAABkcnMvZTJvRG9jLnhtbFBLAQItABQABgAIAAAAIQBO&#10;Q0/83wAAAAoBAAAPAAAAAAAAAAAAAAAAANsEAABkcnMvZG93bnJldi54bWxQSwUGAAAAAAQABADz&#10;AAAA5wUAAAAA&#10;" stroked="f">
                <v:textbox style="mso-fit-shape-to-text:t">
                  <w:txbxContent>
                    <w:p w:rsidR="005B1A4F" w:rsidRDefault="005B1A4F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5B1A4F" w:rsidRPr="003A7AFC" w:rsidRDefault="005B1A4F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5B1A4F" w:rsidRDefault="005B1A4F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5B1A4F" w:rsidRDefault="005B1A4F" w:rsidP="0055352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5B1A4F" w:rsidRDefault="005B1A4F" w:rsidP="0055352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680A55" wp14:editId="64613EA3">
                <wp:simplePos x="0" y="0"/>
                <wp:positionH relativeFrom="column">
                  <wp:posOffset>-1699895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A4F" w:rsidRDefault="005B1A4F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5B1A4F" w:rsidRDefault="005B1A4F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5B1A4F" w:rsidRDefault="005B1A4F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5B1A4F" w:rsidRDefault="005B1A4F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5B1A4F" w:rsidRDefault="005B1A4F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3.8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WMPVTuAAAAALAQAADwAAAGRycy9kb3ducmV2LnhtbEyPy2rDMBBF94X+g5hAd45slzxwPQ6h&#10;oZsuCk0K7VKxZMtEDyMpjvv3na7a5TCHe8+td7M1bFIhDt4hFMscmHKtl4PrET5OL9kWWEzCSWG8&#10;UwjfKsKuub+rRSX9zb2r6Zh6RiEuVgJBpzRWnMdWKyvi0o/K0a/zwYpEZ+i5DOJG4dbwMs/X3IrB&#10;UYMWo3rWqr0crxbh0+pBHsLbVyfNdHjt9qtxDiPiw2LePwFLak5/MPzqkzo05HT2VycjMwhZud5s&#10;iEXYrmgUERkVAjsjlEXxCLyp+f8NzQ8AAAD//wMAUEsBAi0AFAAGAAgAAAAhALaDOJL+AAAA4QEA&#10;ABMAAAAAAAAAAAAAAAAAAAAAAFtDb250ZW50X1R5cGVzXS54bWxQSwECLQAUAAYACAAAACEAOP0h&#10;/9YAAACUAQAACwAAAAAAAAAAAAAAAAAvAQAAX3JlbHMvLnJlbHNQSwECLQAUAAYACAAAACEAXrxV&#10;g4ECAAAWBQAADgAAAAAAAAAAAAAAAAAuAgAAZHJzL2Uyb0RvYy54bWxQSwECLQAUAAYACAAAACEA&#10;WMPVTuAAAAALAQAADwAAAAAAAAAAAAAAAADbBAAAZHJzL2Rvd25yZXYueG1sUEsFBgAAAAAEAAQA&#10;8wAAAOgFAAAAAA==&#10;" stroked="f">
                <v:textbox style="mso-fit-shape-to-text:t">
                  <w:txbxContent>
                    <w:p w:rsidR="005B1A4F" w:rsidRDefault="005B1A4F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5B1A4F" w:rsidRDefault="005B1A4F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5B1A4F" w:rsidRDefault="005B1A4F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5B1A4F" w:rsidRDefault="005B1A4F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5B1A4F" w:rsidRDefault="005B1A4F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FC6B42" w:rsidRDefault="00FC6B42" w:rsidP="0072610D"/>
    <w:p w:rsidR="00FC6B42" w:rsidRDefault="000A7338" w:rsidP="000A7338">
      <w:pPr>
        <w:tabs>
          <w:tab w:val="left" w:pos="6300"/>
        </w:tabs>
      </w:pPr>
      <w:r>
        <w:tab/>
      </w:r>
    </w:p>
    <w:p w:rsidR="000A7338" w:rsidRDefault="000A7338" w:rsidP="000A7338">
      <w:pPr>
        <w:tabs>
          <w:tab w:val="left" w:pos="6300"/>
        </w:tabs>
      </w:pPr>
    </w:p>
    <w:p w:rsidR="00A70D8F" w:rsidRDefault="00A70D8F" w:rsidP="000A7338">
      <w:pPr>
        <w:tabs>
          <w:tab w:val="left" w:pos="6300"/>
        </w:tabs>
      </w:pPr>
    </w:p>
    <w:p w:rsidR="00A70D8F" w:rsidRPr="00A70D8F" w:rsidRDefault="00A70D8F" w:rsidP="00A70D8F">
      <w:pPr>
        <w:tabs>
          <w:tab w:val="center" w:pos="4680"/>
        </w:tabs>
        <w:suppressAutoHyphens/>
        <w:jc w:val="center"/>
        <w:rPr>
          <w:rFonts w:cs="Arial"/>
          <w:b/>
        </w:rPr>
      </w:pPr>
      <w:r w:rsidRPr="00A70D8F">
        <w:rPr>
          <w:rFonts w:cs="Arial"/>
          <w:b/>
        </w:rPr>
        <w:t>MEMORANDUM</w:t>
      </w:r>
    </w:p>
    <w:p w:rsidR="00A70D8F" w:rsidRPr="00A70D8F" w:rsidRDefault="00A70D8F" w:rsidP="00A70D8F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rFonts w:cs="Arial"/>
        </w:rPr>
      </w:pPr>
    </w:p>
    <w:p w:rsidR="00A70D8F" w:rsidRPr="00904E39" w:rsidRDefault="00A70D8F" w:rsidP="00A70D8F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rFonts w:cs="Arial"/>
          <w:szCs w:val="24"/>
        </w:rPr>
      </w:pPr>
      <w:r w:rsidRPr="00904E39">
        <w:rPr>
          <w:rFonts w:cs="Arial"/>
          <w:szCs w:val="24"/>
        </w:rPr>
        <w:t>To:</w:t>
      </w:r>
      <w:r w:rsidRPr="00904E39">
        <w:rPr>
          <w:rFonts w:cs="Arial"/>
          <w:szCs w:val="24"/>
        </w:rPr>
        <w:tab/>
      </w:r>
      <w:r w:rsidRPr="00904E39">
        <w:rPr>
          <w:rFonts w:cs="Arial"/>
          <w:szCs w:val="24"/>
        </w:rPr>
        <w:tab/>
      </w:r>
      <w:r w:rsidRPr="00904E39">
        <w:rPr>
          <w:rFonts w:cs="Arial"/>
          <w:szCs w:val="24"/>
        </w:rPr>
        <w:tab/>
        <w:t>Interested Parties</w:t>
      </w:r>
    </w:p>
    <w:p w:rsidR="00A70D8F" w:rsidRPr="00904E39" w:rsidRDefault="00A70D8F" w:rsidP="00A70D8F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rFonts w:cs="Arial"/>
          <w:szCs w:val="24"/>
        </w:rPr>
      </w:pPr>
    </w:p>
    <w:p w:rsidR="00A70D8F" w:rsidRPr="00904E39" w:rsidRDefault="00A70D8F" w:rsidP="00A70D8F">
      <w:pPr>
        <w:tabs>
          <w:tab w:val="left" w:pos="0"/>
          <w:tab w:val="left" w:pos="1440"/>
        </w:tabs>
        <w:suppressAutoHyphens/>
        <w:ind w:left="1440" w:hanging="1440"/>
        <w:rPr>
          <w:rFonts w:cs="Arial"/>
          <w:szCs w:val="24"/>
        </w:rPr>
      </w:pPr>
      <w:r w:rsidRPr="00904E39">
        <w:rPr>
          <w:rFonts w:cs="Arial"/>
          <w:szCs w:val="24"/>
        </w:rPr>
        <w:t>From:</w:t>
      </w:r>
      <w:r w:rsidRPr="00904E39">
        <w:rPr>
          <w:rFonts w:cs="Arial"/>
          <w:szCs w:val="24"/>
        </w:rPr>
        <w:tab/>
      </w:r>
      <w:r w:rsidR="00847C43">
        <w:rPr>
          <w:rFonts w:cs="Arial"/>
          <w:szCs w:val="24"/>
        </w:rPr>
        <w:t>Nora Mann</w:t>
      </w:r>
      <w:r w:rsidRPr="00904E39">
        <w:rPr>
          <w:rFonts w:cs="Arial"/>
          <w:szCs w:val="24"/>
        </w:rPr>
        <w:t xml:space="preserve">, Director, Determination of Need Program </w:t>
      </w:r>
    </w:p>
    <w:p w:rsidR="00A70D8F" w:rsidRPr="00904E39" w:rsidRDefault="00A70D8F" w:rsidP="00A70D8F">
      <w:pPr>
        <w:tabs>
          <w:tab w:val="left" w:pos="0"/>
        </w:tabs>
        <w:suppressAutoHyphens/>
        <w:rPr>
          <w:szCs w:val="24"/>
        </w:rPr>
      </w:pPr>
      <w:r w:rsidRPr="00904E39">
        <w:rPr>
          <w:rFonts w:cs="Arial"/>
          <w:szCs w:val="24"/>
        </w:rPr>
        <w:tab/>
      </w:r>
    </w:p>
    <w:p w:rsidR="00A70D8F" w:rsidRPr="00904E39" w:rsidRDefault="00A70D8F" w:rsidP="00A70D8F">
      <w:pPr>
        <w:rPr>
          <w:rFonts w:cs="Arial"/>
          <w:szCs w:val="24"/>
        </w:rPr>
      </w:pPr>
      <w:r w:rsidRPr="00904E39">
        <w:rPr>
          <w:rFonts w:cs="Arial"/>
          <w:szCs w:val="24"/>
        </w:rPr>
        <w:t>Subject:</w:t>
      </w:r>
      <w:r w:rsidRPr="00904E39">
        <w:rPr>
          <w:rFonts w:cs="Arial"/>
          <w:szCs w:val="24"/>
        </w:rPr>
        <w:tab/>
        <w:t xml:space="preserve">Annual Adjustments to </w:t>
      </w:r>
      <w:r w:rsidR="00953A8F">
        <w:rPr>
          <w:rFonts w:cs="Arial"/>
          <w:szCs w:val="24"/>
        </w:rPr>
        <w:t>Determination of Need (</w:t>
      </w:r>
      <w:r w:rsidRPr="00904E39">
        <w:rPr>
          <w:rFonts w:cs="Arial"/>
          <w:szCs w:val="24"/>
        </w:rPr>
        <w:t>DoN</w:t>
      </w:r>
      <w:r w:rsidR="00953A8F">
        <w:rPr>
          <w:rFonts w:cs="Arial"/>
          <w:szCs w:val="24"/>
        </w:rPr>
        <w:t>)</w:t>
      </w:r>
      <w:r w:rsidRPr="00904E39">
        <w:rPr>
          <w:rFonts w:cs="Arial"/>
          <w:szCs w:val="24"/>
        </w:rPr>
        <w:t xml:space="preserve"> Expenditure Minimums</w:t>
      </w:r>
    </w:p>
    <w:p w:rsidR="00A70D8F" w:rsidRPr="00904E39" w:rsidRDefault="00A70D8F" w:rsidP="00A70D8F">
      <w:pPr>
        <w:rPr>
          <w:rFonts w:cs="Arial"/>
          <w:szCs w:val="24"/>
        </w:rPr>
      </w:pPr>
    </w:p>
    <w:p w:rsidR="00A70D8F" w:rsidRPr="00A70D8F" w:rsidRDefault="00A70D8F" w:rsidP="00A70D8F">
      <w:pPr>
        <w:rPr>
          <w:rFonts w:cs="Arial"/>
          <w:sz w:val="28"/>
          <w:szCs w:val="28"/>
        </w:rPr>
      </w:pPr>
      <w:r w:rsidRPr="00904E39">
        <w:rPr>
          <w:rFonts w:cs="Arial"/>
          <w:szCs w:val="24"/>
        </w:rPr>
        <w:t>Date:</w:t>
      </w:r>
      <w:r w:rsidRPr="00904E39">
        <w:rPr>
          <w:rFonts w:cs="Arial"/>
          <w:szCs w:val="24"/>
        </w:rPr>
        <w:tab/>
      </w:r>
      <w:r w:rsidRPr="00904E39">
        <w:rPr>
          <w:rFonts w:cs="Arial"/>
          <w:szCs w:val="24"/>
        </w:rPr>
        <w:tab/>
      </w:r>
      <w:r w:rsidR="00DC04B2">
        <w:rPr>
          <w:rFonts w:cs="Arial"/>
          <w:szCs w:val="24"/>
        </w:rPr>
        <w:t>January 27</w:t>
      </w:r>
      <w:bookmarkStart w:id="0" w:name="_GoBack"/>
      <w:bookmarkEnd w:id="0"/>
      <w:r w:rsidR="00DC04B2">
        <w:rPr>
          <w:rFonts w:cs="Arial"/>
          <w:szCs w:val="24"/>
        </w:rPr>
        <w:t>, 2017</w:t>
      </w:r>
      <w:r>
        <w:rPr>
          <w:rFonts w:cs="Arial"/>
          <w:sz w:val="28"/>
          <w:szCs w:val="28"/>
        </w:rPr>
        <w:tab/>
      </w:r>
    </w:p>
    <w:p w:rsidR="00A70D8F" w:rsidRPr="00A70D8F" w:rsidRDefault="00A70D8F" w:rsidP="00A70D8F">
      <w:pPr>
        <w:pBdr>
          <w:bottom w:val="single" w:sz="4" w:space="1" w:color="auto"/>
        </w:pBdr>
        <w:rPr>
          <w:rFonts w:cs="Arial"/>
        </w:rPr>
      </w:pPr>
    </w:p>
    <w:p w:rsidR="009C3893" w:rsidRDefault="009C3893" w:rsidP="009C3893">
      <w:pPr>
        <w:rPr>
          <w:rFonts w:cs="Arial"/>
        </w:rPr>
      </w:pPr>
    </w:p>
    <w:p w:rsidR="009C3893" w:rsidRPr="009C3893" w:rsidRDefault="009C3893" w:rsidP="00953A8F">
      <w:r w:rsidRPr="009C3893">
        <w:t xml:space="preserve">Each year, pursuant to M.G.L. c.111, § 25B½, the </w:t>
      </w:r>
      <w:r w:rsidR="00953A8F">
        <w:t>DoN</w:t>
      </w:r>
      <w:r w:rsidRPr="009C3893">
        <w:t xml:space="preserve"> Program issues </w:t>
      </w:r>
      <w:r w:rsidR="0007538F">
        <w:t xml:space="preserve">an informational bulletin on </w:t>
      </w:r>
      <w:r w:rsidRPr="009C3893">
        <w:t xml:space="preserve">annual adjustments to the </w:t>
      </w:r>
      <w:r w:rsidR="00953A8F">
        <w:t xml:space="preserve">DoN </w:t>
      </w:r>
      <w:r w:rsidRPr="009C3893">
        <w:t xml:space="preserve">expenditure minimums to adjust the Substantial Capital Expenditure dollar amount for inflation.  </w:t>
      </w:r>
    </w:p>
    <w:p w:rsidR="009C3893" w:rsidRPr="009C3893" w:rsidRDefault="009C3893" w:rsidP="00953A8F"/>
    <w:p w:rsidR="009C3893" w:rsidRPr="0040798E" w:rsidRDefault="009C3893" w:rsidP="00953A8F">
      <w:pPr>
        <w:rPr>
          <w:szCs w:val="24"/>
        </w:rPr>
      </w:pPr>
      <w:r w:rsidRPr="009C3893">
        <w:t>Section 25B½</w:t>
      </w:r>
      <w:r>
        <w:t xml:space="preserve"> </w:t>
      </w:r>
      <w:r w:rsidRPr="009C3893">
        <w:t xml:space="preserve">specifies the use of an inflation index established by the U.S. Department of </w:t>
      </w:r>
      <w:r w:rsidRPr="0040798E">
        <w:rPr>
          <w:szCs w:val="24"/>
        </w:rPr>
        <w:t xml:space="preserve">Health and Human Services.  In place of a federal index such as the Consumer Price Index, the </w:t>
      </w:r>
      <w:r w:rsidR="00953A8F" w:rsidRPr="0040798E">
        <w:rPr>
          <w:szCs w:val="24"/>
        </w:rPr>
        <w:t>DoN</w:t>
      </w:r>
      <w:r w:rsidRPr="0040798E">
        <w:rPr>
          <w:szCs w:val="24"/>
        </w:rPr>
        <w:t xml:space="preserve"> Program has historically performed annual adjustments to DoN expenditure minimums using Marshall &amp; Swift indices for capital expenditures involving construction and equipment. These indices are the basis for the adjustment of expenditure minimums for the period from October 1, 201</w:t>
      </w:r>
      <w:r w:rsidR="00C34D33" w:rsidRPr="0040798E">
        <w:rPr>
          <w:szCs w:val="24"/>
        </w:rPr>
        <w:t>6</w:t>
      </w:r>
      <w:r w:rsidRPr="0040798E">
        <w:rPr>
          <w:szCs w:val="24"/>
        </w:rPr>
        <w:t xml:space="preserve"> through September 30, 201</w:t>
      </w:r>
      <w:r w:rsidR="00C34D33" w:rsidRPr="0040798E">
        <w:rPr>
          <w:szCs w:val="24"/>
        </w:rPr>
        <w:t>7</w:t>
      </w:r>
      <w:r w:rsidRPr="0040798E">
        <w:rPr>
          <w:szCs w:val="24"/>
        </w:rPr>
        <w:t>.</w:t>
      </w:r>
    </w:p>
    <w:p w:rsidR="009C3893" w:rsidRPr="0040798E" w:rsidRDefault="009C3893">
      <w:pPr>
        <w:rPr>
          <w:szCs w:val="24"/>
        </w:rPr>
      </w:pPr>
    </w:p>
    <w:p w:rsidR="009C3893" w:rsidRPr="0040798E" w:rsidRDefault="009C3893">
      <w:pPr>
        <w:rPr>
          <w:szCs w:val="24"/>
        </w:rPr>
      </w:pPr>
      <w:r w:rsidRPr="0040798E">
        <w:rPr>
          <w:szCs w:val="24"/>
        </w:rPr>
        <w:t>Effective October 1, 201</w:t>
      </w:r>
      <w:r w:rsidR="00C34D33" w:rsidRPr="0040798E">
        <w:rPr>
          <w:szCs w:val="24"/>
        </w:rPr>
        <w:t>6</w:t>
      </w:r>
      <w:r w:rsidRPr="0040798E">
        <w:rPr>
          <w:szCs w:val="24"/>
        </w:rPr>
        <w:t xml:space="preserve">, </w:t>
      </w:r>
      <w:r w:rsidR="00953A8F" w:rsidRPr="0040798E">
        <w:rPr>
          <w:szCs w:val="24"/>
        </w:rPr>
        <w:t>DoN</w:t>
      </w:r>
      <w:r w:rsidRPr="0040798E">
        <w:rPr>
          <w:szCs w:val="24"/>
        </w:rPr>
        <w:t xml:space="preserve"> expenditure minimums are adjusted as shown below</w:t>
      </w:r>
      <w:r w:rsidR="003672C3" w:rsidRPr="0040798E">
        <w:rPr>
          <w:szCs w:val="24"/>
        </w:rPr>
        <w:t>.  T</w:t>
      </w:r>
      <w:r w:rsidRPr="0040798E">
        <w:rPr>
          <w:szCs w:val="24"/>
        </w:rPr>
        <w:t>he adjustment factors used to update the expenditure minimums are provided in Attachment 1.</w:t>
      </w:r>
    </w:p>
    <w:p w:rsidR="009C3893" w:rsidRPr="0040798E" w:rsidRDefault="009C3893" w:rsidP="009C3893">
      <w:pPr>
        <w:rPr>
          <w:rFonts w:cs="Arial"/>
          <w:szCs w:val="24"/>
        </w:rPr>
      </w:pPr>
    </w:p>
    <w:p w:rsidR="0040798E" w:rsidRPr="0040798E" w:rsidRDefault="0040798E" w:rsidP="0040798E">
      <w:pPr>
        <w:rPr>
          <w:szCs w:val="24"/>
        </w:rPr>
      </w:pPr>
      <w:r w:rsidRPr="0040798E">
        <w:rPr>
          <w:szCs w:val="24"/>
        </w:rPr>
        <w:t xml:space="preserve">Please direct any questions or comments about this memorandum to the Determination of Need Program at </w:t>
      </w:r>
      <w:hyperlink r:id="rId9" w:history="1">
        <w:r w:rsidRPr="0040798E">
          <w:rPr>
            <w:color w:val="0000FF"/>
            <w:szCs w:val="24"/>
            <w:u w:val="single"/>
          </w:rPr>
          <w:t>dph.don@state.ma.us</w:t>
        </w:r>
      </w:hyperlink>
      <w:r w:rsidRPr="0040798E">
        <w:rPr>
          <w:szCs w:val="24"/>
        </w:rPr>
        <w:t xml:space="preserve">.  </w:t>
      </w:r>
    </w:p>
    <w:p w:rsidR="009C3893" w:rsidRDefault="009C3893" w:rsidP="009C3893">
      <w:pPr>
        <w:rPr>
          <w:rFonts w:cs="Arial"/>
          <w:b/>
          <w:bCs/>
          <w:u w:val="single"/>
        </w:rPr>
      </w:pPr>
    </w:p>
    <w:p w:rsidR="0040798E" w:rsidRPr="009C3893" w:rsidRDefault="0040798E" w:rsidP="009C3893">
      <w:pPr>
        <w:rPr>
          <w:rFonts w:cs="Arial"/>
          <w:b/>
          <w:bCs/>
          <w:u w:val="single"/>
        </w:rPr>
      </w:pPr>
    </w:p>
    <w:p w:rsidR="00904E39" w:rsidRDefault="00904E39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:rsidR="009C3893" w:rsidRDefault="009C3893" w:rsidP="00973DA3">
      <w:pPr>
        <w:jc w:val="center"/>
        <w:rPr>
          <w:rFonts w:cs="Arial"/>
          <w:b/>
          <w:bCs/>
          <w:u w:val="single"/>
        </w:rPr>
      </w:pPr>
      <w:r w:rsidRPr="009C3893">
        <w:rPr>
          <w:rFonts w:cs="Arial"/>
          <w:b/>
          <w:bCs/>
          <w:u w:val="single"/>
        </w:rPr>
        <w:lastRenderedPageBreak/>
        <w:t>Minimum Capital Expenditure Requiring Determination of Need</w:t>
      </w:r>
    </w:p>
    <w:p w:rsidR="00B70CBE" w:rsidRDefault="00B70CBE" w:rsidP="009C3893">
      <w:pPr>
        <w:rPr>
          <w:rFonts w:cs="Arial"/>
          <w:b/>
          <w:bCs/>
          <w:u w:val="single"/>
        </w:rPr>
      </w:pPr>
    </w:p>
    <w:tbl>
      <w:tblPr>
        <w:tblW w:w="8998" w:type="dxa"/>
        <w:jc w:val="center"/>
        <w:tblInd w:w="96" w:type="dxa"/>
        <w:tblLook w:val="0000" w:firstRow="0" w:lastRow="0" w:firstColumn="0" w:lastColumn="0" w:noHBand="0" w:noVBand="0"/>
      </w:tblPr>
      <w:tblGrid>
        <w:gridCol w:w="4525"/>
        <w:gridCol w:w="1954"/>
        <w:gridCol w:w="2519"/>
      </w:tblGrid>
      <w:tr w:rsidR="009C3893" w:rsidRPr="009C3893" w:rsidTr="009C3893">
        <w:trPr>
          <w:trHeight w:val="30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893" w:rsidRPr="009C3893" w:rsidRDefault="009C3893" w:rsidP="009C3893">
            <w:pPr>
              <w:rPr>
                <w:rFonts w:cs="Arial"/>
                <w:bCs/>
              </w:rPr>
            </w:pPr>
            <w:r w:rsidRPr="009C3893">
              <w:rPr>
                <w:rFonts w:cs="Arial"/>
                <w:bCs/>
              </w:rPr>
              <w:t>Project Type</w:t>
            </w:r>
          </w:p>
          <w:p w:rsidR="009C3893" w:rsidRPr="009C3893" w:rsidRDefault="009C3893" w:rsidP="009C3893">
            <w:pPr>
              <w:rPr>
                <w:rFonts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893" w:rsidRPr="009C3893" w:rsidRDefault="009C3893" w:rsidP="005B1A4F">
            <w:pPr>
              <w:jc w:val="center"/>
              <w:rPr>
                <w:rFonts w:cs="Arial"/>
                <w:bCs/>
              </w:rPr>
            </w:pPr>
          </w:p>
          <w:p w:rsidR="009C3893" w:rsidRPr="009C3893" w:rsidRDefault="009C3893" w:rsidP="005B1A4F">
            <w:pPr>
              <w:jc w:val="center"/>
              <w:rPr>
                <w:rFonts w:cs="Arial"/>
                <w:bCs/>
              </w:rPr>
            </w:pPr>
            <w:r w:rsidRPr="009C3893">
              <w:rPr>
                <w:rFonts w:cs="Arial"/>
                <w:bCs/>
              </w:rPr>
              <w:t>Previous Year</w:t>
            </w:r>
          </w:p>
          <w:p w:rsidR="009C3893" w:rsidRPr="009C3893" w:rsidRDefault="003177E2" w:rsidP="005B1A4F">
            <w:pPr>
              <w:jc w:val="center"/>
              <w:rPr>
                <w:rFonts w:cs="Arial"/>
                <w:bCs/>
              </w:rPr>
            </w:pPr>
            <w:r w:rsidRPr="003177E2">
              <w:rPr>
                <w:rFonts w:cs="Arial"/>
                <w:bCs/>
              </w:rPr>
              <w:t>30-Sep-2015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893" w:rsidRPr="009C3893" w:rsidRDefault="009C3893" w:rsidP="005B1A4F">
            <w:pPr>
              <w:jc w:val="center"/>
              <w:rPr>
                <w:rFonts w:cs="Arial"/>
                <w:b/>
                <w:bCs/>
              </w:rPr>
            </w:pPr>
          </w:p>
          <w:p w:rsidR="009C3893" w:rsidRPr="00266181" w:rsidRDefault="009C3893" w:rsidP="005B1A4F">
            <w:pPr>
              <w:jc w:val="center"/>
              <w:rPr>
                <w:rFonts w:cs="Arial"/>
                <w:bCs/>
              </w:rPr>
            </w:pPr>
            <w:r w:rsidRPr="00266181">
              <w:rPr>
                <w:rFonts w:cs="Arial"/>
                <w:bCs/>
              </w:rPr>
              <w:t>Effective</w:t>
            </w:r>
          </w:p>
          <w:p w:rsidR="009C3893" w:rsidRPr="009C3893" w:rsidRDefault="009C3893" w:rsidP="005B1A4F">
            <w:pPr>
              <w:jc w:val="center"/>
              <w:rPr>
                <w:rFonts w:cs="Arial"/>
                <w:b/>
                <w:bCs/>
              </w:rPr>
            </w:pPr>
            <w:r w:rsidRPr="00266181">
              <w:rPr>
                <w:rFonts w:cs="Arial"/>
                <w:bCs/>
              </w:rPr>
              <w:t>30-Sep-201</w:t>
            </w:r>
            <w:r w:rsidR="003177E2" w:rsidRPr="00266181">
              <w:rPr>
                <w:rFonts w:cs="Arial"/>
                <w:bCs/>
              </w:rPr>
              <w:t>6</w:t>
            </w:r>
          </w:p>
        </w:tc>
      </w:tr>
      <w:tr w:rsidR="00B70CBE" w:rsidRPr="009C3893" w:rsidTr="00C44142">
        <w:trPr>
          <w:trHeight w:val="57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E" w:rsidRPr="009C3893" w:rsidRDefault="00B70CBE" w:rsidP="00973DA3">
            <w:pPr>
              <w:rPr>
                <w:rFonts w:cs="Arial"/>
              </w:rPr>
            </w:pPr>
            <w:r>
              <w:rPr>
                <w:rFonts w:cs="Arial"/>
              </w:rPr>
              <w:t>Medical, diagnostic, or therapeutic equipment acquired for location other than on the premises of a hospital, long term care facility, or clinic (105 CMR 100.240)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BE" w:rsidRPr="00DF662E" w:rsidRDefault="00B70CBE" w:rsidP="00973DA3">
            <w:pPr>
              <w:jc w:val="right"/>
              <w:rPr>
                <w:szCs w:val="24"/>
              </w:rPr>
            </w:pPr>
            <w:r w:rsidRPr="00DF662E">
              <w:rPr>
                <w:szCs w:val="24"/>
              </w:rPr>
              <w:t xml:space="preserve">$264,063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BE" w:rsidRPr="00DF662E" w:rsidRDefault="00B70CBE" w:rsidP="00973DA3">
            <w:pPr>
              <w:jc w:val="right"/>
              <w:rPr>
                <w:szCs w:val="24"/>
              </w:rPr>
            </w:pPr>
            <w:r w:rsidRPr="00DF662E">
              <w:rPr>
                <w:szCs w:val="24"/>
              </w:rPr>
              <w:t xml:space="preserve">$267,591 </w:t>
            </w:r>
          </w:p>
        </w:tc>
      </w:tr>
      <w:tr w:rsidR="00B70CBE" w:rsidRPr="009C3893" w:rsidTr="00C44142">
        <w:trPr>
          <w:trHeight w:val="57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E" w:rsidRPr="009C3893" w:rsidRDefault="00B70CBE" w:rsidP="00973DA3">
            <w:pPr>
              <w:rPr>
                <w:rFonts w:cs="Arial"/>
              </w:rPr>
            </w:pPr>
            <w:r w:rsidRPr="009C3893">
              <w:rPr>
                <w:rFonts w:cs="Arial"/>
              </w:rPr>
              <w:t>Equipment for long term care facilities and clinics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BE" w:rsidRPr="00B70CBE" w:rsidRDefault="00B70CBE" w:rsidP="00973DA3">
            <w:pPr>
              <w:jc w:val="right"/>
              <w:rPr>
                <w:szCs w:val="24"/>
              </w:rPr>
            </w:pPr>
            <w:r w:rsidRPr="00B70CBE">
              <w:rPr>
                <w:szCs w:val="24"/>
              </w:rPr>
              <w:t xml:space="preserve">$950,935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BE" w:rsidRPr="00B70CBE" w:rsidRDefault="00B70CBE" w:rsidP="00973DA3">
            <w:pPr>
              <w:jc w:val="right"/>
              <w:rPr>
                <w:szCs w:val="24"/>
              </w:rPr>
            </w:pPr>
            <w:r w:rsidRPr="00B70CBE">
              <w:rPr>
                <w:szCs w:val="24"/>
              </w:rPr>
              <w:t xml:space="preserve">$963,640 </w:t>
            </w:r>
          </w:p>
        </w:tc>
      </w:tr>
      <w:tr w:rsidR="00B70CBE" w:rsidRPr="009C3893" w:rsidTr="00C44142">
        <w:trPr>
          <w:trHeight w:val="84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E" w:rsidRPr="009C3893" w:rsidRDefault="00B70CBE" w:rsidP="00973DA3">
            <w:pPr>
              <w:rPr>
                <w:rFonts w:cs="Arial"/>
              </w:rPr>
            </w:pPr>
            <w:r w:rsidRPr="009C3893">
              <w:rPr>
                <w:rFonts w:cs="Arial"/>
              </w:rPr>
              <w:t xml:space="preserve">Total capital expenditure (including equipment) for long term care facilities and clinics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BE" w:rsidRPr="00B70CBE" w:rsidRDefault="00B70CBE" w:rsidP="00973DA3">
            <w:pPr>
              <w:jc w:val="right"/>
              <w:rPr>
                <w:szCs w:val="24"/>
              </w:rPr>
            </w:pPr>
            <w:r w:rsidRPr="00B70CBE">
              <w:rPr>
                <w:szCs w:val="24"/>
              </w:rPr>
              <w:t xml:space="preserve">$1,901,869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BE" w:rsidRPr="00B70CBE" w:rsidRDefault="00B70CBE" w:rsidP="00973DA3">
            <w:pPr>
              <w:jc w:val="right"/>
              <w:rPr>
                <w:szCs w:val="24"/>
              </w:rPr>
            </w:pPr>
            <w:r w:rsidRPr="00B70CBE">
              <w:rPr>
                <w:szCs w:val="24"/>
              </w:rPr>
              <w:t xml:space="preserve">$1,927,279 </w:t>
            </w:r>
          </w:p>
        </w:tc>
      </w:tr>
      <w:tr w:rsidR="00B70CBE" w:rsidRPr="009C3893" w:rsidTr="00C44142">
        <w:trPr>
          <w:trHeight w:val="89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E" w:rsidRPr="009C3893" w:rsidRDefault="00B70CBE" w:rsidP="00973DA3">
            <w:pPr>
              <w:rPr>
                <w:rFonts w:cs="Arial"/>
              </w:rPr>
            </w:pPr>
            <w:r w:rsidRPr="009C3893">
              <w:rPr>
                <w:rFonts w:cs="Arial"/>
              </w:rPr>
              <w:t xml:space="preserve">Capital expenditure (excluding major movable equipment) for hospitals and comprehensive cancer centers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BE" w:rsidRPr="00B70CBE" w:rsidRDefault="00B70CBE" w:rsidP="00973DA3">
            <w:pPr>
              <w:jc w:val="right"/>
              <w:rPr>
                <w:szCs w:val="24"/>
              </w:rPr>
            </w:pPr>
            <w:r w:rsidRPr="00B70CBE">
              <w:rPr>
                <w:szCs w:val="24"/>
              </w:rPr>
              <w:t xml:space="preserve">$17,826,988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BE" w:rsidRPr="00B70CBE" w:rsidRDefault="00B70CBE" w:rsidP="00973DA3">
            <w:pPr>
              <w:jc w:val="right"/>
              <w:rPr>
                <w:szCs w:val="24"/>
              </w:rPr>
            </w:pPr>
            <w:r w:rsidRPr="00B70CBE">
              <w:rPr>
                <w:szCs w:val="24"/>
              </w:rPr>
              <w:t xml:space="preserve">$18,065,167 </w:t>
            </w:r>
          </w:p>
        </w:tc>
      </w:tr>
      <w:tr w:rsidR="00B70CBE" w:rsidRPr="009C3893" w:rsidTr="00C44142">
        <w:trPr>
          <w:trHeight w:val="719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E" w:rsidRPr="009C3893" w:rsidRDefault="00B70CBE" w:rsidP="00973DA3">
            <w:pPr>
              <w:rPr>
                <w:rFonts w:cs="Arial"/>
              </w:rPr>
            </w:pPr>
            <w:r w:rsidRPr="009C3893">
              <w:rPr>
                <w:rFonts w:cs="Arial"/>
              </w:rPr>
              <w:t>Outpatient service expenditures and acquisitions other than new technology or innovative services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BE" w:rsidRPr="00B70CBE" w:rsidRDefault="00B70CBE" w:rsidP="00973DA3">
            <w:pPr>
              <w:jc w:val="right"/>
              <w:rPr>
                <w:szCs w:val="24"/>
              </w:rPr>
            </w:pPr>
            <w:r w:rsidRPr="00B70CBE">
              <w:rPr>
                <w:szCs w:val="24"/>
              </w:rPr>
              <w:t xml:space="preserve">$29,076,449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CBE" w:rsidRPr="00B70CBE" w:rsidRDefault="00B70CBE" w:rsidP="00973DA3">
            <w:pPr>
              <w:jc w:val="right"/>
              <w:rPr>
                <w:szCs w:val="24"/>
              </w:rPr>
            </w:pPr>
            <w:r w:rsidRPr="00B70CBE">
              <w:rPr>
                <w:szCs w:val="24"/>
              </w:rPr>
              <w:t xml:space="preserve">$29,464,928 </w:t>
            </w:r>
          </w:p>
        </w:tc>
      </w:tr>
    </w:tbl>
    <w:p w:rsidR="009C3893" w:rsidRPr="009C3893" w:rsidRDefault="009C3893" w:rsidP="009C3893">
      <w:pPr>
        <w:rPr>
          <w:rFonts w:cs="Arial"/>
        </w:rPr>
      </w:pPr>
    </w:p>
    <w:p w:rsidR="00904E39" w:rsidRDefault="00904E39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9C3893" w:rsidRPr="009C3893" w:rsidRDefault="009C3893" w:rsidP="009C3893">
      <w:pPr>
        <w:rPr>
          <w:rFonts w:cs="Arial"/>
        </w:rPr>
        <w:sectPr w:rsidR="009C3893" w:rsidRPr="009C3893" w:rsidSect="009C3893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9C3893" w:rsidRPr="009C3893" w:rsidRDefault="009C3893" w:rsidP="00904E39">
      <w:pPr>
        <w:jc w:val="center"/>
        <w:rPr>
          <w:rFonts w:cs="Arial"/>
          <w:b/>
        </w:rPr>
      </w:pPr>
      <w:r w:rsidRPr="009C3893">
        <w:rPr>
          <w:rFonts w:cs="Arial"/>
          <w:b/>
        </w:rPr>
        <w:lastRenderedPageBreak/>
        <w:t>Attachment 1</w:t>
      </w:r>
    </w:p>
    <w:p w:rsidR="009C3893" w:rsidRPr="009C3893" w:rsidRDefault="009C3893" w:rsidP="009C3893">
      <w:pPr>
        <w:rPr>
          <w:rFonts w:cs="Arial"/>
          <w:b/>
        </w:rPr>
      </w:pPr>
    </w:p>
    <w:p w:rsidR="00D71FE7" w:rsidRDefault="00266181" w:rsidP="00266181">
      <w:pPr>
        <w:jc w:val="center"/>
        <w:rPr>
          <w:rFonts w:cs="Arial"/>
          <w:b/>
        </w:rPr>
      </w:pPr>
      <w:r>
        <w:rPr>
          <w:rFonts w:cs="Arial"/>
          <w:b/>
        </w:rPr>
        <w:t>Annual</w:t>
      </w:r>
      <w:r w:rsidR="009C3893" w:rsidRPr="009C3893">
        <w:rPr>
          <w:rFonts w:cs="Arial"/>
          <w:b/>
        </w:rPr>
        <w:t xml:space="preserve"> I</w:t>
      </w:r>
      <w:r>
        <w:rPr>
          <w:rFonts w:cs="Arial"/>
          <w:b/>
        </w:rPr>
        <w:t>nflation</w:t>
      </w:r>
      <w:r w:rsidR="009C3893" w:rsidRPr="009C3893">
        <w:rPr>
          <w:rFonts w:cs="Arial"/>
          <w:b/>
        </w:rPr>
        <w:t xml:space="preserve"> F</w:t>
      </w:r>
      <w:r>
        <w:rPr>
          <w:rFonts w:cs="Arial"/>
          <w:b/>
        </w:rPr>
        <w:t>actors</w:t>
      </w:r>
      <w:r w:rsidR="009C3893" w:rsidRPr="009C3893">
        <w:rPr>
          <w:rFonts w:cs="Arial"/>
          <w:b/>
        </w:rPr>
        <w:t xml:space="preserve"> A</w:t>
      </w:r>
      <w:r>
        <w:rPr>
          <w:rFonts w:cs="Arial"/>
          <w:b/>
        </w:rPr>
        <w:t>pplied</w:t>
      </w:r>
      <w:r w:rsidR="009C3893" w:rsidRPr="009C3893">
        <w:rPr>
          <w:rFonts w:cs="Arial"/>
          <w:b/>
        </w:rPr>
        <w:t xml:space="preserve"> T</w:t>
      </w:r>
      <w:r>
        <w:rPr>
          <w:rFonts w:cs="Arial"/>
          <w:b/>
        </w:rPr>
        <w:t>o</w:t>
      </w:r>
      <w:r w:rsidR="009C3893" w:rsidRPr="009C3893">
        <w:rPr>
          <w:rFonts w:cs="Arial"/>
          <w:b/>
        </w:rPr>
        <w:t xml:space="preserve"> A</w:t>
      </w:r>
      <w:r>
        <w:rPr>
          <w:rFonts w:cs="Arial"/>
          <w:b/>
        </w:rPr>
        <w:t>djust</w:t>
      </w:r>
      <w:r w:rsidR="009C3893" w:rsidRPr="009C3893">
        <w:rPr>
          <w:rFonts w:cs="Arial"/>
          <w:b/>
        </w:rPr>
        <w:t xml:space="preserve"> D</w:t>
      </w:r>
      <w:r w:rsidR="00D71FE7">
        <w:rPr>
          <w:rFonts w:cs="Arial"/>
          <w:b/>
        </w:rPr>
        <w:t>o</w:t>
      </w:r>
      <w:r w:rsidR="009C3893" w:rsidRPr="009C3893">
        <w:rPr>
          <w:rFonts w:cs="Arial"/>
          <w:b/>
        </w:rPr>
        <w:t xml:space="preserve">N </w:t>
      </w:r>
    </w:p>
    <w:p w:rsidR="009C3893" w:rsidRPr="009C3893" w:rsidRDefault="009C3893" w:rsidP="00266181">
      <w:pPr>
        <w:jc w:val="center"/>
        <w:rPr>
          <w:rFonts w:cs="Arial"/>
          <w:b/>
        </w:rPr>
      </w:pPr>
      <w:r w:rsidRPr="009C3893">
        <w:rPr>
          <w:rFonts w:cs="Arial"/>
          <w:b/>
        </w:rPr>
        <w:t>E</w:t>
      </w:r>
      <w:r w:rsidR="00266181">
        <w:rPr>
          <w:rFonts w:cs="Arial"/>
          <w:b/>
        </w:rPr>
        <w:t>xpenditure</w:t>
      </w:r>
      <w:r w:rsidRPr="009C3893">
        <w:rPr>
          <w:rFonts w:cs="Arial"/>
          <w:b/>
        </w:rPr>
        <w:t xml:space="preserve"> M</w:t>
      </w:r>
      <w:r w:rsidR="00266181">
        <w:rPr>
          <w:rFonts w:cs="Arial"/>
          <w:b/>
        </w:rPr>
        <w:t>inimums</w:t>
      </w:r>
    </w:p>
    <w:p w:rsidR="009C3893" w:rsidRPr="009C3893" w:rsidRDefault="009C3893" w:rsidP="009C3893">
      <w:pPr>
        <w:rPr>
          <w:rFonts w:cs="Arial"/>
          <w:b/>
        </w:rPr>
      </w:pPr>
    </w:p>
    <w:p w:rsidR="009C3893" w:rsidRPr="009C3893" w:rsidRDefault="009C3893" w:rsidP="009C3893">
      <w:pPr>
        <w:rPr>
          <w:rFonts w:cs="Arial"/>
        </w:rPr>
      </w:pPr>
    </w:p>
    <w:tbl>
      <w:tblPr>
        <w:tblW w:w="8440" w:type="dxa"/>
        <w:jc w:val="center"/>
        <w:tblInd w:w="-1" w:type="dxa"/>
        <w:tblLook w:val="0000" w:firstRow="0" w:lastRow="0" w:firstColumn="0" w:lastColumn="0" w:noHBand="0" w:noVBand="0"/>
      </w:tblPr>
      <w:tblGrid>
        <w:gridCol w:w="94"/>
        <w:gridCol w:w="905"/>
        <w:gridCol w:w="55"/>
        <w:gridCol w:w="502"/>
        <w:gridCol w:w="58"/>
        <w:gridCol w:w="260"/>
        <w:gridCol w:w="501"/>
        <w:gridCol w:w="89"/>
        <w:gridCol w:w="49"/>
        <w:gridCol w:w="321"/>
        <w:gridCol w:w="480"/>
        <w:gridCol w:w="50"/>
        <w:gridCol w:w="403"/>
        <w:gridCol w:w="27"/>
        <w:gridCol w:w="490"/>
        <w:gridCol w:w="522"/>
        <w:gridCol w:w="68"/>
        <w:gridCol w:w="787"/>
        <w:gridCol w:w="89"/>
        <w:gridCol w:w="1053"/>
        <w:gridCol w:w="732"/>
        <w:gridCol w:w="23"/>
        <w:gridCol w:w="882"/>
      </w:tblGrid>
      <w:tr w:rsidR="009C3893" w:rsidRPr="009C3893" w:rsidTr="00973DA3">
        <w:trPr>
          <w:trHeight w:val="285"/>
          <w:jc w:val="center"/>
        </w:trPr>
        <w:tc>
          <w:tcPr>
            <w:tcW w:w="566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893" w:rsidRPr="009C3893" w:rsidRDefault="00266181" w:rsidP="002661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 xml:space="preserve">Building Cost </w:t>
            </w:r>
            <w:r w:rsidR="009C3893" w:rsidRPr="009C389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Index</w:t>
            </w:r>
            <w:r w:rsidRPr="009C3893">
              <w:rPr>
                <w:rFonts w:cs="Arial"/>
                <w:u w:val="single"/>
              </w:rPr>
              <w:t xml:space="preserve"> </w:t>
            </w:r>
            <w:r w:rsidR="009C3893" w:rsidRPr="009C3893">
              <w:rPr>
                <w:rFonts w:cs="Arial"/>
                <w:u w:val="single"/>
              </w:rPr>
              <w:t>(Marshall &amp; Swift)</w:t>
            </w:r>
            <w:r w:rsidR="009C3893" w:rsidRPr="009C3893">
              <w:rPr>
                <w:rFonts w:cs="Arial"/>
                <w:u w:val="single"/>
                <w:vertAlign w:val="superscript"/>
              </w:rPr>
              <w:footnoteReference w:id="1"/>
            </w:r>
            <w:r w:rsidR="009C3893" w:rsidRPr="009C3893">
              <w:rPr>
                <w:rFonts w:cs="Arial"/>
              </w:rPr>
              <w:t>: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893" w:rsidRPr="009C3893" w:rsidRDefault="009C3893" w:rsidP="009C3893">
            <w:pPr>
              <w:rPr>
                <w:rFonts w:cs="Arial"/>
              </w:rPr>
            </w:pPr>
          </w:p>
        </w:tc>
      </w:tr>
      <w:tr w:rsidR="009C3893" w:rsidRPr="009C3893" w:rsidTr="00973DA3">
        <w:trPr>
          <w:gridAfter w:val="2"/>
          <w:wAfter w:w="905" w:type="dxa"/>
          <w:trHeight w:val="300"/>
          <w:jc w:val="center"/>
        </w:trPr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3893" w:rsidRPr="009C3893" w:rsidRDefault="009C3893" w:rsidP="009C3893">
            <w:pPr>
              <w:rPr>
                <w:rFonts w:cs="Arial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3893" w:rsidRPr="009C3893" w:rsidRDefault="009C3893" w:rsidP="009C3893">
            <w:pPr>
              <w:rPr>
                <w:rFonts w:cs="Arial"/>
              </w:rPr>
            </w:pPr>
          </w:p>
        </w:tc>
        <w:tc>
          <w:tcPr>
            <w:tcW w:w="23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3893" w:rsidRPr="009C3893" w:rsidRDefault="009C3893" w:rsidP="009C3893">
            <w:pPr>
              <w:rPr>
                <w:rFonts w:cs="Arial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893" w:rsidRPr="009C3893" w:rsidRDefault="009C3893" w:rsidP="009C3893">
            <w:pPr>
              <w:rPr>
                <w:rFonts w:cs="Arial"/>
              </w:rPr>
            </w:pPr>
          </w:p>
        </w:tc>
      </w:tr>
      <w:tr w:rsidR="005B1A4F" w:rsidRPr="009C3893" w:rsidTr="00973DA3">
        <w:trPr>
          <w:gridAfter w:val="1"/>
          <w:wAfter w:w="882" w:type="dxa"/>
          <w:trHeight w:val="300"/>
          <w:jc w:val="center"/>
        </w:trPr>
        <w:tc>
          <w:tcPr>
            <w:tcW w:w="2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F" w:rsidRPr="009C3893" w:rsidRDefault="005B1A4F" w:rsidP="009C3893">
            <w:pPr>
              <w:rPr>
                <w:rFonts w:cs="Arial"/>
              </w:rPr>
            </w:pPr>
            <w:r w:rsidRPr="009C3893">
              <w:rPr>
                <w:rFonts w:cs="Arial"/>
              </w:rPr>
              <w:t xml:space="preserve"> 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F" w:rsidRPr="00AA0606" w:rsidRDefault="005B1A4F" w:rsidP="005B1A4F">
            <w:pPr>
              <w:jc w:val="center"/>
            </w:pPr>
            <w:r w:rsidRPr="00AA0606">
              <w:t>Oct-1</w:t>
            </w:r>
            <w:r w:rsidR="00B70CBE">
              <w:t>5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F" w:rsidRPr="009C3893" w:rsidRDefault="005B1A4F" w:rsidP="00B70CBE">
            <w:pPr>
              <w:jc w:val="center"/>
              <w:rPr>
                <w:rFonts w:cs="Arial"/>
              </w:rPr>
            </w:pPr>
            <w:r w:rsidRPr="005B1A4F">
              <w:rPr>
                <w:rFonts w:cs="Arial"/>
              </w:rPr>
              <w:t>Oct-1</w:t>
            </w:r>
            <w:r w:rsidR="00B70CBE">
              <w:rPr>
                <w:rFonts w:cs="Arial"/>
              </w:rPr>
              <w:t>6</w:t>
            </w:r>
          </w:p>
        </w:tc>
        <w:tc>
          <w:tcPr>
            <w:tcW w:w="18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B1A4F" w:rsidRPr="009C3893" w:rsidRDefault="005B1A4F" w:rsidP="009C3893">
            <w:pPr>
              <w:rPr>
                <w:rFonts w:cs="Arial"/>
              </w:rPr>
            </w:pPr>
          </w:p>
        </w:tc>
      </w:tr>
      <w:tr w:rsidR="005B1A4F" w:rsidRPr="009C3893" w:rsidTr="00973DA3">
        <w:trPr>
          <w:gridAfter w:val="1"/>
          <w:wAfter w:w="882" w:type="dxa"/>
          <w:trHeight w:val="585"/>
          <w:jc w:val="center"/>
        </w:trPr>
        <w:tc>
          <w:tcPr>
            <w:tcW w:w="2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F" w:rsidRPr="009C3893" w:rsidRDefault="00266181" w:rsidP="00266181">
            <w:pPr>
              <w:rPr>
                <w:rFonts w:cs="Arial"/>
              </w:rPr>
            </w:pPr>
            <w:r>
              <w:rPr>
                <w:rFonts w:cs="Arial"/>
              </w:rPr>
              <w:t xml:space="preserve">Basis for Eastern </w:t>
            </w:r>
            <w:r w:rsidR="005B1A4F" w:rsidRPr="009C3893">
              <w:rPr>
                <w:rFonts w:cs="Arial"/>
              </w:rPr>
              <w:t xml:space="preserve">Region 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F" w:rsidRPr="00AA0606" w:rsidRDefault="00266181" w:rsidP="00B70CBE">
            <w:pPr>
              <w:jc w:val="center"/>
            </w:pPr>
            <w:r>
              <w:rPr>
                <w:rFonts w:cs="Arial"/>
              </w:rPr>
              <w:t>$</w:t>
            </w:r>
            <w:r w:rsidR="00B70CBE">
              <w:rPr>
                <w:rFonts w:cs="Arial"/>
              </w:rPr>
              <w:t>3</w:t>
            </w:r>
            <w:r>
              <w:rPr>
                <w:rFonts w:cs="Arial"/>
              </w:rPr>
              <w:t>,</w:t>
            </w:r>
            <w:r w:rsidR="00B70CBE">
              <w:rPr>
                <w:rFonts w:cs="Arial"/>
              </w:rPr>
              <w:t>105.7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F" w:rsidRPr="00B70CBE" w:rsidRDefault="00266181" w:rsidP="005B1A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B70CBE" w:rsidRPr="00B70CBE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="00B70CBE" w:rsidRPr="00B70CBE">
              <w:rPr>
                <w:szCs w:val="24"/>
              </w:rPr>
              <w:t>094.3</w:t>
            </w:r>
          </w:p>
        </w:tc>
        <w:tc>
          <w:tcPr>
            <w:tcW w:w="18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B1A4F" w:rsidRPr="009C3893" w:rsidRDefault="005B1A4F" w:rsidP="009C3893">
            <w:pPr>
              <w:rPr>
                <w:rFonts w:cs="Arial"/>
              </w:rPr>
            </w:pPr>
          </w:p>
        </w:tc>
      </w:tr>
      <w:tr w:rsidR="005B1A4F" w:rsidRPr="009C3893" w:rsidTr="00973DA3">
        <w:trPr>
          <w:gridAfter w:val="1"/>
          <w:wAfter w:w="882" w:type="dxa"/>
          <w:trHeight w:val="585"/>
          <w:jc w:val="center"/>
        </w:trPr>
        <w:tc>
          <w:tcPr>
            <w:tcW w:w="2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F" w:rsidRPr="009C3893" w:rsidRDefault="005B1A4F" w:rsidP="009C3893">
            <w:pPr>
              <w:rPr>
                <w:rFonts w:cs="Arial"/>
              </w:rPr>
            </w:pPr>
            <w:r w:rsidRPr="009C3893">
              <w:rPr>
                <w:rFonts w:cs="Arial"/>
              </w:rPr>
              <w:t>Massachusetts</w:t>
            </w:r>
            <w:r w:rsidR="00266181">
              <w:rPr>
                <w:rFonts w:cs="Arial"/>
              </w:rPr>
              <w:t xml:space="preserve"> multiplier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F" w:rsidRDefault="00B70CBE" w:rsidP="00B70CBE">
            <w:pPr>
              <w:jc w:val="center"/>
            </w:pPr>
            <w:r>
              <w:rPr>
                <w:rFonts w:cs="Arial"/>
              </w:rPr>
              <w:t>1.17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F" w:rsidRDefault="00B70CBE" w:rsidP="005B1A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1.19</w:t>
            </w:r>
          </w:p>
          <w:p w:rsidR="00B70CBE" w:rsidRPr="009C3893" w:rsidRDefault="00B70CBE" w:rsidP="005B1A4F">
            <w:pPr>
              <w:jc w:val="center"/>
              <w:rPr>
                <w:rFonts w:cs="Arial"/>
              </w:rPr>
            </w:pPr>
          </w:p>
        </w:tc>
        <w:tc>
          <w:tcPr>
            <w:tcW w:w="1897" w:type="dxa"/>
            <w:gridSpan w:val="4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5B1A4F" w:rsidRPr="009C3893" w:rsidRDefault="005B1A4F" w:rsidP="009C3893">
            <w:pPr>
              <w:rPr>
                <w:rFonts w:cs="Arial"/>
              </w:rPr>
            </w:pPr>
          </w:p>
        </w:tc>
      </w:tr>
      <w:tr w:rsidR="009C3893" w:rsidRPr="00B70CBE" w:rsidTr="00973DA3">
        <w:trPr>
          <w:gridAfter w:val="6"/>
          <w:wAfter w:w="3566" w:type="dxa"/>
          <w:trHeight w:val="285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C3893" w:rsidRPr="00B70CBE" w:rsidRDefault="009C3893" w:rsidP="009C3893">
            <w:pPr>
              <w:rPr>
                <w:rFonts w:cs="Arial"/>
                <w:b/>
              </w:rPr>
            </w:pPr>
          </w:p>
        </w:tc>
        <w:tc>
          <w:tcPr>
            <w:tcW w:w="615" w:type="dxa"/>
            <w:gridSpan w:val="3"/>
            <w:noWrap/>
            <w:vAlign w:val="center"/>
          </w:tcPr>
          <w:p w:rsidR="009C3893" w:rsidRPr="00B70CBE" w:rsidRDefault="009C3893" w:rsidP="009C3893">
            <w:pPr>
              <w:rPr>
                <w:rFonts w:cs="Arial"/>
                <w:b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9C3893" w:rsidRPr="00B70CBE" w:rsidRDefault="009C3893" w:rsidP="009C3893">
            <w:pPr>
              <w:rPr>
                <w:rFonts w:cs="Arial"/>
                <w:b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9C3893" w:rsidRPr="00B70CBE" w:rsidRDefault="009C3893" w:rsidP="009C3893">
            <w:pPr>
              <w:rPr>
                <w:rFonts w:cs="Arial"/>
                <w:b/>
              </w:rPr>
            </w:pPr>
          </w:p>
        </w:tc>
        <w:tc>
          <w:tcPr>
            <w:tcW w:w="1510" w:type="dxa"/>
            <w:gridSpan w:val="5"/>
            <w:noWrap/>
            <w:vAlign w:val="bottom"/>
          </w:tcPr>
          <w:p w:rsidR="009C3893" w:rsidRPr="00B70CBE" w:rsidRDefault="009C3893" w:rsidP="009C3893">
            <w:pPr>
              <w:rPr>
                <w:rFonts w:cs="Arial"/>
                <w:b/>
              </w:rPr>
            </w:pPr>
          </w:p>
        </w:tc>
      </w:tr>
      <w:tr w:rsidR="009C3893" w:rsidRPr="00266181" w:rsidTr="00973DA3">
        <w:trPr>
          <w:gridAfter w:val="3"/>
          <w:wAfter w:w="1637" w:type="dxa"/>
          <w:trHeight w:val="285"/>
          <w:jc w:val="center"/>
        </w:trPr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0CBE" w:rsidRPr="00266181" w:rsidRDefault="00B70CBE" w:rsidP="009C3893">
            <w:pPr>
              <w:rPr>
                <w:rFonts w:cs="Arial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893" w:rsidRPr="00266181" w:rsidRDefault="009C3893" w:rsidP="009C3893">
            <w:pPr>
              <w:rPr>
                <w:rFonts w:cs="Arial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893" w:rsidRPr="00266181" w:rsidRDefault="009C3893" w:rsidP="009C3893">
            <w:pPr>
              <w:rPr>
                <w:rFonts w:cs="Arial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893" w:rsidRPr="00266181" w:rsidRDefault="009C3893" w:rsidP="009C3893">
            <w:pPr>
              <w:rPr>
                <w:rFonts w:cs="Arial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893" w:rsidRPr="00266181" w:rsidRDefault="009C3893" w:rsidP="009C3893">
            <w:pPr>
              <w:rPr>
                <w:rFonts w:cs="Arial"/>
                <w:szCs w:val="24"/>
              </w:rPr>
            </w:pPr>
          </w:p>
        </w:tc>
      </w:tr>
      <w:tr w:rsidR="00B70CBE" w:rsidRPr="00266181" w:rsidTr="00973DA3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7"/>
          <w:wBefore w:w="94" w:type="dxa"/>
          <w:wAfter w:w="3634" w:type="dxa"/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BE" w:rsidRPr="00266181" w:rsidRDefault="00B70CBE" w:rsidP="00973DA3">
            <w:pPr>
              <w:jc w:val="right"/>
              <w:rPr>
                <w:szCs w:val="24"/>
                <w:u w:val="single"/>
              </w:rPr>
            </w:pPr>
            <w:r w:rsidRPr="00266181">
              <w:rPr>
                <w:szCs w:val="24"/>
                <w:u w:val="single"/>
              </w:rPr>
              <w:t>3094.3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BE" w:rsidRPr="00266181" w:rsidRDefault="00B70CBE" w:rsidP="00973DA3">
            <w:pPr>
              <w:jc w:val="right"/>
              <w:rPr>
                <w:szCs w:val="24"/>
              </w:rPr>
            </w:pPr>
            <w:r w:rsidRPr="00266181">
              <w:rPr>
                <w:szCs w:val="24"/>
              </w:rPr>
              <w:t>x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BE" w:rsidRPr="00266181" w:rsidRDefault="00B70CBE" w:rsidP="00973DA3">
            <w:pPr>
              <w:jc w:val="right"/>
              <w:rPr>
                <w:szCs w:val="24"/>
                <w:u w:val="single"/>
              </w:rPr>
            </w:pPr>
            <w:r w:rsidRPr="00266181">
              <w:rPr>
                <w:szCs w:val="24"/>
                <w:u w:val="single"/>
              </w:rPr>
              <w:t>1.19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BE" w:rsidRPr="00266181" w:rsidRDefault="00B70CBE" w:rsidP="00973DA3">
            <w:pPr>
              <w:jc w:val="right"/>
              <w:rPr>
                <w:szCs w:val="24"/>
              </w:rPr>
            </w:pPr>
            <w:r w:rsidRPr="00266181">
              <w:rPr>
                <w:szCs w:val="24"/>
              </w:rPr>
              <w:t>=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BE" w:rsidRPr="00266181" w:rsidRDefault="00B70CBE" w:rsidP="00973DA3">
            <w:pPr>
              <w:jc w:val="right"/>
              <w:rPr>
                <w:szCs w:val="24"/>
              </w:rPr>
            </w:pPr>
            <w:r w:rsidRPr="00266181">
              <w:rPr>
                <w:szCs w:val="24"/>
              </w:rPr>
              <w:t>1.01336</w:t>
            </w:r>
          </w:p>
        </w:tc>
      </w:tr>
      <w:tr w:rsidR="00B70CBE" w:rsidRPr="00266181" w:rsidTr="00973DA3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7"/>
          <w:wBefore w:w="94" w:type="dxa"/>
          <w:wAfter w:w="3634" w:type="dxa"/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BE" w:rsidRPr="00266181" w:rsidRDefault="00B70CBE" w:rsidP="00973DA3">
            <w:pPr>
              <w:jc w:val="right"/>
              <w:rPr>
                <w:szCs w:val="24"/>
              </w:rPr>
            </w:pPr>
            <w:r w:rsidRPr="00266181">
              <w:rPr>
                <w:szCs w:val="24"/>
              </w:rPr>
              <w:t>3105.7</w:t>
            </w: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BE" w:rsidRPr="00266181" w:rsidRDefault="00B70CBE" w:rsidP="00973DA3">
            <w:pPr>
              <w:jc w:val="right"/>
              <w:rPr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BE" w:rsidRPr="00266181" w:rsidRDefault="00B70CBE" w:rsidP="00973DA3">
            <w:pPr>
              <w:jc w:val="right"/>
              <w:rPr>
                <w:szCs w:val="24"/>
              </w:rPr>
            </w:pPr>
            <w:r w:rsidRPr="00266181">
              <w:rPr>
                <w:szCs w:val="24"/>
              </w:rPr>
              <w:t>1.17</w:t>
            </w:r>
          </w:p>
        </w:tc>
        <w:tc>
          <w:tcPr>
            <w:tcW w:w="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CBE" w:rsidRPr="00266181" w:rsidRDefault="00B70CBE" w:rsidP="00973DA3">
            <w:pPr>
              <w:jc w:val="right"/>
              <w:rPr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BE" w:rsidRPr="00266181" w:rsidRDefault="00B70CBE" w:rsidP="00973DA3">
            <w:pPr>
              <w:jc w:val="right"/>
              <w:rPr>
                <w:szCs w:val="24"/>
              </w:rPr>
            </w:pPr>
          </w:p>
        </w:tc>
      </w:tr>
    </w:tbl>
    <w:p w:rsidR="009C3893" w:rsidRPr="00266181" w:rsidRDefault="009C3893" w:rsidP="009C3893"/>
    <w:p w:rsidR="00A70D8F" w:rsidRPr="00A70D8F" w:rsidRDefault="00A70D8F" w:rsidP="00A70D8F">
      <w:pPr>
        <w:rPr>
          <w:rFonts w:cs="Arial"/>
        </w:rPr>
      </w:pPr>
    </w:p>
    <w:sectPr w:rsidR="00A70D8F" w:rsidRPr="00A70D8F" w:rsidSect="004C010F"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88" w:rsidRDefault="00071488" w:rsidP="00BD4B25">
      <w:r>
        <w:separator/>
      </w:r>
    </w:p>
  </w:endnote>
  <w:endnote w:type="continuationSeparator" w:id="0">
    <w:p w:rsidR="00071488" w:rsidRDefault="00071488" w:rsidP="00BD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4F" w:rsidRDefault="005B1A4F">
    <w:pPr>
      <w:pStyle w:val="Footer"/>
      <w:jc w:val="center"/>
    </w:pPr>
  </w:p>
  <w:p w:rsidR="005B1A4F" w:rsidRDefault="005B1A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4B2">
      <w:rPr>
        <w:noProof/>
      </w:rPr>
      <w:t>1</w:t>
    </w:r>
    <w:r>
      <w:fldChar w:fldCharType="end"/>
    </w:r>
    <w:r>
      <w:rPr>
        <w:noProof/>
      </w:rPr>
      <w:t xml:space="preserve"> of 3</w:t>
    </w:r>
  </w:p>
  <w:p w:rsidR="005B1A4F" w:rsidRDefault="005B1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4F" w:rsidRDefault="005B1A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38F">
      <w:rPr>
        <w:noProof/>
      </w:rPr>
      <w:t>3</w:t>
    </w:r>
    <w:r>
      <w:fldChar w:fldCharType="end"/>
    </w:r>
    <w:r>
      <w:rPr>
        <w:noProof/>
      </w:rPr>
      <w:t xml:space="preserve"> of 3</w:t>
    </w:r>
  </w:p>
  <w:p w:rsidR="005B1A4F" w:rsidRDefault="005B1A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4F" w:rsidRDefault="005B1A4F" w:rsidP="00BD4B25">
    <w:pPr>
      <w:pStyle w:val="Footer"/>
      <w:rPr>
        <w:rFonts w:ascii="Arial Rounded MT Bold" w:hAnsi="Arial Rounded MT Bold"/>
        <w:i/>
        <w:sz w:val="16"/>
        <w:szCs w:val="16"/>
      </w:rPr>
    </w:pPr>
  </w:p>
  <w:p w:rsidR="005B1A4F" w:rsidRDefault="005B1A4F">
    <w:pPr>
      <w:pStyle w:val="Footer"/>
    </w:pPr>
  </w:p>
  <w:p w:rsidR="005B1A4F" w:rsidRDefault="005B1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88" w:rsidRDefault="00071488" w:rsidP="00BD4B25">
      <w:r>
        <w:separator/>
      </w:r>
    </w:p>
  </w:footnote>
  <w:footnote w:type="continuationSeparator" w:id="0">
    <w:p w:rsidR="00071488" w:rsidRDefault="00071488" w:rsidP="00BD4B25">
      <w:r>
        <w:continuationSeparator/>
      </w:r>
    </w:p>
  </w:footnote>
  <w:footnote w:id="1">
    <w:p w:rsidR="005B1A4F" w:rsidRDefault="005B1A4F" w:rsidP="009C3893">
      <w:r>
        <w:rPr>
          <w:rStyle w:val="FootnoteReference"/>
        </w:rPr>
        <w:footnoteRef/>
      </w:r>
      <w:r>
        <w:t xml:space="preserve"> Marshall &amp; Swift Current Cost Multipliers, October 201</w:t>
      </w:r>
      <w:r w:rsidR="0086492D">
        <w:t>6</w:t>
      </w:r>
    </w:p>
    <w:p w:rsidR="005B1A4F" w:rsidRDefault="005B1A4F" w:rsidP="009C38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4F" w:rsidRDefault="005B1A4F" w:rsidP="009C3893">
    <w:pPr>
      <w:pStyle w:val="Header"/>
      <w:jc w:val="center"/>
      <w:rPr>
        <w:b/>
      </w:rPr>
    </w:pPr>
  </w:p>
  <w:p w:rsidR="005B1A4F" w:rsidRDefault="005B1A4F" w:rsidP="009C3893">
    <w:pPr>
      <w:pStyle w:val="Header"/>
      <w:jc w:val="center"/>
      <w:rPr>
        <w:b/>
      </w:rPr>
    </w:pPr>
  </w:p>
  <w:p w:rsidR="005B1A4F" w:rsidRDefault="005B1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8F"/>
    <w:rsid w:val="0000547A"/>
    <w:rsid w:val="00024B1B"/>
    <w:rsid w:val="00042048"/>
    <w:rsid w:val="000537DA"/>
    <w:rsid w:val="00071488"/>
    <w:rsid w:val="0007538F"/>
    <w:rsid w:val="000A7338"/>
    <w:rsid w:val="000F315B"/>
    <w:rsid w:val="00114C79"/>
    <w:rsid w:val="0015268B"/>
    <w:rsid w:val="00177C77"/>
    <w:rsid w:val="001E2351"/>
    <w:rsid w:val="00210628"/>
    <w:rsid w:val="00266181"/>
    <w:rsid w:val="00276957"/>
    <w:rsid w:val="00276DCC"/>
    <w:rsid w:val="002A62D5"/>
    <w:rsid w:val="002A7A4F"/>
    <w:rsid w:val="002C497B"/>
    <w:rsid w:val="003177E2"/>
    <w:rsid w:val="003672C3"/>
    <w:rsid w:val="00367BA4"/>
    <w:rsid w:val="00385812"/>
    <w:rsid w:val="003878F3"/>
    <w:rsid w:val="00392D0B"/>
    <w:rsid w:val="003A7AFC"/>
    <w:rsid w:val="003C60EF"/>
    <w:rsid w:val="0040798E"/>
    <w:rsid w:val="00466E7D"/>
    <w:rsid w:val="004813AC"/>
    <w:rsid w:val="004A2605"/>
    <w:rsid w:val="004B37A0"/>
    <w:rsid w:val="004C010F"/>
    <w:rsid w:val="004D6B39"/>
    <w:rsid w:val="005058BB"/>
    <w:rsid w:val="005448AA"/>
    <w:rsid w:val="00553529"/>
    <w:rsid w:val="005B1A4F"/>
    <w:rsid w:val="005D17B3"/>
    <w:rsid w:val="006A68E9"/>
    <w:rsid w:val="006D06D9"/>
    <w:rsid w:val="006D77A6"/>
    <w:rsid w:val="00702109"/>
    <w:rsid w:val="0072610D"/>
    <w:rsid w:val="007647E2"/>
    <w:rsid w:val="00773F65"/>
    <w:rsid w:val="007B3F4B"/>
    <w:rsid w:val="007B7347"/>
    <w:rsid w:val="007D10F3"/>
    <w:rsid w:val="00847C43"/>
    <w:rsid w:val="0086492D"/>
    <w:rsid w:val="008964FD"/>
    <w:rsid w:val="008C4DFC"/>
    <w:rsid w:val="008F3DD3"/>
    <w:rsid w:val="00904E39"/>
    <w:rsid w:val="00953A8F"/>
    <w:rsid w:val="00973DA3"/>
    <w:rsid w:val="009746C8"/>
    <w:rsid w:val="009908FF"/>
    <w:rsid w:val="00995505"/>
    <w:rsid w:val="009C3893"/>
    <w:rsid w:val="00A249C3"/>
    <w:rsid w:val="00A65101"/>
    <w:rsid w:val="00A670E9"/>
    <w:rsid w:val="00A70D8F"/>
    <w:rsid w:val="00B03BEB"/>
    <w:rsid w:val="00B16AFA"/>
    <w:rsid w:val="00B403BF"/>
    <w:rsid w:val="00B608D9"/>
    <w:rsid w:val="00B70CBE"/>
    <w:rsid w:val="00B86117"/>
    <w:rsid w:val="00BA4055"/>
    <w:rsid w:val="00BA7FB6"/>
    <w:rsid w:val="00BD4B25"/>
    <w:rsid w:val="00C05E37"/>
    <w:rsid w:val="00C20BFE"/>
    <w:rsid w:val="00C34D33"/>
    <w:rsid w:val="00C44142"/>
    <w:rsid w:val="00C51BA9"/>
    <w:rsid w:val="00C676EF"/>
    <w:rsid w:val="00C91C35"/>
    <w:rsid w:val="00CC1778"/>
    <w:rsid w:val="00CD67BA"/>
    <w:rsid w:val="00CE575B"/>
    <w:rsid w:val="00CF3DE8"/>
    <w:rsid w:val="00D0493F"/>
    <w:rsid w:val="00D270EE"/>
    <w:rsid w:val="00D56F91"/>
    <w:rsid w:val="00D638F3"/>
    <w:rsid w:val="00D71FE7"/>
    <w:rsid w:val="00D8671C"/>
    <w:rsid w:val="00DA57C3"/>
    <w:rsid w:val="00DC04B2"/>
    <w:rsid w:val="00DC3855"/>
    <w:rsid w:val="00DF662E"/>
    <w:rsid w:val="00E25888"/>
    <w:rsid w:val="00E274B8"/>
    <w:rsid w:val="00E72707"/>
    <w:rsid w:val="00E748CB"/>
    <w:rsid w:val="00EC3305"/>
    <w:rsid w:val="00EC3C65"/>
    <w:rsid w:val="00F0586E"/>
    <w:rsid w:val="00F213D3"/>
    <w:rsid w:val="00F43932"/>
    <w:rsid w:val="00F62894"/>
    <w:rsid w:val="00FA4B93"/>
    <w:rsid w:val="00FC2B5F"/>
    <w:rsid w:val="00FC6B42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25"/>
    <w:rPr>
      <w:sz w:val="24"/>
    </w:rPr>
  </w:style>
  <w:style w:type="paragraph" w:styleId="Footer">
    <w:name w:val="footer"/>
    <w:basedOn w:val="Normal"/>
    <w:link w:val="FooterChar"/>
    <w:uiPriority w:val="99"/>
    <w:rsid w:val="00BD4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25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A70D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0D8F"/>
  </w:style>
  <w:style w:type="character" w:styleId="FootnoteReference">
    <w:name w:val="footnote reference"/>
    <w:basedOn w:val="DefaultParagraphFont"/>
    <w:uiPriority w:val="99"/>
    <w:rsid w:val="00A70D8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953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3A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3A8F"/>
  </w:style>
  <w:style w:type="paragraph" w:styleId="CommentSubject">
    <w:name w:val="annotation subject"/>
    <w:basedOn w:val="CommentText"/>
    <w:next w:val="CommentText"/>
    <w:link w:val="CommentSubjectChar"/>
    <w:rsid w:val="00953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25"/>
    <w:rPr>
      <w:sz w:val="24"/>
    </w:rPr>
  </w:style>
  <w:style w:type="paragraph" w:styleId="Footer">
    <w:name w:val="footer"/>
    <w:basedOn w:val="Normal"/>
    <w:link w:val="FooterChar"/>
    <w:uiPriority w:val="99"/>
    <w:rsid w:val="00BD4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25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A70D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0D8F"/>
  </w:style>
  <w:style w:type="character" w:styleId="FootnoteReference">
    <w:name w:val="footnote reference"/>
    <w:basedOn w:val="DefaultParagraphFont"/>
    <w:uiPriority w:val="99"/>
    <w:rsid w:val="00A70D8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953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3A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3A8F"/>
  </w:style>
  <w:style w:type="paragraph" w:styleId="CommentSubject">
    <w:name w:val="annotation subject"/>
    <w:basedOn w:val="CommentText"/>
    <w:next w:val="CommentText"/>
    <w:link w:val="CommentSubjectChar"/>
    <w:rsid w:val="00953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header" Target="header1.xml"/>
  <Relationship Id="rId12" Type="http://schemas.openxmlformats.org/officeDocument/2006/relationships/footer" Target="foot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mailto:dph.don@state.ma.us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lconover/Music/Documents/DoN%20Letterhead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C708-B601-48B9-9023-5381EC72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 Letterhead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2017-01-25T23:44:00Z</dcterms:created>
  <dc:creator>Plovnick, Bernard (DPH)</dc:creator>
  <lastModifiedBy>Mangan, Thomas (DPH)</lastModifiedBy>
  <lastPrinted>2016-11-28T20:44:00Z</lastPrinted>
  <dcterms:modified xsi:type="dcterms:W3CDTF">2017-01-25T23:45:00Z</dcterms:modified>
  <revision>3</revision>
</coreProperties>
</file>