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tcBorders>
              <w:bottom w:val="nil"/>
            </w:tcBorders>
          </w:tcPr>
          <w:p>
            <w:pPr>
              <w:pStyle w:val="TableParagraph"/>
              <w:spacing w:line="242" w:lineRule="auto"/>
              <w:ind w:left="405" w:right="403"/>
              <w:rPr>
                <w:b/>
                <w:sz w:val="20"/>
              </w:rPr>
            </w:pPr>
            <w:bookmarkStart w:name="Commonwealth of Massachusetts" w:id="1"/>
            <w:bookmarkEnd w:id="1"/>
            <w:r>
              <w:rPr/>
            </w:r>
            <w:r>
              <w:rPr>
                <w:b/>
                <w:sz w:val="20"/>
              </w:rPr>
              <w:t>Commonwealth of Massachusetts MassHealth</w:t>
            </w:r>
          </w:p>
          <w:p>
            <w:pPr>
              <w:pStyle w:val="TableParagraph"/>
              <w:spacing w:before="0"/>
              <w:ind w:left="403" w:right="403"/>
              <w:rPr>
                <w:b/>
                <w:sz w:val="20"/>
              </w:rPr>
            </w:pPr>
            <w:r>
              <w:rPr>
                <w:b/>
                <w:sz w:val="20"/>
              </w:rPr>
              <w:t>Provider Manual Series</w:t>
            </w:r>
          </w:p>
        </w:tc>
        <w:tc>
          <w:tcPr>
            <w:tcW w:w="3750" w:type="dxa"/>
          </w:tcPr>
          <w:p>
            <w:pPr>
              <w:pStyle w:val="TableParagraph"/>
              <w:ind w:right="453"/>
              <w:rPr>
                <w:b/>
                <w:sz w:val="20"/>
              </w:rPr>
            </w:pPr>
            <w:r>
              <w:rPr>
                <w:b/>
                <w:sz w:val="20"/>
              </w:rPr>
              <w:t>Subchapter Number and Title</w:t>
            </w:r>
          </w:p>
          <w:p>
            <w:pPr>
              <w:pStyle w:val="TableParagraph"/>
              <w:spacing w:before="116"/>
              <w:ind w:right="452"/>
              <w:rPr>
                <w:sz w:val="20"/>
              </w:rPr>
            </w:pPr>
            <w:r>
              <w:rPr>
                <w:sz w:val="20"/>
              </w:rPr>
              <w:t>Preface</w:t>
            </w:r>
          </w:p>
        </w:tc>
        <w:tc>
          <w:tcPr>
            <w:tcW w:w="1771" w:type="dxa"/>
          </w:tcPr>
          <w:p>
            <w:pPr>
              <w:pStyle w:val="TableParagraph"/>
              <w:ind w:left="468"/>
              <w:rPr>
                <w:b/>
                <w:sz w:val="20"/>
              </w:rPr>
            </w:pPr>
            <w:r>
              <w:rPr>
                <w:b/>
                <w:sz w:val="20"/>
              </w:rPr>
              <w:t>Page</w:t>
            </w:r>
          </w:p>
          <w:p>
            <w:pPr>
              <w:pStyle w:val="TableParagraph"/>
              <w:spacing w:before="116"/>
              <w:ind w:left="467"/>
              <w:rPr>
                <w:sz w:val="20"/>
              </w:rPr>
            </w:pPr>
            <w:r>
              <w:rPr>
                <w:sz w:val="20"/>
              </w:rPr>
              <w:t>vii</w:t>
            </w:r>
          </w:p>
        </w:tc>
      </w:tr>
      <w:tr>
        <w:trPr>
          <w:trHeight w:val="840" w:hRule="atLeast"/>
        </w:trPr>
        <w:tc>
          <w:tcPr>
            <w:tcW w:w="4080" w:type="dxa"/>
            <w:tcBorders>
              <w:top w:val="nil"/>
            </w:tcBorders>
          </w:tcPr>
          <w:p>
            <w:pPr>
              <w:pStyle w:val="TableParagraph"/>
              <w:spacing w:before="192"/>
              <w:ind w:left="1370" w:right="15" w:hanging="736"/>
              <w:jc w:val="left"/>
              <w:rPr>
                <w:sz w:val="20"/>
              </w:rPr>
            </w:pPr>
            <w:r>
              <w:rPr>
                <w:sz w:val="20"/>
              </w:rPr>
              <w:t>Independent Diagnostic Testing Facility Manual</w:t>
            </w:r>
          </w:p>
        </w:tc>
        <w:tc>
          <w:tcPr>
            <w:tcW w:w="3750" w:type="dxa"/>
          </w:tcPr>
          <w:p>
            <w:pPr>
              <w:pStyle w:val="TableParagraph"/>
              <w:ind w:right="452"/>
              <w:rPr>
                <w:b/>
                <w:sz w:val="20"/>
              </w:rPr>
            </w:pPr>
            <w:r>
              <w:rPr>
                <w:b/>
                <w:sz w:val="20"/>
              </w:rPr>
              <w:t>Transmittal Letter</w:t>
            </w:r>
          </w:p>
          <w:p>
            <w:pPr>
              <w:pStyle w:val="TableParagraph"/>
              <w:spacing w:before="116"/>
              <w:ind w:right="452"/>
              <w:rPr>
                <w:sz w:val="20"/>
              </w:rPr>
            </w:pPr>
            <w:r>
              <w:rPr>
                <w:sz w:val="20"/>
              </w:rPr>
              <w:t>IDTF-9</w:t>
            </w:r>
          </w:p>
        </w:tc>
        <w:tc>
          <w:tcPr>
            <w:tcW w:w="1771" w:type="dxa"/>
          </w:tcPr>
          <w:p>
            <w:pPr>
              <w:pStyle w:val="TableParagraph"/>
              <w:ind w:left="467"/>
              <w:rPr>
                <w:b/>
                <w:sz w:val="20"/>
              </w:rPr>
            </w:pPr>
            <w:r>
              <w:rPr>
                <w:b/>
                <w:sz w:val="20"/>
              </w:rPr>
              <w:t>Date</w:t>
            </w:r>
          </w:p>
          <w:p>
            <w:pPr>
              <w:pStyle w:val="TableParagraph"/>
              <w:spacing w:before="116"/>
              <w:ind w:left="468"/>
              <w:rPr>
                <w:sz w:val="20"/>
              </w:rPr>
            </w:pPr>
            <w:r>
              <w:rPr>
                <w:sz w:val="20"/>
              </w:rPr>
              <w:t>01/01/11</w:t>
            </w:r>
          </w:p>
        </w:tc>
      </w:tr>
    </w:tbl>
    <w:p>
      <w:pPr>
        <w:pStyle w:val="BodyText"/>
        <w:spacing w:before="3"/>
        <w:rPr>
          <w:sz w:val="14"/>
        </w:rPr>
      </w:pPr>
    </w:p>
    <w:p>
      <w:pPr>
        <w:pStyle w:val="BodyText"/>
        <w:spacing w:before="90"/>
        <w:ind w:left="120" w:right="841"/>
      </w:pPr>
      <w:r>
        <w:rPr/>
        <w:t>The regulations and instructions governing provider participation in MassHealth are published in the Provider Manual Series.  MassHealth publishes a separate manual for each provider type.</w:t>
      </w:r>
    </w:p>
    <w:p>
      <w:pPr>
        <w:pStyle w:val="BodyText"/>
        <w:spacing w:before="2"/>
      </w:pPr>
    </w:p>
    <w:p>
      <w:pPr>
        <w:pStyle w:val="BodyText"/>
        <w:ind w:left="120" w:right="239"/>
      </w:pPr>
      <w:r>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pPr>
        <w:pStyle w:val="BodyText"/>
        <w:spacing w:before="2"/>
      </w:pPr>
    </w:p>
    <w:p>
      <w:pPr>
        <w:pStyle w:val="BodyText"/>
        <w:ind w:left="120" w:right="620"/>
      </w:pPr>
      <w:r>
        <w:rPr/>
        <w:t>Administrative regulations and billing regulations apply to all providers and are contained in 130 CMR Chapter 450.000. These regulations are reproduced as Subchapters 1, 2, and 3 in this and all other manuals.</w:t>
      </w:r>
    </w:p>
    <w:p>
      <w:pPr>
        <w:pStyle w:val="BodyText"/>
        <w:spacing w:before="2"/>
      </w:pPr>
    </w:p>
    <w:p>
      <w:pPr>
        <w:pStyle w:val="BodyText"/>
        <w:ind w:left="120" w:right="399"/>
      </w:pPr>
      <w:r>
        <w:rPr/>
        <w:t>Program regulations cover matters that apply specifically to the type of provider for which the manual was prepared. For independent diagnostic testing facility services, those matters are covered in 130 CMR Chapter 431.000, reproduced as Subchapter 4 in the </w:t>
      </w:r>
      <w:r>
        <w:rPr>
          <w:i/>
        </w:rPr>
        <w:t>Independent Diagnostic Testing Facility Manual</w:t>
      </w:r>
      <w:r>
        <w:rPr/>
        <w:t>.</w:t>
      </w:r>
    </w:p>
    <w:p>
      <w:pPr>
        <w:pStyle w:val="BodyText"/>
        <w:spacing w:before="2"/>
      </w:pPr>
    </w:p>
    <w:p>
      <w:pPr>
        <w:pStyle w:val="BodyText"/>
        <w:ind w:left="120" w:right="239"/>
      </w:pPr>
      <w:r>
        <w:rPr/>
        <w:t>Revisions and additions to the manual are made as needed by means of transmittal letters, which furnish instructions for substituting, adding, or removing pages. Some transmittal letters will be directed to all providers; others will be addressed to providers in specific provider types. In this way, a provider will receive all those transmittal letters that affect its manual, but no others.</w:t>
      </w:r>
    </w:p>
    <w:p>
      <w:pPr>
        <w:pStyle w:val="BodyText"/>
        <w:spacing w:before="2"/>
      </w:pPr>
    </w:p>
    <w:p>
      <w:pPr>
        <w:pStyle w:val="BodyText"/>
        <w:ind w:left="120" w:right="620"/>
      </w:pPr>
      <w:r>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sectPr>
      <w:type w:val="continuous"/>
      <w:pgSz w:w="12240" w:h="15840"/>
      <w:pgMar w:top="720" w:bottom="280" w:left="13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24"/>
      <w:ind w:left="452" w:right="468"/>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dc:title>The regulations and instructions of the Division of Medical Assistance governing provider participation in the Medical Assistance Program are published in the Provider Manual Series</dc:title>
  <dcterms:created xsi:type="dcterms:W3CDTF">2017-09-28T15:07:49Z</dcterms:created>
  <dcterms:modified xsi:type="dcterms:W3CDTF">2017-09-28T15:07:49Z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2011-02-09T00:00:00Z</vt:filetime>
  </property>
  <property fmtid="{D5CDD505-2E9C-101B-9397-08002B2CF9AE}" pid="3" name="Creator">
    <vt:lpwstr>Acrobat PDFMaker 8.1 for Word</vt:lpwstr>
  </property>
  <property fmtid="{D5CDD505-2E9C-101B-9397-08002B2CF9AE}" pid="4" name="LastSaved">
    <vt:filetime>2017-09-28T00:00:00Z</vt:filetime>
  </property>
</Properties>
</file>