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504"/>
        <w:gridCol w:w="830"/>
        <w:gridCol w:w="1184"/>
      </w:tblGrid>
      <w:tr>
        <w:trPr>
          <w:trHeight w:val="860" w:hRule="atLeast"/>
        </w:trPr>
        <w:tc>
          <w:tcPr>
            <w:tcW w:w="4080" w:type="dxa"/>
            <w:vMerge w:val="restart"/>
          </w:tcPr>
          <w:p>
            <w:pPr>
              <w:pStyle w:val="TableParagraph"/>
              <w:spacing w:line="242" w:lineRule="auto"/>
              <w:ind w:left="405" w:right="403"/>
              <w:rPr>
                <w:b/>
                <w:sz w:val="20"/>
              </w:rPr>
            </w:pPr>
            <w:r>
              <w:rPr>
                <w:b/>
                <w:sz w:val="20"/>
              </w:rPr>
              <w:t>Commonwealth of Massachusetts Medical Assistance Program Provider Manual Series</w:t>
            </w:r>
          </w:p>
          <w:p>
            <w:pPr>
              <w:pStyle w:val="TableParagraph"/>
              <w:spacing w:before="7"/>
              <w:ind w:left="0" w:right="0"/>
              <w:jc w:val="left"/>
              <w:rPr>
                <w:rFonts w:ascii="Times New Roman"/>
                <w:sz w:val="25"/>
              </w:rPr>
            </w:pPr>
          </w:p>
          <w:p>
            <w:pPr>
              <w:pStyle w:val="TableParagraph"/>
              <w:spacing w:before="0"/>
              <w:ind w:left="156" w:right="156"/>
              <w:rPr>
                <w:rFonts w:ascii="Times New Roman"/>
                <w:sz w:val="20"/>
              </w:rPr>
            </w:pPr>
            <w:r>
              <w:rPr>
                <w:rFonts w:ascii="Times New Roman"/>
                <w:sz w:val="20"/>
              </w:rPr>
              <w:t>GROUP ADULT FOSTER CARE MANUAL</w:t>
            </w:r>
          </w:p>
        </w:tc>
        <w:tc>
          <w:tcPr>
            <w:tcW w:w="4334" w:type="dxa"/>
            <w:gridSpan w:val="2"/>
          </w:tcPr>
          <w:p>
            <w:pPr>
              <w:pStyle w:val="TableParagraph"/>
              <w:ind w:left="428" w:right="428"/>
              <w:rPr>
                <w:b/>
                <w:sz w:val="20"/>
              </w:rPr>
            </w:pPr>
            <w:r>
              <w:rPr>
                <w:b/>
                <w:sz w:val="20"/>
              </w:rPr>
              <w:t>SUBCHAPTER NUMBER AND TITLE</w:t>
            </w:r>
          </w:p>
          <w:p>
            <w:pPr>
              <w:pStyle w:val="TableParagraph"/>
              <w:spacing w:before="115"/>
              <w:ind w:left="428" w:right="428"/>
              <w:rPr>
                <w:rFonts w:ascii="Times New Roman"/>
                <w:sz w:val="20"/>
              </w:rPr>
            </w:pPr>
            <w:r>
              <w:rPr>
                <w:rFonts w:ascii="Times New Roman"/>
                <w:sz w:val="20"/>
              </w:rPr>
              <w:t>PREFACE</w:t>
            </w:r>
          </w:p>
        </w:tc>
        <w:tc>
          <w:tcPr>
            <w:tcW w:w="1184" w:type="dxa"/>
          </w:tcPr>
          <w:p>
            <w:pPr>
              <w:pStyle w:val="TableParagraph"/>
              <w:rPr>
                <w:b/>
                <w:sz w:val="20"/>
              </w:rPr>
            </w:pPr>
            <w:r>
              <w:rPr>
                <w:b/>
                <w:sz w:val="20"/>
              </w:rPr>
              <w:t>PAGE</w:t>
            </w:r>
          </w:p>
          <w:p>
            <w:pPr>
              <w:pStyle w:val="TableParagraph"/>
              <w:spacing w:before="115"/>
              <w:rPr>
                <w:rFonts w:ascii="Times New Roman"/>
                <w:sz w:val="20"/>
              </w:rPr>
            </w:pPr>
            <w:r>
              <w:rPr>
                <w:rFonts w:ascii="Times New Roman"/>
                <w:sz w:val="20"/>
              </w:rPr>
              <w:t>vii</w:t>
            </w:r>
          </w:p>
        </w:tc>
      </w:tr>
      <w:tr>
        <w:trPr>
          <w:trHeight w:val="760" w:hRule="atLeast"/>
        </w:trPr>
        <w:tc>
          <w:tcPr>
            <w:tcW w:w="4080" w:type="dxa"/>
            <w:vMerge/>
            <w:tcBorders>
              <w:top w:val="nil"/>
            </w:tcBorders>
          </w:tcPr>
          <w:p>
            <w:pPr>
              <w:rPr>
                <w:sz w:val="2"/>
                <w:szCs w:val="2"/>
              </w:rPr>
            </w:pPr>
          </w:p>
        </w:tc>
        <w:tc>
          <w:tcPr>
            <w:tcW w:w="3504" w:type="dxa"/>
          </w:tcPr>
          <w:p>
            <w:pPr>
              <w:pStyle w:val="TableParagraph"/>
              <w:ind w:left="596" w:right="596"/>
              <w:rPr>
                <w:b/>
                <w:sz w:val="20"/>
              </w:rPr>
            </w:pPr>
            <w:r>
              <w:rPr>
                <w:b/>
                <w:sz w:val="20"/>
              </w:rPr>
              <w:t>TRANSMITTAL LETTER</w:t>
            </w:r>
          </w:p>
          <w:p>
            <w:pPr>
              <w:pStyle w:val="TableParagraph"/>
              <w:spacing w:before="115"/>
              <w:ind w:left="595" w:right="596"/>
              <w:rPr>
                <w:rFonts w:ascii="Times New Roman"/>
                <w:sz w:val="20"/>
              </w:rPr>
            </w:pPr>
            <w:r>
              <w:rPr>
                <w:rFonts w:ascii="Times New Roman"/>
                <w:sz w:val="20"/>
              </w:rPr>
              <w:t>GAFC-1</w:t>
            </w:r>
          </w:p>
        </w:tc>
        <w:tc>
          <w:tcPr>
            <w:tcW w:w="2015" w:type="dxa"/>
            <w:gridSpan w:val="2"/>
          </w:tcPr>
          <w:p>
            <w:pPr>
              <w:pStyle w:val="TableParagraph"/>
              <w:ind w:left="623" w:right="624"/>
              <w:rPr>
                <w:b/>
                <w:sz w:val="20"/>
              </w:rPr>
            </w:pPr>
            <w:r>
              <w:rPr>
                <w:b/>
                <w:sz w:val="20"/>
              </w:rPr>
              <w:t>DATE</w:t>
            </w:r>
          </w:p>
          <w:p>
            <w:pPr>
              <w:pStyle w:val="TableParagraph"/>
              <w:spacing w:before="115"/>
              <w:ind w:left="623" w:right="624"/>
              <w:rPr>
                <w:rFonts w:ascii="Times New Roman"/>
                <w:sz w:val="20"/>
              </w:rPr>
            </w:pPr>
            <w:r>
              <w:rPr>
                <w:rFonts w:ascii="Times New Roman"/>
                <w:sz w:val="20"/>
              </w:rPr>
              <w:t>01/01/02</w:t>
            </w:r>
          </w:p>
        </w:tc>
      </w:tr>
    </w:tbl>
    <w:p>
      <w:pPr>
        <w:pStyle w:val="BodyText"/>
        <w:spacing w:before="6"/>
        <w:rPr>
          <w:sz w:val="13"/>
        </w:rPr>
      </w:pPr>
    </w:p>
    <w:p>
      <w:pPr>
        <w:pStyle w:val="BodyText"/>
        <w:spacing w:before="90"/>
        <w:ind w:left="115" w:right="148"/>
      </w:pPr>
      <w:r>
        <w:rPr/>
        <w:t>The regulations and instructions of the Division of Medical Assistance governing provider participation in MassHealth are published in the Provider Manual Series. The Division publishes a separate manual for each provider type.</w:t>
      </w:r>
    </w:p>
    <w:p>
      <w:pPr>
        <w:pStyle w:val="BodyText"/>
        <w:spacing w:before="2"/>
      </w:pPr>
    </w:p>
    <w:p>
      <w:pPr>
        <w:pStyle w:val="BodyText"/>
        <w:ind w:left="116" w:right="148"/>
      </w:pPr>
      <w:r>
        <w:rPr/>
        <w:t>Each manual in the series contains administrative regulations, billing regulations, program regulations, service codes and descriptions, billing instructions, and general information. The Division's regulations are incorporated into the Code of Massachusetts Regulations (CMR), a collection of regulations promulgated by state agencies within the Commonwealth and by the Secretary of State. Regulations promulgated by the Division of Medical Assistance are assigned Title 130 of the Code. The regulations governing provider participation in MassHealth are assigned Chapters 400 through 499 within Title 130. Pages that contain regulatory material have a CMR chapter number in the banner beneath the subchapter number and title.</w:t>
      </w:r>
    </w:p>
    <w:p>
      <w:pPr>
        <w:pStyle w:val="BodyText"/>
        <w:spacing w:before="2"/>
      </w:pPr>
    </w:p>
    <w:p>
      <w:pPr>
        <w:pStyle w:val="BodyText"/>
        <w:ind w:left="116"/>
      </w:pPr>
      <w:r>
        <w:rPr/>
        <w:t>Administrative regulations and billing regulations apply to all providers and are contained in</w:t>
      </w:r>
    </w:p>
    <w:p>
      <w:pPr>
        <w:pStyle w:val="BodyText"/>
        <w:ind w:left="116" w:right="148"/>
      </w:pPr>
      <w:r>
        <w:rPr/>
        <w:t>130 CMR Chapter 450.000. These regulations are reproduced as Subchapters 1, 2, and 3 in this and all other manuals.</w:t>
      </w:r>
    </w:p>
    <w:p>
      <w:pPr>
        <w:pStyle w:val="BodyText"/>
        <w:spacing w:before="2"/>
      </w:pPr>
    </w:p>
    <w:p>
      <w:pPr>
        <w:pStyle w:val="BodyText"/>
        <w:ind w:left="116"/>
      </w:pPr>
      <w:r>
        <w:rPr/>
        <w:t>Revisions and additions to the manual are made as needed by means of transmittal letters, which furnish instructions for making changes by hand ("pen-and-ink" revisions), and by substituting, adding, or removing pages. Some transmittal letters will be directed to all providers; others will be addressed to providers in specific provider types. In this way, a provider will receive all those transmittal letters that affect its manual, but no others.</w:t>
      </w:r>
    </w:p>
    <w:p>
      <w:pPr>
        <w:pStyle w:val="BodyText"/>
        <w:spacing w:before="2"/>
      </w:pPr>
    </w:p>
    <w:p>
      <w:pPr>
        <w:pStyle w:val="BodyText"/>
        <w:ind w:left="116" w:right="104"/>
      </w:pPr>
      <w:r>
        <w:rPr/>
        <w:t>The Provider Manual Series is intended for the convenience of providers. Neither this nor any other manual can or should contain every federal and state law and regulation that might affect a provider's participation in MassHealth. The provider manuals represent instead the Division's effort to give each provider a single convenient source for the essential information providers need in their routine interaction with the Division and with MassHealth members.</w:t>
      </w:r>
    </w:p>
    <w:sectPr>
      <w:type w:val="continuous"/>
      <w:pgSz w:w="12240" w:h="15840"/>
      <w:pgMar w:top="440" w:bottom="280" w:left="118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59"/>
      <w:ind w:left="281" w:right="281"/>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sbarlatier</dc:creator>
  <dc:title>Microsoft Word - GAFC-P-vii-1.doc</dc:title>
  <dcterms:created xsi:type="dcterms:W3CDTF">2017-10-11T09:48:28Z</dcterms:created>
  <dcterms:modified xsi:type="dcterms:W3CDTF">2017-10-11T09:48:28Z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2005-12-20T00:00:00Z</vt:filetime>
  </property>
  <property fmtid="{D5CDD505-2E9C-101B-9397-08002B2CF9AE}" pid="3" name="Creator">
    <vt:lpwstr>PScript5.dll Version 5.2.2</vt:lpwstr>
  </property>
  <property fmtid="{D5CDD505-2E9C-101B-9397-08002B2CF9AE}" pid="4" name="LastSaved">
    <vt:filetime>2017-10-11T00:00:00Z</vt:filetime>
  </property>
</Properties>
</file>