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397" w:rsidRPr="006B6397" w:rsidRDefault="006B6397">
      <w:pPr>
        <w:pStyle w:val="Heading1"/>
        <w:ind w:left="0" w:firstLine="0"/>
        <w:rPr>
          <w:rFonts w:asciiTheme="minorHAnsi" w:hAnsiTheme="minorHAnsi" w:cs="Arial"/>
          <w:bCs w:val="0"/>
          <w:color w:val="auto"/>
          <w:sz w:val="24"/>
          <w:szCs w:val="24"/>
        </w:rPr>
      </w:pPr>
      <w:bookmarkStart w:id="0" w:name="_GoBack"/>
      <w:bookmarkEnd w:id="0"/>
      <w:r w:rsidRPr="006B6397">
        <w:rPr>
          <w:rFonts w:asciiTheme="minorHAnsi" w:hAnsiTheme="minorHAnsi" w:cs="Arial"/>
          <w:bCs w:val="0"/>
          <w:color w:val="auto"/>
          <w:sz w:val="24"/>
          <w:szCs w:val="24"/>
        </w:rPr>
        <w:t>Slide 1/Title Slide:</w:t>
      </w:r>
    </w:p>
    <w:p w:rsidR="00764470" w:rsidRPr="006B6397" w:rsidRDefault="00764470">
      <w:pPr>
        <w:pStyle w:val="Heading1"/>
        <w:ind w:left="0" w:firstLine="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One Care: MassHealth plus Medicare</w:t>
      </w:r>
    </w:p>
    <w:p w:rsidR="00764470" w:rsidRPr="006B6397" w:rsidRDefault="004D1DAC" w:rsidP="00764470">
      <w:pPr>
        <w:pStyle w:val="Heading1"/>
        <w:ind w:left="0" w:firstLine="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MassHealth Demonstration </w:t>
      </w:r>
      <w:r w:rsidRPr="006B6397">
        <w:rPr>
          <w:rFonts w:asciiTheme="minorHAnsi" w:hAnsiTheme="minorHAnsi" w:cs="Arial"/>
          <w:b w:val="0"/>
          <w:bCs w:val="0"/>
          <w:color w:val="auto"/>
          <w:sz w:val="24"/>
          <w:szCs w:val="24"/>
        </w:rPr>
        <w:br/>
        <w:t>to Integrate Care for Dual Eligibles</w:t>
      </w:r>
    </w:p>
    <w:p w:rsidR="00764470" w:rsidRPr="006B6397" w:rsidRDefault="00764470" w:rsidP="00764470"/>
    <w:p w:rsidR="00764470" w:rsidRPr="006B6397" w:rsidRDefault="00764470" w:rsidP="00764470">
      <w:pPr>
        <w:spacing w:after="0"/>
        <w:rPr>
          <w:rFonts w:eastAsia="MS PGothic" w:cs="Arial"/>
          <w:sz w:val="24"/>
          <w:szCs w:val="24"/>
        </w:rPr>
      </w:pPr>
      <w:r w:rsidRPr="006B6397">
        <w:rPr>
          <w:rFonts w:eastAsia="MS PGothic" w:cs="Arial"/>
          <w:sz w:val="24"/>
          <w:szCs w:val="24"/>
        </w:rPr>
        <w:t xml:space="preserve">Open Meeting </w:t>
      </w:r>
    </w:p>
    <w:p w:rsidR="00764470" w:rsidRPr="006B6397" w:rsidRDefault="00764470" w:rsidP="00764470">
      <w:pPr>
        <w:spacing w:after="0"/>
        <w:rPr>
          <w:rFonts w:eastAsia="MS PGothic" w:cs="Arial"/>
          <w:sz w:val="24"/>
          <w:szCs w:val="24"/>
        </w:rPr>
      </w:pPr>
      <w:r w:rsidRPr="006B6397">
        <w:rPr>
          <w:rFonts w:eastAsia="MS PGothic" w:cs="Arial"/>
          <w:sz w:val="24"/>
          <w:szCs w:val="24"/>
        </w:rPr>
        <w:t>August 17, 2015 2:00 PM -4:00 PM</w:t>
      </w:r>
    </w:p>
    <w:p w:rsidR="00764470" w:rsidRPr="006B6397" w:rsidRDefault="00764470" w:rsidP="00764470">
      <w:pPr>
        <w:spacing w:after="0"/>
        <w:rPr>
          <w:rFonts w:eastAsia="MS PGothic" w:cs="Arial"/>
          <w:sz w:val="24"/>
          <w:szCs w:val="24"/>
        </w:rPr>
      </w:pPr>
      <w:r w:rsidRPr="006B6397">
        <w:rPr>
          <w:rFonts w:eastAsia="MS PGothic" w:cs="Arial"/>
          <w:sz w:val="24"/>
          <w:szCs w:val="24"/>
        </w:rPr>
        <w:t>1 Ashburton Place, 21st Floor</w:t>
      </w:r>
    </w:p>
    <w:p w:rsidR="00764470" w:rsidRPr="006B6397" w:rsidRDefault="00764470" w:rsidP="00764470">
      <w:pPr>
        <w:spacing w:after="0"/>
        <w:rPr>
          <w:rFonts w:eastAsia="MS PGothic" w:cs="Arial"/>
          <w:sz w:val="24"/>
          <w:szCs w:val="24"/>
        </w:rPr>
      </w:pPr>
      <w:r w:rsidRPr="006B6397">
        <w:rPr>
          <w:rFonts w:eastAsia="MS PGothic" w:cs="Arial"/>
          <w:sz w:val="24"/>
          <w:szCs w:val="24"/>
        </w:rPr>
        <w:t>Boston, MA</w:t>
      </w:r>
    </w:p>
    <w:p w:rsidR="00764470" w:rsidRPr="006B6397" w:rsidRDefault="00764470">
      <w:pPr>
        <w:pStyle w:val="Heading1"/>
        <w:ind w:left="0" w:firstLine="0"/>
        <w:rPr>
          <w:rFonts w:asciiTheme="minorHAnsi" w:hAnsiTheme="minorHAnsi" w:cs="Arial"/>
          <w:color w:val="auto"/>
          <w:sz w:val="24"/>
          <w:szCs w:val="24"/>
        </w:rPr>
      </w:pPr>
    </w:p>
    <w:p w:rsidR="00764470" w:rsidRPr="006B6397" w:rsidRDefault="00764470" w:rsidP="00764470">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 xml:space="preserve">Slide </w:t>
      </w:r>
      <w:r w:rsidR="006B6397" w:rsidRPr="006B6397">
        <w:rPr>
          <w:rFonts w:asciiTheme="minorHAnsi" w:hAnsiTheme="minorHAnsi" w:cs="Arial"/>
          <w:color w:val="auto"/>
          <w:sz w:val="24"/>
          <w:szCs w:val="24"/>
        </w:rPr>
        <w:t>2</w:t>
      </w:r>
      <w:r w:rsidRPr="006B6397">
        <w:rPr>
          <w:rFonts w:asciiTheme="minorHAnsi" w:hAnsiTheme="minorHAnsi" w:cs="Arial"/>
          <w:color w:val="auto"/>
          <w:sz w:val="24"/>
          <w:szCs w:val="24"/>
        </w:rPr>
        <w:t>:</w:t>
      </w:r>
    </w:p>
    <w:p w:rsidR="00764470" w:rsidRPr="006B6397" w:rsidRDefault="004D1DAC" w:rsidP="00764470">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Agenda for Today</w:t>
      </w:r>
    </w:p>
    <w:p w:rsidR="00C708A2" w:rsidRPr="006B6397" w:rsidRDefault="004D1DAC" w:rsidP="00764470">
      <w:pPr>
        <w:pStyle w:val="Heading2"/>
        <w:numPr>
          <w:ilvl w:val="0"/>
          <w:numId w:val="1"/>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Opening Remarks from Assistant Secretary Daniel Tsai</w:t>
      </w:r>
    </w:p>
    <w:p w:rsidR="00C708A2" w:rsidRPr="006B6397" w:rsidRDefault="004D1DAC" w:rsidP="00764470">
      <w:pPr>
        <w:pStyle w:val="Heading2"/>
        <w:numPr>
          <w:ilvl w:val="0"/>
          <w:numId w:val="1"/>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Updates on Fallon Total Care Closure and Member Transitions</w:t>
      </w:r>
    </w:p>
    <w:p w:rsidR="00C708A2" w:rsidRPr="006B6397" w:rsidRDefault="004D1DAC" w:rsidP="00764470">
      <w:pPr>
        <w:pStyle w:val="Heading2"/>
        <w:numPr>
          <w:ilvl w:val="0"/>
          <w:numId w:val="1"/>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Commonwealth Care Alliance Enrollment Cap </w:t>
      </w:r>
    </w:p>
    <w:p w:rsidR="00C708A2" w:rsidRPr="006B6397" w:rsidRDefault="00764470" w:rsidP="00764470">
      <w:pPr>
        <w:pStyle w:val="Heading2"/>
        <w:numPr>
          <w:ilvl w:val="0"/>
          <w:numId w:val="1"/>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Long-Term Supports </w:t>
      </w:r>
      <w:r w:rsidR="004D1DAC" w:rsidRPr="006B6397">
        <w:rPr>
          <w:rFonts w:asciiTheme="minorHAnsi" w:hAnsiTheme="minorHAnsi" w:cs="Arial"/>
          <w:b w:val="0"/>
          <w:bCs w:val="0"/>
          <w:color w:val="auto"/>
          <w:sz w:val="24"/>
          <w:szCs w:val="24"/>
        </w:rPr>
        <w:t>Coordinator Discussions</w:t>
      </w:r>
    </w:p>
    <w:p w:rsidR="00C708A2" w:rsidRPr="006B6397" w:rsidRDefault="004D1DAC" w:rsidP="00764470">
      <w:pPr>
        <w:pStyle w:val="Heading2"/>
        <w:numPr>
          <w:ilvl w:val="0"/>
          <w:numId w:val="1"/>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Opportunity to Extend the One Care Demonstration</w:t>
      </w:r>
    </w:p>
    <w:p w:rsidR="00C708A2" w:rsidRPr="006B6397" w:rsidRDefault="004D1DAC" w:rsidP="00764470">
      <w:pPr>
        <w:pStyle w:val="Heading2"/>
        <w:numPr>
          <w:ilvl w:val="0"/>
          <w:numId w:val="1"/>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Update on One Care Renewals</w:t>
      </w:r>
    </w:p>
    <w:p w:rsidR="00764470" w:rsidRPr="006B6397" w:rsidRDefault="00764470">
      <w:pPr>
        <w:pStyle w:val="Heading1"/>
        <w:ind w:left="0" w:firstLine="0"/>
        <w:rPr>
          <w:rFonts w:asciiTheme="minorHAnsi" w:hAnsiTheme="minorHAnsi" w:cs="Arial"/>
          <w:color w:val="auto"/>
          <w:sz w:val="24"/>
          <w:szCs w:val="24"/>
        </w:rPr>
      </w:pPr>
    </w:p>
    <w:p w:rsidR="00764470" w:rsidRPr="006B6397" w:rsidRDefault="00764470">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 xml:space="preserve">Slide </w:t>
      </w:r>
      <w:r w:rsidR="006B6397" w:rsidRPr="006B6397">
        <w:rPr>
          <w:rFonts w:asciiTheme="minorHAnsi" w:hAnsiTheme="minorHAnsi" w:cs="Arial"/>
          <w:color w:val="auto"/>
          <w:sz w:val="24"/>
          <w:szCs w:val="24"/>
        </w:rPr>
        <w:t>3</w:t>
      </w:r>
      <w:r w:rsidRPr="006B6397">
        <w:rPr>
          <w:rFonts w:asciiTheme="minorHAnsi" w:hAnsiTheme="minorHAnsi" w:cs="Arial"/>
          <w:color w:val="auto"/>
          <w:sz w:val="24"/>
          <w:szCs w:val="24"/>
        </w:rPr>
        <w:t>:</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Communications about Fallon Total Care (FTC) Closure</w:t>
      </w:r>
    </w:p>
    <w:p w:rsidR="006B6397" w:rsidRPr="006B6397" w:rsidRDefault="004D1DAC" w:rsidP="006B6397">
      <w:pPr>
        <w:pStyle w:val="Heading2"/>
        <w:numPr>
          <w:ilvl w:val="0"/>
          <w:numId w:val="2"/>
        </w:numPr>
        <w:spacing w:before="240"/>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FTC sent a letter to its members about the closure on July 28</w:t>
      </w:r>
      <w:r w:rsidRPr="006B6397">
        <w:rPr>
          <w:rFonts w:asciiTheme="minorHAnsi" w:hAnsiTheme="minorHAnsi" w:cs="Arial"/>
          <w:b w:val="0"/>
          <w:bCs w:val="0"/>
          <w:color w:val="auto"/>
          <w:sz w:val="24"/>
          <w:szCs w:val="24"/>
          <w:vertAlign w:val="superscript"/>
        </w:rPr>
        <w:t>th,</w:t>
      </w:r>
      <w:r w:rsidRPr="006B6397">
        <w:rPr>
          <w:rFonts w:asciiTheme="minorHAnsi" w:hAnsiTheme="minorHAnsi" w:cs="Arial"/>
          <w:b w:val="0"/>
          <w:bCs w:val="0"/>
          <w:color w:val="auto"/>
          <w:sz w:val="24"/>
          <w:szCs w:val="24"/>
        </w:rPr>
        <w:t xml:space="preserve"> includin</w:t>
      </w:r>
      <w:r w:rsidR="00764470" w:rsidRPr="006B6397">
        <w:rPr>
          <w:rFonts w:asciiTheme="minorHAnsi" w:hAnsiTheme="minorHAnsi" w:cs="Arial"/>
          <w:b w:val="0"/>
          <w:bCs w:val="0"/>
          <w:color w:val="auto"/>
          <w:sz w:val="24"/>
          <w:szCs w:val="24"/>
        </w:rPr>
        <w:t>g information about</w:t>
      </w:r>
      <w:r w:rsidRPr="006B6397">
        <w:rPr>
          <w:rFonts w:asciiTheme="minorHAnsi" w:hAnsiTheme="minorHAnsi" w:cs="Arial"/>
          <w:b w:val="0"/>
          <w:bCs w:val="0"/>
          <w:color w:val="auto"/>
          <w:sz w:val="24"/>
          <w:szCs w:val="24"/>
        </w:rPr>
        <w:t xml:space="preserve"> the transition, preliminary coverage options, and who to call for help</w:t>
      </w:r>
    </w:p>
    <w:p w:rsidR="00764470" w:rsidRPr="006B6397" w:rsidRDefault="004D1DAC" w:rsidP="006B6397">
      <w:pPr>
        <w:pStyle w:val="Heading2"/>
        <w:numPr>
          <w:ilvl w:val="0"/>
          <w:numId w:val="2"/>
        </w:numPr>
        <w:spacing w:before="240"/>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FTC is hosting two e</w:t>
      </w:r>
      <w:r w:rsidR="00764470" w:rsidRPr="006B6397">
        <w:rPr>
          <w:rFonts w:asciiTheme="minorHAnsi" w:hAnsiTheme="minorHAnsi" w:cs="Arial"/>
          <w:b w:val="0"/>
          <w:bCs w:val="0"/>
          <w:color w:val="auto"/>
          <w:sz w:val="24"/>
          <w:szCs w:val="24"/>
        </w:rPr>
        <w:t>nrollment information sessions:</w:t>
      </w:r>
    </w:p>
    <w:p w:rsidR="00764470" w:rsidRPr="006B6397" w:rsidRDefault="00764470" w:rsidP="006B6397">
      <w:pPr>
        <w:pStyle w:val="Heading2"/>
        <w:numPr>
          <w:ilvl w:val="0"/>
          <w:numId w:val="19"/>
        </w:numPr>
        <w:ind w:left="1170" w:hanging="450"/>
        <w:rPr>
          <w:rFonts w:asciiTheme="minorHAnsi" w:hAnsiTheme="minorHAnsi"/>
          <w:b w:val="0"/>
          <w:sz w:val="24"/>
          <w:szCs w:val="24"/>
        </w:rPr>
      </w:pPr>
      <w:r w:rsidRPr="006B6397">
        <w:rPr>
          <w:rFonts w:asciiTheme="minorHAnsi" w:hAnsiTheme="minorHAnsi"/>
          <w:b w:val="0"/>
          <w:sz w:val="24"/>
          <w:szCs w:val="24"/>
        </w:rPr>
        <w:t>Representatives from MassHealth, Medicare, SHINE, the One Care Ombudsman and Tufts Health Plan – Network Health (Tufts) will be on site to answer questions and discuss enrollment choices.</w:t>
      </w:r>
    </w:p>
    <w:p w:rsidR="00764470" w:rsidRPr="006B6397" w:rsidRDefault="00764470" w:rsidP="006B6397">
      <w:pPr>
        <w:pStyle w:val="Heading2"/>
        <w:numPr>
          <w:ilvl w:val="0"/>
          <w:numId w:val="19"/>
        </w:numPr>
        <w:ind w:left="1170" w:hanging="450"/>
        <w:rPr>
          <w:rFonts w:asciiTheme="minorHAnsi" w:hAnsiTheme="minorHAnsi"/>
          <w:b w:val="0"/>
          <w:sz w:val="24"/>
          <w:szCs w:val="24"/>
        </w:rPr>
      </w:pPr>
      <w:r w:rsidRPr="006B6397">
        <w:rPr>
          <w:rFonts w:asciiTheme="minorHAnsi" w:hAnsiTheme="minorHAnsi"/>
          <w:b w:val="0"/>
          <w:sz w:val="24"/>
          <w:szCs w:val="24"/>
        </w:rPr>
        <w:t>MassHealth staff will be able to record enrollment decisions and assist with renewals.</w:t>
      </w:r>
    </w:p>
    <w:p w:rsidR="00764470" w:rsidRPr="006B6397" w:rsidRDefault="00764470" w:rsidP="006B6397">
      <w:pPr>
        <w:pStyle w:val="Heading2"/>
        <w:numPr>
          <w:ilvl w:val="0"/>
          <w:numId w:val="19"/>
        </w:numPr>
        <w:ind w:left="1170" w:hanging="450"/>
        <w:rPr>
          <w:rFonts w:asciiTheme="minorHAnsi" w:hAnsiTheme="minorHAnsi"/>
          <w:b w:val="0"/>
          <w:sz w:val="24"/>
          <w:szCs w:val="24"/>
        </w:rPr>
      </w:pPr>
      <w:r w:rsidRPr="006B6397">
        <w:rPr>
          <w:rFonts w:asciiTheme="minorHAnsi" w:hAnsiTheme="minorHAnsi"/>
          <w:b w:val="0"/>
          <w:sz w:val="24"/>
          <w:szCs w:val="24"/>
        </w:rPr>
        <w:t>Event 1: Monday, August 17th, 2015 10:00 AM – 1:00 PM at the Worcester Public Library, Worcester, MA</w:t>
      </w:r>
    </w:p>
    <w:p w:rsidR="006B6397" w:rsidRPr="006B6397" w:rsidRDefault="00764470" w:rsidP="006B6397">
      <w:pPr>
        <w:pStyle w:val="Heading2"/>
        <w:numPr>
          <w:ilvl w:val="0"/>
          <w:numId w:val="19"/>
        </w:numPr>
        <w:ind w:left="1170" w:hanging="450"/>
        <w:rPr>
          <w:rFonts w:asciiTheme="minorHAnsi" w:hAnsiTheme="minorHAnsi"/>
          <w:b w:val="0"/>
          <w:sz w:val="24"/>
          <w:szCs w:val="24"/>
        </w:rPr>
      </w:pPr>
      <w:r w:rsidRPr="006B6397">
        <w:rPr>
          <w:rFonts w:asciiTheme="minorHAnsi" w:hAnsiTheme="minorHAnsi"/>
          <w:b w:val="0"/>
          <w:sz w:val="24"/>
          <w:szCs w:val="24"/>
        </w:rPr>
        <w:t>Event 2: Wednesday, August 19th, 2015 1:00 PM-4:00 PM at the Springfield Public Library, Springfield, MA</w:t>
      </w:r>
    </w:p>
    <w:p w:rsidR="00C708A2" w:rsidRPr="006B6397" w:rsidRDefault="004D1DAC" w:rsidP="006B6397">
      <w:pPr>
        <w:pStyle w:val="Heading2"/>
        <w:numPr>
          <w:ilvl w:val="0"/>
          <w:numId w:val="3"/>
        </w:numPr>
        <w:spacing w:before="240"/>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Fallon is also working closely with providers in their network to keep them informed about the transition and to partner with them on transition support for members. </w:t>
      </w:r>
    </w:p>
    <w:p w:rsidR="00C708A2" w:rsidRPr="006B6397" w:rsidRDefault="00C708A2" w:rsidP="00764470">
      <w:pPr>
        <w:pStyle w:val="Heading3"/>
        <w:ind w:left="0" w:firstLine="0"/>
        <w:rPr>
          <w:rFonts w:asciiTheme="minorHAnsi" w:hAnsiTheme="minorHAnsi" w:cs="Arial"/>
          <w:b w:val="0"/>
          <w:bCs w:val="0"/>
          <w:color w:val="auto"/>
          <w:sz w:val="24"/>
          <w:szCs w:val="24"/>
        </w:rPr>
      </w:pPr>
    </w:p>
    <w:p w:rsidR="00C708A2" w:rsidRPr="006B6397" w:rsidRDefault="006B6397">
      <w:pPr>
        <w:pStyle w:val="Heading2"/>
        <w:ind w:left="540" w:hanging="540"/>
        <w:rPr>
          <w:rFonts w:asciiTheme="minorHAnsi" w:hAnsiTheme="minorHAnsi" w:cs="Arial"/>
          <w:color w:val="auto"/>
          <w:sz w:val="24"/>
          <w:szCs w:val="24"/>
        </w:rPr>
      </w:pPr>
      <w:r w:rsidRPr="006B6397">
        <w:rPr>
          <w:rFonts w:asciiTheme="minorHAnsi" w:hAnsiTheme="minorHAnsi" w:cs="Arial"/>
          <w:color w:val="auto"/>
          <w:sz w:val="24"/>
          <w:szCs w:val="24"/>
        </w:rPr>
        <w:t>Slide 4:</w:t>
      </w:r>
    </w:p>
    <w:p w:rsidR="00C708A2" w:rsidRPr="006B6397" w:rsidRDefault="004D1DAC">
      <w:pPr>
        <w:pStyle w:val="Heading1"/>
        <w:ind w:left="0" w:firstLine="0"/>
        <w:rPr>
          <w:rFonts w:asciiTheme="minorHAnsi" w:hAnsiTheme="minorHAnsi" w:cs="Arial"/>
          <w:i/>
          <w:iCs/>
          <w:color w:val="auto"/>
          <w:sz w:val="24"/>
          <w:szCs w:val="24"/>
        </w:rPr>
      </w:pPr>
      <w:r w:rsidRPr="006B6397">
        <w:rPr>
          <w:rFonts w:asciiTheme="minorHAnsi" w:hAnsiTheme="minorHAnsi" w:cs="Arial"/>
          <w:color w:val="auto"/>
          <w:sz w:val="24"/>
          <w:szCs w:val="24"/>
        </w:rPr>
        <w:t xml:space="preserve">Communications about FTC Closure </w:t>
      </w:r>
      <w:r w:rsidRPr="006B6397">
        <w:rPr>
          <w:rFonts w:asciiTheme="minorHAnsi" w:hAnsiTheme="minorHAnsi" w:cs="Arial"/>
          <w:i/>
          <w:iCs/>
          <w:color w:val="auto"/>
          <w:sz w:val="24"/>
          <w:szCs w:val="24"/>
        </w:rPr>
        <w:t>(cont.)</w:t>
      </w:r>
    </w:p>
    <w:p w:rsidR="00C708A2" w:rsidRPr="006B6397" w:rsidRDefault="004D1DAC" w:rsidP="006B6397">
      <w:pPr>
        <w:pStyle w:val="Heading2"/>
        <w:numPr>
          <w:ilvl w:val="0"/>
          <w:numId w:val="4"/>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MassHealth has a created a new page on the One Care website with information related to FTC’s closing. The page includes:</w:t>
      </w:r>
    </w:p>
    <w:p w:rsidR="00C708A2" w:rsidRPr="006B6397" w:rsidRDefault="004D1DAC" w:rsidP="00764470">
      <w:pPr>
        <w:pStyle w:val="Heading3"/>
        <w:numPr>
          <w:ilvl w:val="0"/>
          <w:numId w:val="5"/>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lastRenderedPageBreak/>
        <w:t>member notices,  including FTC’s July 28</w:t>
      </w:r>
      <w:r w:rsidRPr="006B6397">
        <w:rPr>
          <w:rFonts w:asciiTheme="minorHAnsi" w:hAnsiTheme="minorHAnsi" w:cs="Arial"/>
          <w:b w:val="0"/>
          <w:bCs w:val="0"/>
          <w:color w:val="auto"/>
          <w:sz w:val="24"/>
          <w:szCs w:val="24"/>
          <w:vertAlign w:val="superscript"/>
        </w:rPr>
        <w:t>th</w:t>
      </w:r>
      <w:r w:rsidRPr="006B6397">
        <w:rPr>
          <w:rFonts w:asciiTheme="minorHAnsi" w:hAnsiTheme="minorHAnsi" w:cs="Arial"/>
          <w:b w:val="0"/>
          <w:bCs w:val="0"/>
          <w:color w:val="auto"/>
          <w:sz w:val="24"/>
          <w:szCs w:val="24"/>
        </w:rPr>
        <w:t xml:space="preserve"> letter  to its enrollees </w:t>
      </w:r>
    </w:p>
    <w:p w:rsidR="00C708A2" w:rsidRPr="006B6397" w:rsidRDefault="004D1DAC" w:rsidP="00764470">
      <w:pPr>
        <w:pStyle w:val="Heading3"/>
        <w:numPr>
          <w:ilvl w:val="0"/>
          <w:numId w:val="5"/>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upcoming outreach events and meetings</w:t>
      </w:r>
    </w:p>
    <w:p w:rsidR="00C708A2" w:rsidRPr="006B6397" w:rsidRDefault="004D1DAC" w:rsidP="00764470">
      <w:pPr>
        <w:pStyle w:val="Heading3"/>
        <w:numPr>
          <w:ilvl w:val="0"/>
          <w:numId w:val="5"/>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Resources (who to call)</w:t>
      </w:r>
    </w:p>
    <w:p w:rsidR="00C708A2" w:rsidRPr="006B6397" w:rsidRDefault="004D1DAC" w:rsidP="00764470">
      <w:pPr>
        <w:pStyle w:val="Heading3"/>
        <w:numPr>
          <w:ilvl w:val="0"/>
          <w:numId w:val="5"/>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other updates as they are available</w:t>
      </w:r>
    </w:p>
    <w:p w:rsidR="00C708A2" w:rsidRPr="006B6397" w:rsidRDefault="004D1DAC" w:rsidP="00764470">
      <w:pPr>
        <w:pStyle w:val="Heading3"/>
        <w:numPr>
          <w:ilvl w:val="0"/>
          <w:numId w:val="5"/>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Visit the One Care website at </w:t>
      </w:r>
      <w:hyperlink r:id="rId7" w:history="1">
        <w:r w:rsidR="00DC4751" w:rsidRPr="00DC4751">
          <w:rPr>
            <w:rStyle w:val="Hyperlink"/>
            <w:rFonts w:asciiTheme="minorHAnsi" w:hAnsiTheme="minorHAnsi" w:cs="Arial"/>
            <w:b w:val="0"/>
            <w:bCs w:val="0"/>
            <w:sz w:val="24"/>
            <w:szCs w:val="24"/>
          </w:rPr>
          <w:t>http://www.mass.gov/masshealth/onecare</w:t>
        </w:r>
      </w:hyperlink>
      <w:r w:rsidRPr="006B6397">
        <w:rPr>
          <w:rFonts w:asciiTheme="minorHAnsi" w:hAnsiTheme="minorHAnsi" w:cs="Arial"/>
          <w:b w:val="0"/>
          <w:bCs w:val="0"/>
          <w:color w:val="auto"/>
          <w:sz w:val="24"/>
          <w:szCs w:val="24"/>
        </w:rPr>
        <w:t>, and go to “News and Community” to access the new page</w:t>
      </w:r>
    </w:p>
    <w:p w:rsidR="00C708A2" w:rsidRPr="006B6397" w:rsidRDefault="00C708A2">
      <w:pPr>
        <w:pStyle w:val="Heading3"/>
        <w:ind w:left="1180" w:hanging="460"/>
        <w:rPr>
          <w:rFonts w:asciiTheme="minorHAnsi" w:hAnsiTheme="minorHAnsi" w:cs="Arial"/>
          <w:b w:val="0"/>
          <w:bCs w:val="0"/>
          <w:color w:val="auto"/>
          <w:sz w:val="24"/>
          <w:szCs w:val="24"/>
        </w:rPr>
      </w:pPr>
    </w:p>
    <w:p w:rsidR="00C708A2" w:rsidRPr="006B6397" w:rsidRDefault="004D1DAC" w:rsidP="006B6397">
      <w:pPr>
        <w:pStyle w:val="Heading2"/>
        <w:numPr>
          <w:ilvl w:val="0"/>
          <w:numId w:val="4"/>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In late August, MassHealth will be sending out a joint letter with the Centers for Medicare &amp; Medicaid Services (CMS) to all FTC members that will provide additional details on member choices and next steps</w:t>
      </w:r>
    </w:p>
    <w:p w:rsidR="00C708A2" w:rsidRPr="006B6397" w:rsidRDefault="004D1DAC">
      <w:pPr>
        <w:pStyle w:val="Heading2"/>
        <w:ind w:left="0" w:firstLine="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ab/>
      </w:r>
    </w:p>
    <w:p w:rsidR="00C708A2" w:rsidRPr="006B6397" w:rsidRDefault="004D1DAC" w:rsidP="006B6397">
      <w:pPr>
        <w:pStyle w:val="Heading2"/>
        <w:numPr>
          <w:ilvl w:val="0"/>
          <w:numId w:val="4"/>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MassHealth will continue providing updates through stakeholder emails, the One Care website, and the Duals website</w:t>
      </w:r>
    </w:p>
    <w:p w:rsidR="00C708A2" w:rsidRPr="006B6397" w:rsidRDefault="00C708A2" w:rsidP="006B6397">
      <w:pPr>
        <w:pStyle w:val="Heading2"/>
        <w:ind w:left="0" w:firstLine="0"/>
        <w:rPr>
          <w:rFonts w:asciiTheme="minorHAnsi" w:hAnsiTheme="minorHAnsi" w:cs="Arial"/>
          <w:b w:val="0"/>
          <w:bCs w:val="0"/>
          <w:color w:val="auto"/>
          <w:sz w:val="24"/>
          <w:szCs w:val="24"/>
        </w:rPr>
      </w:pPr>
    </w:p>
    <w:p w:rsidR="00C708A2" w:rsidRPr="006B6397" w:rsidRDefault="00C708A2">
      <w:pPr>
        <w:pStyle w:val="Heading3"/>
        <w:ind w:left="720" w:firstLine="0"/>
        <w:rPr>
          <w:rFonts w:asciiTheme="minorHAnsi" w:hAnsiTheme="minorHAnsi" w:cs="Arial"/>
          <w:b w:val="0"/>
          <w:bCs w:val="0"/>
          <w:color w:val="auto"/>
          <w:sz w:val="24"/>
          <w:szCs w:val="24"/>
        </w:rPr>
      </w:pPr>
    </w:p>
    <w:p w:rsidR="00C708A2" w:rsidRPr="006B6397" w:rsidRDefault="006B6397">
      <w:pPr>
        <w:pStyle w:val="Heading2"/>
        <w:ind w:left="540" w:hanging="540"/>
        <w:rPr>
          <w:rFonts w:asciiTheme="minorHAnsi" w:hAnsiTheme="minorHAnsi" w:cs="Arial"/>
          <w:color w:val="auto"/>
          <w:sz w:val="24"/>
          <w:szCs w:val="24"/>
        </w:rPr>
      </w:pPr>
      <w:r w:rsidRPr="006B6397">
        <w:rPr>
          <w:rFonts w:asciiTheme="minorHAnsi" w:hAnsiTheme="minorHAnsi" w:cs="Arial"/>
          <w:color w:val="auto"/>
          <w:sz w:val="24"/>
          <w:szCs w:val="24"/>
        </w:rPr>
        <w:t>Slide 5:</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Coverage Options for FTC Members</w:t>
      </w:r>
    </w:p>
    <w:p w:rsidR="00C708A2" w:rsidRPr="006B6397" w:rsidRDefault="004D1DAC" w:rsidP="006B6397">
      <w:pPr>
        <w:pStyle w:val="Heading2"/>
        <w:numPr>
          <w:ilvl w:val="0"/>
          <w:numId w:val="6"/>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Members have certain choices about how to receive their health care after September 30</w:t>
      </w:r>
      <w:r w:rsidRPr="006B6397">
        <w:rPr>
          <w:rFonts w:asciiTheme="minorHAnsi" w:hAnsiTheme="minorHAnsi" w:cs="Arial"/>
          <w:b w:val="0"/>
          <w:bCs w:val="0"/>
          <w:color w:val="auto"/>
          <w:sz w:val="24"/>
          <w:szCs w:val="24"/>
          <w:vertAlign w:val="superscript"/>
        </w:rPr>
        <w:t>th</w:t>
      </w:r>
      <w:r w:rsidRPr="006B6397">
        <w:rPr>
          <w:rFonts w:asciiTheme="minorHAnsi" w:hAnsiTheme="minorHAnsi" w:cs="Arial"/>
          <w:b w:val="0"/>
          <w:bCs w:val="0"/>
          <w:color w:val="auto"/>
          <w:sz w:val="24"/>
          <w:szCs w:val="24"/>
        </w:rPr>
        <w:t>, 2015. In general they can enroll in:</w:t>
      </w:r>
    </w:p>
    <w:p w:rsidR="00C708A2" w:rsidRPr="006B6397" w:rsidRDefault="004D1DAC" w:rsidP="00764470">
      <w:pPr>
        <w:pStyle w:val="Heading3"/>
        <w:numPr>
          <w:ilvl w:val="0"/>
          <w:numId w:val="7"/>
        </w:numPr>
        <w:ind w:left="1180" w:hanging="460"/>
        <w:rPr>
          <w:rFonts w:asciiTheme="minorHAnsi" w:hAnsiTheme="minorHAnsi" w:cs="Arial"/>
          <w:b w:val="0"/>
          <w:bCs w:val="0"/>
          <w:color w:val="auto"/>
          <w:sz w:val="24"/>
          <w:szCs w:val="24"/>
        </w:rPr>
      </w:pPr>
      <w:r w:rsidRPr="006B6397">
        <w:rPr>
          <w:rFonts w:asciiTheme="minorHAnsi" w:hAnsiTheme="minorHAnsi" w:cs="Arial"/>
          <w:color w:val="auto"/>
          <w:sz w:val="24"/>
          <w:szCs w:val="24"/>
        </w:rPr>
        <w:t xml:space="preserve">MassHealth </w:t>
      </w:r>
      <w:r w:rsidRPr="006B6397">
        <w:rPr>
          <w:rFonts w:asciiTheme="minorHAnsi" w:hAnsiTheme="minorHAnsi" w:cs="Arial"/>
          <w:b w:val="0"/>
          <w:bCs w:val="0"/>
          <w:color w:val="auto"/>
          <w:sz w:val="24"/>
          <w:szCs w:val="24"/>
        </w:rPr>
        <w:t>fee for service (FFS) with</w:t>
      </w:r>
      <w:r w:rsidRPr="006B6397">
        <w:rPr>
          <w:rFonts w:asciiTheme="minorHAnsi" w:hAnsiTheme="minorHAnsi" w:cs="Arial"/>
          <w:color w:val="auto"/>
          <w:sz w:val="24"/>
          <w:szCs w:val="24"/>
        </w:rPr>
        <w:t xml:space="preserve"> Original Medicare </w:t>
      </w:r>
      <w:r w:rsidRPr="006B6397">
        <w:rPr>
          <w:rFonts w:asciiTheme="minorHAnsi" w:hAnsiTheme="minorHAnsi" w:cs="Arial"/>
          <w:b w:val="0"/>
          <w:bCs w:val="0"/>
          <w:color w:val="auto"/>
          <w:sz w:val="24"/>
          <w:szCs w:val="24"/>
        </w:rPr>
        <w:t xml:space="preserve">(FFS) </w:t>
      </w:r>
      <w:r w:rsidRPr="006B6397">
        <w:rPr>
          <w:rFonts w:asciiTheme="minorHAnsi" w:hAnsiTheme="minorHAnsi" w:cs="Arial"/>
          <w:color w:val="auto"/>
          <w:sz w:val="24"/>
          <w:szCs w:val="24"/>
        </w:rPr>
        <w:t xml:space="preserve">and a Medicare Part D </w:t>
      </w:r>
      <w:r w:rsidRPr="006B6397">
        <w:rPr>
          <w:rFonts w:asciiTheme="minorHAnsi" w:hAnsiTheme="minorHAnsi" w:cs="Arial"/>
          <w:b w:val="0"/>
          <w:bCs w:val="0"/>
          <w:color w:val="auto"/>
          <w:sz w:val="24"/>
          <w:szCs w:val="24"/>
        </w:rPr>
        <w:t>plan,</w:t>
      </w:r>
    </w:p>
    <w:p w:rsidR="00C708A2" w:rsidRPr="006B6397" w:rsidRDefault="004D1DAC" w:rsidP="00764470">
      <w:pPr>
        <w:pStyle w:val="Heading3"/>
        <w:numPr>
          <w:ilvl w:val="0"/>
          <w:numId w:val="7"/>
        </w:numPr>
        <w:ind w:left="1180" w:hanging="460"/>
        <w:rPr>
          <w:rFonts w:asciiTheme="minorHAnsi" w:hAnsiTheme="minorHAnsi" w:cs="Arial"/>
          <w:b w:val="0"/>
          <w:bCs w:val="0"/>
          <w:color w:val="auto"/>
          <w:sz w:val="24"/>
          <w:szCs w:val="24"/>
        </w:rPr>
      </w:pPr>
      <w:r w:rsidRPr="006B6397">
        <w:rPr>
          <w:rFonts w:asciiTheme="minorHAnsi" w:hAnsiTheme="minorHAnsi" w:cs="Arial"/>
          <w:color w:val="auto"/>
          <w:sz w:val="24"/>
          <w:szCs w:val="24"/>
        </w:rPr>
        <w:t xml:space="preserve">Medicare Advantage </w:t>
      </w:r>
      <w:r w:rsidRPr="006B6397">
        <w:rPr>
          <w:rFonts w:asciiTheme="minorHAnsi" w:hAnsiTheme="minorHAnsi" w:cs="Arial"/>
          <w:b w:val="0"/>
          <w:bCs w:val="0"/>
          <w:color w:val="auto"/>
          <w:sz w:val="24"/>
          <w:szCs w:val="24"/>
        </w:rPr>
        <w:t xml:space="preserve">plan with </w:t>
      </w:r>
      <w:r w:rsidRPr="006B6397">
        <w:rPr>
          <w:rFonts w:asciiTheme="minorHAnsi" w:hAnsiTheme="minorHAnsi" w:cs="Arial"/>
          <w:color w:val="auto"/>
          <w:sz w:val="24"/>
          <w:szCs w:val="24"/>
        </w:rPr>
        <w:t>MassHealth</w:t>
      </w:r>
      <w:r w:rsidRPr="006B6397">
        <w:rPr>
          <w:rFonts w:asciiTheme="minorHAnsi" w:hAnsiTheme="minorHAnsi" w:cs="Arial"/>
          <w:b w:val="0"/>
          <w:bCs w:val="0"/>
          <w:color w:val="auto"/>
          <w:sz w:val="24"/>
          <w:szCs w:val="24"/>
        </w:rPr>
        <w:t xml:space="preserve"> (FFS), or</w:t>
      </w:r>
    </w:p>
    <w:p w:rsidR="00C708A2" w:rsidRPr="006B6397" w:rsidRDefault="004D1DAC" w:rsidP="00764470">
      <w:pPr>
        <w:pStyle w:val="Heading3"/>
        <w:numPr>
          <w:ilvl w:val="0"/>
          <w:numId w:val="7"/>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Another </w:t>
      </w:r>
      <w:r w:rsidRPr="006B6397">
        <w:rPr>
          <w:rFonts w:asciiTheme="minorHAnsi" w:hAnsiTheme="minorHAnsi" w:cs="Arial"/>
          <w:color w:val="auto"/>
          <w:sz w:val="24"/>
          <w:szCs w:val="24"/>
        </w:rPr>
        <w:t xml:space="preserve">One Care </w:t>
      </w:r>
      <w:r w:rsidRPr="006B6397">
        <w:rPr>
          <w:rFonts w:asciiTheme="minorHAnsi" w:hAnsiTheme="minorHAnsi" w:cs="Arial"/>
          <w:b w:val="0"/>
          <w:bCs w:val="0"/>
          <w:color w:val="auto"/>
          <w:sz w:val="24"/>
          <w:szCs w:val="24"/>
        </w:rPr>
        <w:t>plan (if available)</w:t>
      </w:r>
    </w:p>
    <w:p w:rsidR="00C708A2" w:rsidRPr="006B6397" w:rsidRDefault="004D1DAC" w:rsidP="00764470">
      <w:pPr>
        <w:pStyle w:val="Heading3"/>
        <w:numPr>
          <w:ilvl w:val="0"/>
          <w:numId w:val="7"/>
        </w:numPr>
        <w:ind w:left="1180" w:hanging="460"/>
        <w:rPr>
          <w:rFonts w:asciiTheme="minorHAnsi" w:hAnsiTheme="minorHAnsi" w:cs="Arial"/>
          <w:b w:val="0"/>
          <w:bCs w:val="0"/>
          <w:color w:val="auto"/>
          <w:sz w:val="24"/>
          <w:szCs w:val="24"/>
        </w:rPr>
      </w:pPr>
      <w:r w:rsidRPr="006B6397">
        <w:rPr>
          <w:rFonts w:asciiTheme="minorHAnsi" w:hAnsiTheme="minorHAnsi" w:cs="Arial"/>
          <w:color w:val="auto"/>
          <w:sz w:val="24"/>
          <w:szCs w:val="24"/>
        </w:rPr>
        <w:t>Program of All-Inclusive Care for the Elderly</w:t>
      </w:r>
      <w:r w:rsidRPr="006B6397">
        <w:rPr>
          <w:rFonts w:asciiTheme="minorHAnsi" w:hAnsiTheme="minorHAnsi" w:cs="Arial"/>
          <w:b w:val="0"/>
          <w:bCs w:val="0"/>
          <w:color w:val="auto"/>
          <w:sz w:val="24"/>
          <w:szCs w:val="24"/>
        </w:rPr>
        <w:t xml:space="preserve"> (</w:t>
      </w:r>
      <w:r w:rsidRPr="006B6397">
        <w:rPr>
          <w:rFonts w:asciiTheme="minorHAnsi" w:hAnsiTheme="minorHAnsi" w:cs="Arial"/>
          <w:color w:val="auto"/>
          <w:sz w:val="24"/>
          <w:szCs w:val="24"/>
        </w:rPr>
        <w:t>PACE</w:t>
      </w:r>
      <w:r w:rsidRPr="006B6397">
        <w:rPr>
          <w:rFonts w:asciiTheme="minorHAnsi" w:hAnsiTheme="minorHAnsi" w:cs="Arial"/>
          <w:b w:val="0"/>
          <w:bCs w:val="0"/>
          <w:color w:val="auto"/>
          <w:sz w:val="24"/>
          <w:szCs w:val="24"/>
        </w:rPr>
        <w:t>) - members who are 55+ and meet nursing facility level of care</w:t>
      </w:r>
    </w:p>
    <w:p w:rsidR="00C708A2" w:rsidRPr="006B6397" w:rsidRDefault="004D1DAC" w:rsidP="00764470">
      <w:pPr>
        <w:pStyle w:val="Heading3"/>
        <w:numPr>
          <w:ilvl w:val="0"/>
          <w:numId w:val="7"/>
        </w:numPr>
        <w:ind w:left="1180" w:hanging="460"/>
        <w:rPr>
          <w:rFonts w:asciiTheme="minorHAnsi" w:hAnsiTheme="minorHAnsi" w:cs="Arial"/>
          <w:b w:val="0"/>
          <w:bCs w:val="0"/>
          <w:color w:val="auto"/>
          <w:sz w:val="24"/>
          <w:szCs w:val="24"/>
        </w:rPr>
      </w:pPr>
      <w:r w:rsidRPr="006B6397">
        <w:rPr>
          <w:rFonts w:asciiTheme="minorHAnsi" w:hAnsiTheme="minorHAnsi" w:cs="Arial"/>
          <w:color w:val="auto"/>
          <w:sz w:val="24"/>
          <w:szCs w:val="24"/>
        </w:rPr>
        <w:t>Senior Care Options (SCO)</w:t>
      </w:r>
      <w:r w:rsidRPr="006B6397">
        <w:rPr>
          <w:rFonts w:asciiTheme="minorHAnsi" w:hAnsiTheme="minorHAnsi" w:cs="Arial"/>
          <w:b w:val="0"/>
          <w:bCs w:val="0"/>
          <w:color w:val="auto"/>
          <w:sz w:val="24"/>
          <w:szCs w:val="24"/>
        </w:rPr>
        <w:t xml:space="preserve"> - members who are 65+</w:t>
      </w:r>
    </w:p>
    <w:p w:rsidR="00C708A2" w:rsidRPr="006B6397" w:rsidRDefault="00C708A2">
      <w:pPr>
        <w:pStyle w:val="Heading3"/>
        <w:ind w:left="1180" w:hanging="460"/>
        <w:rPr>
          <w:rFonts w:asciiTheme="minorHAnsi" w:hAnsiTheme="minorHAnsi" w:cs="Arial"/>
          <w:b w:val="0"/>
          <w:bCs w:val="0"/>
          <w:color w:val="auto"/>
          <w:sz w:val="24"/>
          <w:szCs w:val="24"/>
        </w:rPr>
      </w:pPr>
    </w:p>
    <w:p w:rsidR="00C708A2" w:rsidRPr="006B6397" w:rsidRDefault="004D1DAC" w:rsidP="006B6397">
      <w:pPr>
        <w:pStyle w:val="Heading2"/>
        <w:numPr>
          <w:ilvl w:val="0"/>
          <w:numId w:val="6"/>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Older members who choose MassHealth FFS may also be eligible for the </w:t>
      </w:r>
      <w:r w:rsidRPr="006B6397">
        <w:rPr>
          <w:rFonts w:asciiTheme="minorHAnsi" w:hAnsiTheme="minorHAnsi" w:cs="Arial"/>
          <w:color w:val="auto"/>
          <w:sz w:val="24"/>
          <w:szCs w:val="24"/>
        </w:rPr>
        <w:t xml:space="preserve">Massachusetts Home Care Program </w:t>
      </w:r>
      <w:r w:rsidRPr="006B6397">
        <w:rPr>
          <w:rFonts w:asciiTheme="minorHAnsi" w:hAnsiTheme="minorHAnsi" w:cs="Arial"/>
          <w:b w:val="0"/>
          <w:bCs w:val="0"/>
          <w:color w:val="auto"/>
          <w:sz w:val="24"/>
          <w:szCs w:val="24"/>
        </w:rPr>
        <w:t xml:space="preserve">for help with meals and other community supports. </w:t>
      </w:r>
    </w:p>
    <w:p w:rsidR="00C708A2" w:rsidRPr="006B6397" w:rsidRDefault="00C708A2">
      <w:pPr>
        <w:pStyle w:val="Heading2"/>
        <w:ind w:left="0" w:firstLine="0"/>
        <w:rPr>
          <w:rFonts w:asciiTheme="minorHAnsi" w:hAnsiTheme="minorHAnsi" w:cs="Arial"/>
          <w:b w:val="0"/>
          <w:bCs w:val="0"/>
          <w:color w:val="auto"/>
          <w:sz w:val="24"/>
          <w:szCs w:val="24"/>
        </w:rPr>
      </w:pPr>
    </w:p>
    <w:p w:rsidR="00C708A2" w:rsidRPr="006B6397" w:rsidRDefault="004D1DAC" w:rsidP="006B6397">
      <w:pPr>
        <w:pStyle w:val="Heading2"/>
        <w:numPr>
          <w:ilvl w:val="0"/>
          <w:numId w:val="6"/>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Members who do not take any action will be enrolled automatically in MassHealth FFS, Original Medicare, and Humana Insurance Company (Humana) for Medicare prescription drug coverage </w:t>
      </w:r>
    </w:p>
    <w:p w:rsidR="00C708A2" w:rsidRPr="006B6397" w:rsidRDefault="004D1DAC" w:rsidP="00764470">
      <w:pPr>
        <w:pStyle w:val="Heading3"/>
        <w:numPr>
          <w:ilvl w:val="0"/>
          <w:numId w:val="7"/>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Members can also choose a different Medicare Part D plan</w:t>
      </w:r>
    </w:p>
    <w:p w:rsidR="00C708A2" w:rsidRPr="006B6397" w:rsidRDefault="00C708A2">
      <w:pPr>
        <w:pStyle w:val="Heading2"/>
        <w:ind w:left="540" w:hanging="540"/>
        <w:rPr>
          <w:rFonts w:asciiTheme="minorHAnsi" w:hAnsiTheme="minorHAnsi" w:cs="Arial"/>
          <w:b w:val="0"/>
          <w:bCs w:val="0"/>
          <w:color w:val="auto"/>
          <w:sz w:val="24"/>
          <w:szCs w:val="24"/>
        </w:rPr>
      </w:pPr>
    </w:p>
    <w:p w:rsidR="00C708A2" w:rsidRPr="006B6397" w:rsidRDefault="004D1DAC" w:rsidP="006B6397">
      <w:pPr>
        <w:pStyle w:val="Heading2"/>
        <w:numPr>
          <w:ilvl w:val="0"/>
          <w:numId w:val="6"/>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Members who transition to FFS a</w:t>
      </w:r>
      <w:r w:rsidR="006B6397">
        <w:rPr>
          <w:rFonts w:asciiTheme="minorHAnsi" w:hAnsiTheme="minorHAnsi" w:cs="Arial"/>
          <w:b w:val="0"/>
          <w:bCs w:val="0"/>
          <w:color w:val="auto"/>
          <w:sz w:val="24"/>
          <w:szCs w:val="24"/>
        </w:rPr>
        <w:t xml:space="preserve">re encouraged to remain in FTC </w:t>
      </w:r>
      <w:r w:rsidRPr="006B6397">
        <w:rPr>
          <w:rFonts w:asciiTheme="minorHAnsi" w:hAnsiTheme="minorHAnsi" w:cs="Arial"/>
          <w:b w:val="0"/>
          <w:bCs w:val="0"/>
          <w:color w:val="auto"/>
          <w:sz w:val="24"/>
          <w:szCs w:val="24"/>
        </w:rPr>
        <w:t>until September 30</w:t>
      </w:r>
      <w:r w:rsidRPr="006B6397">
        <w:rPr>
          <w:rFonts w:asciiTheme="minorHAnsi" w:hAnsiTheme="minorHAnsi" w:cs="Arial"/>
          <w:b w:val="0"/>
          <w:bCs w:val="0"/>
          <w:color w:val="auto"/>
          <w:sz w:val="24"/>
          <w:szCs w:val="24"/>
          <w:vertAlign w:val="superscript"/>
        </w:rPr>
        <w:t>th</w:t>
      </w:r>
      <w:r w:rsidRPr="006B6397">
        <w:rPr>
          <w:rFonts w:asciiTheme="minorHAnsi" w:hAnsiTheme="minorHAnsi" w:cs="Arial"/>
          <w:b w:val="0"/>
          <w:bCs w:val="0"/>
          <w:color w:val="auto"/>
          <w:sz w:val="24"/>
          <w:szCs w:val="24"/>
        </w:rPr>
        <w:t>, 2015, at which point they will be transitioned automatically</w:t>
      </w:r>
    </w:p>
    <w:p w:rsidR="00C708A2" w:rsidRPr="006B6397" w:rsidRDefault="004D1DAC" w:rsidP="00764470">
      <w:pPr>
        <w:pStyle w:val="Heading3"/>
        <w:numPr>
          <w:ilvl w:val="0"/>
          <w:numId w:val="7"/>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This will help ensure continuity of care for service prior authorizations, as it gives MassHealth as much time as possible to load prior authorizations into our systems. </w:t>
      </w:r>
    </w:p>
    <w:p w:rsidR="00C708A2" w:rsidRPr="006B6397" w:rsidRDefault="00C708A2" w:rsidP="006B6397">
      <w:pPr>
        <w:pStyle w:val="Heading3"/>
        <w:ind w:left="0" w:firstLine="0"/>
        <w:rPr>
          <w:rFonts w:asciiTheme="minorHAnsi" w:hAnsiTheme="minorHAnsi" w:cs="Arial"/>
          <w:b w:val="0"/>
          <w:bCs w:val="0"/>
          <w:color w:val="auto"/>
          <w:sz w:val="24"/>
          <w:szCs w:val="24"/>
        </w:rPr>
      </w:pPr>
    </w:p>
    <w:p w:rsidR="00C708A2" w:rsidRPr="006B6397" w:rsidRDefault="006B6397">
      <w:pPr>
        <w:pStyle w:val="Heading2"/>
        <w:ind w:left="540" w:hanging="540"/>
        <w:rPr>
          <w:rFonts w:asciiTheme="minorHAnsi" w:hAnsiTheme="minorHAnsi" w:cs="Arial"/>
          <w:color w:val="auto"/>
          <w:sz w:val="24"/>
          <w:szCs w:val="24"/>
        </w:rPr>
      </w:pPr>
      <w:r w:rsidRPr="006B6397">
        <w:rPr>
          <w:rFonts w:asciiTheme="minorHAnsi" w:hAnsiTheme="minorHAnsi" w:cs="Arial"/>
          <w:color w:val="auto"/>
          <w:sz w:val="24"/>
          <w:szCs w:val="24"/>
        </w:rPr>
        <w:t xml:space="preserve">Slide 6: </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Continuity for FTC Members’ Prior Authorizations</w:t>
      </w:r>
    </w:p>
    <w:p w:rsidR="00C708A2" w:rsidRPr="006B6397" w:rsidRDefault="004D1DAC" w:rsidP="006B6397">
      <w:pPr>
        <w:pStyle w:val="Heading2"/>
        <w:numPr>
          <w:ilvl w:val="0"/>
          <w:numId w:val="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MassHealth Services</w:t>
      </w:r>
    </w:p>
    <w:p w:rsidR="00C708A2" w:rsidRPr="006B6397" w:rsidRDefault="004D1DAC" w:rsidP="00764470">
      <w:pPr>
        <w:pStyle w:val="Heading3"/>
        <w:numPr>
          <w:ilvl w:val="0"/>
          <w:numId w:val="8"/>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MassHealth will honor service authorizations from Fallon Total Care for at least 90 </w:t>
      </w:r>
      <w:r w:rsidRPr="006B6397">
        <w:rPr>
          <w:rFonts w:asciiTheme="minorHAnsi" w:hAnsiTheme="minorHAnsi" w:cs="Arial"/>
          <w:b w:val="0"/>
          <w:bCs w:val="0"/>
          <w:color w:val="auto"/>
          <w:sz w:val="24"/>
          <w:szCs w:val="24"/>
        </w:rPr>
        <w:lastRenderedPageBreak/>
        <w:t xml:space="preserve">days from October 1, 2015. (MassHealth services are mostly long-term services and supports and transportation.) </w:t>
      </w:r>
    </w:p>
    <w:p w:rsidR="00C708A2" w:rsidRPr="006B6397" w:rsidRDefault="004D1DAC" w:rsidP="00764470">
      <w:pPr>
        <w:pStyle w:val="Heading3"/>
        <w:numPr>
          <w:ilvl w:val="0"/>
          <w:numId w:val="8"/>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Certain authorizations will remain in place for at least 6 months from October 1, 2015.  They are:</w:t>
      </w:r>
    </w:p>
    <w:p w:rsidR="00C708A2" w:rsidRPr="006B6397" w:rsidRDefault="004D1DAC" w:rsidP="00764470">
      <w:pPr>
        <w:pStyle w:val="Heading4"/>
        <w:numPr>
          <w:ilvl w:val="0"/>
          <w:numId w:val="9"/>
        </w:numPr>
        <w:ind w:left="180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Personal Care Attendant services (PCA)</w:t>
      </w:r>
    </w:p>
    <w:p w:rsidR="00C708A2" w:rsidRPr="006B6397" w:rsidRDefault="004D1DAC" w:rsidP="00764470">
      <w:pPr>
        <w:pStyle w:val="Heading4"/>
        <w:numPr>
          <w:ilvl w:val="0"/>
          <w:numId w:val="9"/>
        </w:numPr>
        <w:ind w:left="180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Durable medical equipment (DME)</w:t>
      </w:r>
    </w:p>
    <w:p w:rsidR="00C708A2" w:rsidRPr="006B6397" w:rsidRDefault="004D1DAC" w:rsidP="00764470">
      <w:pPr>
        <w:pStyle w:val="Heading4"/>
        <w:numPr>
          <w:ilvl w:val="0"/>
          <w:numId w:val="9"/>
        </w:numPr>
        <w:ind w:left="180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Oxygen and respiratory therapy equipment </w:t>
      </w:r>
    </w:p>
    <w:p w:rsidR="00C708A2" w:rsidRPr="006B6397" w:rsidRDefault="004D1DAC" w:rsidP="00764470">
      <w:pPr>
        <w:pStyle w:val="Heading4"/>
        <w:numPr>
          <w:ilvl w:val="0"/>
          <w:numId w:val="9"/>
        </w:numPr>
        <w:ind w:left="180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Renal dialysis services</w:t>
      </w:r>
    </w:p>
    <w:p w:rsidR="00C708A2" w:rsidRPr="006B6397" w:rsidRDefault="00C708A2">
      <w:pPr>
        <w:pStyle w:val="Heading4"/>
        <w:ind w:left="1440" w:firstLine="0"/>
        <w:rPr>
          <w:rFonts w:asciiTheme="minorHAnsi" w:hAnsiTheme="minorHAnsi" w:cs="Arial"/>
          <w:b w:val="0"/>
          <w:bCs w:val="0"/>
          <w:color w:val="auto"/>
          <w:sz w:val="24"/>
          <w:szCs w:val="24"/>
        </w:rPr>
      </w:pPr>
    </w:p>
    <w:p w:rsidR="00C708A2" w:rsidRPr="006B6397" w:rsidRDefault="004D1DAC" w:rsidP="006B6397">
      <w:pPr>
        <w:pStyle w:val="Heading2"/>
        <w:numPr>
          <w:ilvl w:val="0"/>
          <w:numId w:val="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Medicare Services</w:t>
      </w:r>
    </w:p>
    <w:p w:rsidR="00C708A2" w:rsidRPr="006B6397" w:rsidRDefault="004D1DAC" w:rsidP="00764470">
      <w:pPr>
        <w:pStyle w:val="Heading3"/>
        <w:numPr>
          <w:ilvl w:val="0"/>
          <w:numId w:val="8"/>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Members may need to work with their health care provider to get authorization for certain health care services covered by Medicare (generally, inpatient/outpatient hospitals and doctor visits)</w:t>
      </w:r>
    </w:p>
    <w:p w:rsidR="00C708A2" w:rsidRPr="006B6397" w:rsidRDefault="00C708A2">
      <w:pPr>
        <w:pStyle w:val="Heading3"/>
        <w:ind w:left="720" w:firstLine="0"/>
        <w:rPr>
          <w:rFonts w:asciiTheme="minorHAnsi" w:hAnsiTheme="minorHAnsi" w:cs="Arial"/>
          <w:b w:val="0"/>
          <w:bCs w:val="0"/>
          <w:color w:val="auto"/>
          <w:sz w:val="24"/>
          <w:szCs w:val="24"/>
        </w:rPr>
      </w:pPr>
    </w:p>
    <w:p w:rsidR="00C708A2" w:rsidRPr="006B6397" w:rsidRDefault="004D1DAC" w:rsidP="00764470">
      <w:pPr>
        <w:pStyle w:val="Heading3"/>
        <w:numPr>
          <w:ilvl w:val="0"/>
          <w:numId w:val="8"/>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Medicare Part D</w:t>
      </w:r>
    </w:p>
    <w:p w:rsidR="00C708A2" w:rsidRPr="006B6397" w:rsidRDefault="004D1DAC" w:rsidP="00764470">
      <w:pPr>
        <w:pStyle w:val="Heading4"/>
        <w:numPr>
          <w:ilvl w:val="0"/>
          <w:numId w:val="9"/>
        </w:numPr>
        <w:ind w:left="180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Humana (and any Medicare Part D plan) will provide access to at least one 30-day supply of the Part D drugs members currently take during their first 90 days in the plan, if, for example:</w:t>
      </w:r>
    </w:p>
    <w:p w:rsidR="00C708A2" w:rsidRPr="006B6397" w:rsidRDefault="004D1DAC" w:rsidP="00764470">
      <w:pPr>
        <w:pStyle w:val="Heading5"/>
        <w:numPr>
          <w:ilvl w:val="0"/>
          <w:numId w:val="8"/>
        </w:numPr>
        <w:ind w:left="252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the drugs are not on the plan’s formulary, </w:t>
      </w:r>
    </w:p>
    <w:p w:rsidR="00C708A2" w:rsidRPr="006B6397" w:rsidRDefault="004D1DAC" w:rsidP="00764470">
      <w:pPr>
        <w:pStyle w:val="Heading5"/>
        <w:numPr>
          <w:ilvl w:val="0"/>
          <w:numId w:val="8"/>
        </w:numPr>
        <w:ind w:left="252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the plan’s rules do not let the member get the amount ordered by their doctor, or </w:t>
      </w:r>
    </w:p>
    <w:p w:rsidR="00C708A2" w:rsidRPr="006B6397" w:rsidRDefault="004D1DAC" w:rsidP="00764470">
      <w:pPr>
        <w:pStyle w:val="Heading5"/>
        <w:numPr>
          <w:ilvl w:val="0"/>
          <w:numId w:val="8"/>
        </w:numPr>
        <w:ind w:left="252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if the drug requires prior approval by the plan</w:t>
      </w:r>
    </w:p>
    <w:p w:rsidR="006B6397" w:rsidRDefault="006B6397">
      <w:pPr>
        <w:pStyle w:val="Heading1"/>
        <w:ind w:left="0" w:firstLine="0"/>
        <w:rPr>
          <w:rFonts w:asciiTheme="minorHAnsi" w:hAnsiTheme="minorHAnsi" w:cs="Arial"/>
          <w:color w:val="auto"/>
          <w:sz w:val="24"/>
          <w:szCs w:val="24"/>
        </w:rPr>
      </w:pPr>
    </w:p>
    <w:p w:rsidR="006B6397" w:rsidRDefault="006B6397">
      <w:pPr>
        <w:pStyle w:val="Heading1"/>
        <w:ind w:left="0" w:firstLine="0"/>
        <w:rPr>
          <w:rFonts w:asciiTheme="minorHAnsi" w:hAnsiTheme="minorHAnsi" w:cs="Arial"/>
          <w:color w:val="auto"/>
          <w:sz w:val="24"/>
          <w:szCs w:val="24"/>
        </w:rPr>
      </w:pPr>
      <w:r>
        <w:rPr>
          <w:rFonts w:asciiTheme="minorHAnsi" w:hAnsiTheme="minorHAnsi" w:cs="Arial"/>
          <w:color w:val="auto"/>
          <w:sz w:val="24"/>
          <w:szCs w:val="24"/>
        </w:rPr>
        <w:t>Slide 7:</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Help Is Available for FTC Members</w:t>
      </w:r>
    </w:p>
    <w:p w:rsidR="00C708A2" w:rsidRPr="006B6397" w:rsidRDefault="004D1DAC">
      <w:pPr>
        <w:pStyle w:val="Heading2"/>
        <w:ind w:left="0" w:firstLine="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These resources are also posted on the One Care website and were included in FTC’s July 28</w:t>
      </w:r>
      <w:r w:rsidRPr="006B6397">
        <w:rPr>
          <w:rFonts w:asciiTheme="minorHAnsi" w:hAnsiTheme="minorHAnsi" w:cs="Arial"/>
          <w:b w:val="0"/>
          <w:bCs w:val="0"/>
          <w:color w:val="auto"/>
          <w:sz w:val="24"/>
          <w:szCs w:val="24"/>
          <w:vertAlign w:val="superscript"/>
        </w:rPr>
        <w:t>th</w:t>
      </w:r>
      <w:r w:rsidRPr="006B6397">
        <w:rPr>
          <w:rFonts w:asciiTheme="minorHAnsi" w:hAnsiTheme="minorHAnsi" w:cs="Arial"/>
          <w:b w:val="0"/>
          <w:bCs w:val="0"/>
          <w:color w:val="auto"/>
          <w:sz w:val="24"/>
          <w:szCs w:val="24"/>
        </w:rPr>
        <w:t xml:space="preserve"> mailing:</w:t>
      </w:r>
    </w:p>
    <w:p w:rsidR="00C708A2" w:rsidRPr="006B6397" w:rsidRDefault="00C708A2">
      <w:pPr>
        <w:pStyle w:val="Heading2"/>
        <w:ind w:left="0" w:firstLine="0"/>
        <w:rPr>
          <w:rFonts w:asciiTheme="minorHAnsi" w:hAnsiTheme="minorHAnsi" w:cs="Arial"/>
          <w:b w:val="0"/>
          <w:bCs w:val="0"/>
          <w:color w:val="auto"/>
          <w:sz w:val="24"/>
          <w:szCs w:val="24"/>
        </w:rPr>
      </w:pPr>
    </w:p>
    <w:p w:rsidR="00C708A2" w:rsidRPr="006B6397" w:rsidRDefault="004D1DAC" w:rsidP="006B6397">
      <w:pPr>
        <w:pStyle w:val="Heading2"/>
        <w:numPr>
          <w:ilvl w:val="0"/>
          <w:numId w:val="10"/>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For questions about health care choices:</w:t>
      </w:r>
    </w:p>
    <w:p w:rsidR="00C708A2" w:rsidRPr="006B6397" w:rsidRDefault="004D1DAC" w:rsidP="00764470">
      <w:pPr>
        <w:pStyle w:val="Heading3"/>
        <w:numPr>
          <w:ilvl w:val="0"/>
          <w:numId w:val="11"/>
        </w:numPr>
        <w:ind w:left="1180" w:hanging="460"/>
        <w:rPr>
          <w:rFonts w:asciiTheme="minorHAnsi" w:hAnsiTheme="minorHAnsi" w:cs="Arial"/>
          <w:b w:val="0"/>
          <w:bCs w:val="0"/>
          <w:color w:val="auto"/>
          <w:sz w:val="24"/>
          <w:szCs w:val="24"/>
        </w:rPr>
      </w:pPr>
      <w:r w:rsidRPr="006B6397">
        <w:rPr>
          <w:rFonts w:asciiTheme="minorHAnsi" w:hAnsiTheme="minorHAnsi" w:cs="Arial"/>
          <w:color w:val="auto"/>
          <w:sz w:val="24"/>
          <w:szCs w:val="24"/>
        </w:rPr>
        <w:t>MassHealth Customer Service Center</w:t>
      </w:r>
      <w:r w:rsidRPr="006B6397">
        <w:rPr>
          <w:rFonts w:asciiTheme="minorHAnsi" w:hAnsiTheme="minorHAnsi" w:cs="Arial"/>
          <w:b w:val="0"/>
          <w:bCs w:val="0"/>
          <w:color w:val="auto"/>
          <w:sz w:val="24"/>
          <w:szCs w:val="24"/>
        </w:rPr>
        <w:br/>
        <w:t>8:00am to 5:00pm, Monday - Friday</w:t>
      </w:r>
      <w:r w:rsidRPr="006B6397">
        <w:rPr>
          <w:rFonts w:asciiTheme="minorHAnsi" w:hAnsiTheme="minorHAnsi" w:cs="Arial"/>
          <w:b w:val="0"/>
          <w:bCs w:val="0"/>
          <w:color w:val="auto"/>
          <w:sz w:val="24"/>
          <w:szCs w:val="24"/>
        </w:rPr>
        <w:br/>
        <w:t>Phone: 1-800-841-2900 or TTY 800-497-4648</w:t>
      </w:r>
    </w:p>
    <w:p w:rsidR="00C708A2" w:rsidRPr="006B6397" w:rsidRDefault="00C708A2">
      <w:pPr>
        <w:pStyle w:val="Heading3"/>
        <w:ind w:left="1180" w:hanging="460"/>
        <w:rPr>
          <w:rFonts w:asciiTheme="minorHAnsi" w:hAnsiTheme="minorHAnsi" w:cs="Arial"/>
          <w:b w:val="0"/>
          <w:bCs w:val="0"/>
          <w:color w:val="auto"/>
          <w:sz w:val="24"/>
          <w:szCs w:val="24"/>
        </w:rPr>
      </w:pPr>
    </w:p>
    <w:p w:rsidR="00C708A2" w:rsidRPr="006B6397" w:rsidRDefault="004D1DAC" w:rsidP="00764470">
      <w:pPr>
        <w:pStyle w:val="Heading3"/>
        <w:numPr>
          <w:ilvl w:val="0"/>
          <w:numId w:val="11"/>
        </w:numPr>
        <w:ind w:left="1180" w:hanging="460"/>
        <w:rPr>
          <w:rFonts w:asciiTheme="minorHAnsi" w:hAnsiTheme="minorHAnsi" w:cs="Arial"/>
          <w:b w:val="0"/>
          <w:bCs w:val="0"/>
          <w:color w:val="auto"/>
          <w:sz w:val="24"/>
          <w:szCs w:val="24"/>
        </w:rPr>
      </w:pPr>
      <w:r w:rsidRPr="006B6397">
        <w:rPr>
          <w:rFonts w:asciiTheme="minorHAnsi" w:hAnsiTheme="minorHAnsi" w:cs="Arial"/>
          <w:color w:val="auto"/>
          <w:sz w:val="24"/>
          <w:szCs w:val="24"/>
        </w:rPr>
        <w:t>One Care Ombudsman</w:t>
      </w:r>
      <w:r w:rsidRPr="006B6397">
        <w:rPr>
          <w:rFonts w:asciiTheme="minorHAnsi" w:hAnsiTheme="minorHAnsi" w:cs="Arial"/>
          <w:b w:val="0"/>
          <w:bCs w:val="0"/>
          <w:color w:val="auto"/>
          <w:sz w:val="24"/>
          <w:szCs w:val="24"/>
        </w:rPr>
        <w:br/>
        <w:t>9:00am to 5:00pm, Monday - Friday</w:t>
      </w:r>
      <w:r w:rsidRPr="006B6397">
        <w:rPr>
          <w:rFonts w:asciiTheme="minorHAnsi" w:hAnsiTheme="minorHAnsi" w:cs="Arial"/>
          <w:b w:val="0"/>
          <w:bCs w:val="0"/>
          <w:color w:val="auto"/>
          <w:sz w:val="24"/>
          <w:szCs w:val="24"/>
        </w:rPr>
        <w:br/>
        <w:t>Phone: 1-855-781-9898 (Toll Free) or MassRelay: dial 711</w:t>
      </w:r>
    </w:p>
    <w:p w:rsidR="00C708A2" w:rsidRPr="006B6397" w:rsidRDefault="00C708A2">
      <w:pPr>
        <w:pStyle w:val="Heading3"/>
        <w:ind w:left="1180" w:hanging="460"/>
        <w:rPr>
          <w:rFonts w:asciiTheme="minorHAnsi" w:hAnsiTheme="minorHAnsi" w:cs="Arial"/>
          <w:b w:val="0"/>
          <w:bCs w:val="0"/>
          <w:color w:val="auto"/>
          <w:sz w:val="24"/>
          <w:szCs w:val="24"/>
        </w:rPr>
      </w:pPr>
    </w:p>
    <w:p w:rsidR="00C708A2" w:rsidRPr="006B6397" w:rsidRDefault="004D1DAC" w:rsidP="00764470">
      <w:pPr>
        <w:pStyle w:val="Heading3"/>
        <w:numPr>
          <w:ilvl w:val="0"/>
          <w:numId w:val="11"/>
        </w:numPr>
        <w:ind w:left="1180" w:hanging="460"/>
        <w:rPr>
          <w:rFonts w:asciiTheme="minorHAnsi" w:hAnsiTheme="minorHAnsi" w:cs="Arial"/>
          <w:b w:val="0"/>
          <w:bCs w:val="0"/>
          <w:color w:val="auto"/>
          <w:sz w:val="24"/>
          <w:szCs w:val="24"/>
        </w:rPr>
      </w:pPr>
      <w:r w:rsidRPr="006B6397">
        <w:rPr>
          <w:rFonts w:asciiTheme="minorHAnsi" w:hAnsiTheme="minorHAnsi" w:cs="Arial"/>
          <w:color w:val="auto"/>
          <w:sz w:val="24"/>
          <w:szCs w:val="24"/>
        </w:rPr>
        <w:t>SHINE (Serving the Health Insurance Needs of Everyone)</w:t>
      </w:r>
      <w:r w:rsidRPr="006B6397">
        <w:rPr>
          <w:rFonts w:asciiTheme="minorHAnsi" w:hAnsiTheme="minorHAnsi" w:cs="Arial"/>
          <w:b w:val="0"/>
          <w:bCs w:val="0"/>
          <w:color w:val="auto"/>
          <w:sz w:val="24"/>
          <w:szCs w:val="24"/>
        </w:rPr>
        <w:br/>
        <w:t>9:00am to 5:00pm, Monday - Friday</w:t>
      </w:r>
      <w:r w:rsidRPr="006B6397">
        <w:rPr>
          <w:rFonts w:asciiTheme="minorHAnsi" w:hAnsiTheme="minorHAnsi" w:cs="Arial"/>
          <w:b w:val="0"/>
          <w:bCs w:val="0"/>
          <w:color w:val="auto"/>
          <w:sz w:val="24"/>
          <w:szCs w:val="24"/>
        </w:rPr>
        <w:br/>
        <w:t>Phone: 1-800-243-4636 or TTY: 1-800-872-0166</w:t>
      </w:r>
    </w:p>
    <w:p w:rsidR="00C708A2" w:rsidRPr="006B6397" w:rsidRDefault="00C708A2">
      <w:pPr>
        <w:pStyle w:val="Heading3"/>
        <w:ind w:left="1180" w:hanging="460"/>
        <w:rPr>
          <w:rFonts w:asciiTheme="minorHAnsi" w:hAnsiTheme="minorHAnsi" w:cs="Arial"/>
          <w:b w:val="0"/>
          <w:bCs w:val="0"/>
          <w:color w:val="auto"/>
          <w:sz w:val="24"/>
          <w:szCs w:val="24"/>
        </w:rPr>
      </w:pPr>
    </w:p>
    <w:p w:rsidR="00C708A2" w:rsidRPr="006B6397" w:rsidRDefault="004D1DAC" w:rsidP="00764470">
      <w:pPr>
        <w:pStyle w:val="Heading3"/>
        <w:numPr>
          <w:ilvl w:val="0"/>
          <w:numId w:val="11"/>
        </w:numPr>
        <w:ind w:left="1180" w:hanging="460"/>
        <w:rPr>
          <w:rFonts w:asciiTheme="minorHAnsi" w:hAnsiTheme="minorHAnsi" w:cs="Arial"/>
          <w:b w:val="0"/>
          <w:bCs w:val="0"/>
          <w:color w:val="auto"/>
          <w:sz w:val="24"/>
          <w:szCs w:val="24"/>
        </w:rPr>
      </w:pPr>
      <w:r w:rsidRPr="006B6397">
        <w:rPr>
          <w:rFonts w:asciiTheme="minorHAnsi" w:hAnsiTheme="minorHAnsi" w:cs="Arial"/>
          <w:color w:val="auto"/>
          <w:sz w:val="24"/>
          <w:szCs w:val="24"/>
        </w:rPr>
        <w:t>1-800-Medicare</w:t>
      </w:r>
      <w:r w:rsidRPr="006B6397">
        <w:rPr>
          <w:rFonts w:asciiTheme="minorHAnsi" w:hAnsiTheme="minorHAnsi" w:cs="Arial"/>
          <w:b w:val="0"/>
          <w:bCs w:val="0"/>
          <w:color w:val="auto"/>
          <w:sz w:val="24"/>
          <w:szCs w:val="24"/>
        </w:rPr>
        <w:br/>
      </w:r>
      <w:r w:rsidRPr="006B6397">
        <w:rPr>
          <w:rFonts w:asciiTheme="minorHAnsi" w:hAnsiTheme="minorHAnsi" w:cs="Arial"/>
          <w:b w:val="0"/>
          <w:bCs w:val="0"/>
          <w:color w:val="auto"/>
          <w:sz w:val="24"/>
          <w:szCs w:val="24"/>
        </w:rPr>
        <w:lastRenderedPageBreak/>
        <w:t>24 hours a day, 7 days a week</w:t>
      </w:r>
      <w:r w:rsidRPr="006B6397">
        <w:rPr>
          <w:rFonts w:asciiTheme="minorHAnsi" w:hAnsiTheme="minorHAnsi" w:cs="Arial"/>
          <w:b w:val="0"/>
          <w:bCs w:val="0"/>
          <w:color w:val="auto"/>
          <w:sz w:val="24"/>
          <w:szCs w:val="24"/>
        </w:rPr>
        <w:br/>
        <w:t>1-800-Medicare (Phone: 1-800-633-4227) or TTY: 1-800-486-2048</w:t>
      </w:r>
    </w:p>
    <w:p w:rsidR="00C708A2" w:rsidRPr="006B6397" w:rsidRDefault="00C708A2">
      <w:pPr>
        <w:pStyle w:val="Heading3"/>
        <w:ind w:left="1180" w:hanging="460"/>
        <w:rPr>
          <w:rFonts w:asciiTheme="minorHAnsi" w:hAnsiTheme="minorHAnsi" w:cs="Arial"/>
          <w:b w:val="0"/>
          <w:bCs w:val="0"/>
          <w:color w:val="auto"/>
          <w:sz w:val="24"/>
          <w:szCs w:val="24"/>
        </w:rPr>
      </w:pPr>
    </w:p>
    <w:p w:rsidR="00C708A2" w:rsidRPr="006B6397" w:rsidRDefault="004D1DAC" w:rsidP="006B6397">
      <w:pPr>
        <w:pStyle w:val="Heading2"/>
        <w:numPr>
          <w:ilvl w:val="0"/>
          <w:numId w:val="10"/>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For FTC members with questions about upcoming medical procedures, equipment orders, or other arrangements for services:</w:t>
      </w:r>
    </w:p>
    <w:p w:rsidR="00C708A2" w:rsidRPr="006B6397" w:rsidRDefault="004D1DAC" w:rsidP="00764470">
      <w:pPr>
        <w:pStyle w:val="Heading3"/>
        <w:numPr>
          <w:ilvl w:val="0"/>
          <w:numId w:val="11"/>
        </w:numPr>
        <w:ind w:left="1180" w:hanging="460"/>
        <w:rPr>
          <w:rFonts w:asciiTheme="minorHAnsi" w:hAnsiTheme="minorHAnsi" w:cs="Arial"/>
          <w:b w:val="0"/>
          <w:bCs w:val="0"/>
          <w:color w:val="auto"/>
          <w:sz w:val="24"/>
          <w:szCs w:val="24"/>
        </w:rPr>
      </w:pPr>
      <w:r w:rsidRPr="006B6397">
        <w:rPr>
          <w:rFonts w:asciiTheme="minorHAnsi" w:hAnsiTheme="minorHAnsi" w:cs="Arial"/>
          <w:color w:val="auto"/>
          <w:sz w:val="24"/>
          <w:szCs w:val="24"/>
        </w:rPr>
        <w:t>Fallon Total Care Navigators </w:t>
      </w:r>
      <w:r w:rsidRPr="006B6397">
        <w:rPr>
          <w:rFonts w:asciiTheme="minorHAnsi" w:hAnsiTheme="minorHAnsi" w:cs="Arial"/>
          <w:b w:val="0"/>
          <w:bCs w:val="0"/>
          <w:color w:val="auto"/>
          <w:sz w:val="24"/>
          <w:szCs w:val="24"/>
        </w:rPr>
        <w:t>         </w:t>
      </w:r>
      <w:r w:rsidRPr="006B6397">
        <w:rPr>
          <w:rFonts w:asciiTheme="minorHAnsi" w:hAnsiTheme="minorHAnsi" w:cs="Arial"/>
          <w:b w:val="0"/>
          <w:bCs w:val="0"/>
          <w:color w:val="auto"/>
          <w:sz w:val="24"/>
          <w:szCs w:val="24"/>
        </w:rPr>
        <w:br/>
        <w:t>8:00am to 8:00pm, Monday - Friday</w:t>
      </w:r>
      <w:r w:rsidRPr="006B6397">
        <w:rPr>
          <w:rFonts w:asciiTheme="minorHAnsi" w:hAnsiTheme="minorHAnsi" w:cs="Arial"/>
          <w:b w:val="0"/>
          <w:bCs w:val="0"/>
          <w:color w:val="auto"/>
          <w:sz w:val="24"/>
          <w:szCs w:val="24"/>
        </w:rPr>
        <w:br/>
        <w:t>Phone: 1-866-477-1668</w:t>
      </w:r>
    </w:p>
    <w:p w:rsidR="00C708A2" w:rsidRPr="006B6397" w:rsidRDefault="00C708A2">
      <w:pPr>
        <w:pStyle w:val="Heading2"/>
        <w:ind w:left="540" w:hanging="540"/>
        <w:rPr>
          <w:rFonts w:asciiTheme="minorHAnsi" w:hAnsiTheme="minorHAnsi" w:cs="Arial"/>
          <w:color w:val="auto"/>
          <w:sz w:val="24"/>
          <w:szCs w:val="24"/>
          <w:u w:val="single"/>
        </w:rPr>
      </w:pPr>
    </w:p>
    <w:p w:rsidR="00C708A2" w:rsidRPr="006B6397" w:rsidRDefault="00C708A2">
      <w:pPr>
        <w:pStyle w:val="Heading2"/>
        <w:ind w:left="540" w:hanging="540"/>
        <w:rPr>
          <w:rFonts w:asciiTheme="minorHAnsi" w:hAnsiTheme="minorHAnsi" w:cs="Arial"/>
          <w:b w:val="0"/>
          <w:bCs w:val="0"/>
          <w:color w:val="auto"/>
          <w:sz w:val="24"/>
          <w:szCs w:val="24"/>
        </w:rPr>
      </w:pPr>
    </w:p>
    <w:p w:rsidR="006B6397" w:rsidRDefault="006B6397">
      <w:pPr>
        <w:pStyle w:val="Heading1"/>
        <w:ind w:left="0" w:firstLine="0"/>
        <w:rPr>
          <w:rFonts w:asciiTheme="minorHAnsi" w:hAnsiTheme="minorHAnsi" w:cs="Arial"/>
          <w:color w:val="auto"/>
          <w:sz w:val="24"/>
          <w:szCs w:val="24"/>
        </w:rPr>
      </w:pPr>
      <w:r>
        <w:rPr>
          <w:rFonts w:asciiTheme="minorHAnsi" w:hAnsiTheme="minorHAnsi" w:cs="Arial"/>
          <w:color w:val="auto"/>
          <w:sz w:val="24"/>
          <w:szCs w:val="24"/>
        </w:rPr>
        <w:t>Slide 8:</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Next Steps for FTC Member Transitions</w:t>
      </w:r>
    </w:p>
    <w:p w:rsidR="00C708A2" w:rsidRPr="006B6397" w:rsidRDefault="004D1DAC" w:rsidP="006B6397">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MassHealth is working with FTC, the Implementation Council, Disability Advocates Advancing our Healthcare Rights (DAAHR), the One Care Ombudsman (OCO), and SHINE to:</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review drafts of member materials,</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discuss continuity of care plans,</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develop member outreach strategies, and to</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identify and plan for high-risk members</w:t>
      </w:r>
    </w:p>
    <w:p w:rsidR="00C708A2" w:rsidRPr="006B6397" w:rsidRDefault="00C708A2">
      <w:pPr>
        <w:pStyle w:val="Heading3"/>
        <w:ind w:left="1180" w:hanging="460"/>
        <w:rPr>
          <w:rFonts w:asciiTheme="minorHAnsi" w:hAnsiTheme="minorHAnsi" w:cs="Arial"/>
          <w:b w:val="0"/>
          <w:bCs w:val="0"/>
          <w:color w:val="auto"/>
          <w:sz w:val="24"/>
          <w:szCs w:val="24"/>
        </w:rPr>
      </w:pPr>
    </w:p>
    <w:p w:rsidR="00C708A2" w:rsidRPr="006B6397" w:rsidRDefault="004D1DAC" w:rsidP="006B6397">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MassHealth is working with the Executive Office of Elder Affairs, the Department of Mental Health (DMH), and the Department of Developmental Services (DDS) to identify services available from these agencies to ensure a smooth transition for high risk members, especially those in active treatment and/or with complex LTSS/BH needs</w:t>
      </w:r>
    </w:p>
    <w:p w:rsidR="00C708A2" w:rsidRPr="006B6397" w:rsidRDefault="00C708A2">
      <w:pPr>
        <w:pStyle w:val="Heading2"/>
        <w:ind w:left="540" w:hanging="540"/>
        <w:rPr>
          <w:rFonts w:asciiTheme="minorHAnsi" w:hAnsiTheme="minorHAnsi" w:cs="Arial"/>
          <w:b w:val="0"/>
          <w:bCs w:val="0"/>
          <w:color w:val="auto"/>
          <w:sz w:val="24"/>
          <w:szCs w:val="24"/>
        </w:rPr>
      </w:pPr>
    </w:p>
    <w:p w:rsidR="00C708A2" w:rsidRPr="006B6397" w:rsidRDefault="006B6397" w:rsidP="006B6397">
      <w:pPr>
        <w:pStyle w:val="Heading2"/>
        <w:ind w:left="0" w:firstLine="0"/>
        <w:rPr>
          <w:rFonts w:asciiTheme="minorHAnsi" w:hAnsiTheme="minorHAnsi" w:cs="Arial"/>
          <w:bCs w:val="0"/>
          <w:color w:val="auto"/>
          <w:sz w:val="24"/>
          <w:szCs w:val="24"/>
        </w:rPr>
      </w:pPr>
      <w:r w:rsidRPr="006B6397">
        <w:rPr>
          <w:rFonts w:asciiTheme="minorHAnsi" w:hAnsiTheme="minorHAnsi" w:cs="Arial"/>
          <w:bCs w:val="0"/>
          <w:color w:val="auto"/>
          <w:sz w:val="24"/>
          <w:szCs w:val="24"/>
        </w:rPr>
        <w:t>Slide 9:</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Commonwealth Care Alliance (CCA) One Care Enrollment Status</w:t>
      </w:r>
    </w:p>
    <w:p w:rsidR="00C708A2" w:rsidRPr="006B6397" w:rsidRDefault="004D1DAC" w:rsidP="006B6397">
      <w:pPr>
        <w:pStyle w:val="Heading2"/>
        <w:numPr>
          <w:ilvl w:val="0"/>
          <w:numId w:val="10"/>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As of August 7, 2015, Commonwealth Care Alliance (CCA) is at capacity and is temporarily not accepting enrollment of new One Care members. </w:t>
      </w:r>
    </w:p>
    <w:p w:rsidR="00C708A2" w:rsidRPr="006B6397" w:rsidRDefault="00C708A2">
      <w:pPr>
        <w:pStyle w:val="Heading2"/>
        <w:ind w:left="540" w:hanging="540"/>
        <w:rPr>
          <w:rFonts w:asciiTheme="minorHAnsi" w:hAnsiTheme="minorHAnsi" w:cs="Arial"/>
          <w:b w:val="0"/>
          <w:bCs w:val="0"/>
          <w:i/>
          <w:iCs/>
          <w:color w:val="auto"/>
          <w:sz w:val="24"/>
          <w:szCs w:val="24"/>
        </w:rPr>
      </w:pPr>
    </w:p>
    <w:p w:rsidR="00C708A2" w:rsidRPr="006B6397" w:rsidRDefault="004D1DAC" w:rsidP="006B6397">
      <w:pPr>
        <w:pStyle w:val="Heading2"/>
        <w:numPr>
          <w:ilvl w:val="0"/>
          <w:numId w:val="10"/>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This change DOES NOT affect current CCA members or One Care members who had previously been enrolled in CCA and who wish to re-enroll, as long as they reside in a county served by the plan. </w:t>
      </w:r>
    </w:p>
    <w:p w:rsidR="00C708A2" w:rsidRPr="006B6397" w:rsidRDefault="00C708A2">
      <w:pPr>
        <w:pStyle w:val="Heading2"/>
        <w:ind w:left="540" w:hanging="540"/>
        <w:rPr>
          <w:rFonts w:asciiTheme="minorHAnsi" w:hAnsiTheme="minorHAnsi" w:cs="Arial"/>
          <w:b w:val="0"/>
          <w:bCs w:val="0"/>
          <w:color w:val="auto"/>
          <w:sz w:val="24"/>
          <w:szCs w:val="24"/>
        </w:rPr>
      </w:pPr>
    </w:p>
    <w:p w:rsidR="00C708A2" w:rsidRPr="006B6397" w:rsidRDefault="004D1DAC" w:rsidP="006B6397">
      <w:pPr>
        <w:pStyle w:val="Heading2"/>
        <w:numPr>
          <w:ilvl w:val="0"/>
          <w:numId w:val="10"/>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Current members and new enrollees who wish to enroll in CCA’s Senior Care Options (SCO) plan will not be affected by this change. </w:t>
      </w:r>
    </w:p>
    <w:p w:rsidR="00C708A2" w:rsidRPr="006B6397" w:rsidRDefault="00C708A2">
      <w:pPr>
        <w:pStyle w:val="Heading2"/>
        <w:ind w:left="540" w:hanging="540"/>
        <w:rPr>
          <w:rFonts w:asciiTheme="minorHAnsi" w:hAnsiTheme="minorHAnsi" w:cs="Arial"/>
          <w:b w:val="0"/>
          <w:bCs w:val="0"/>
          <w:color w:val="auto"/>
          <w:sz w:val="24"/>
          <w:szCs w:val="24"/>
        </w:rPr>
      </w:pPr>
    </w:p>
    <w:p w:rsidR="00C708A2" w:rsidRPr="006B6397" w:rsidRDefault="004D1DAC" w:rsidP="006B6397">
      <w:pPr>
        <w:pStyle w:val="Heading2"/>
        <w:numPr>
          <w:ilvl w:val="0"/>
          <w:numId w:val="10"/>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We encourage you to check the One Care website at </w:t>
      </w:r>
      <w:hyperlink r:id="rId8" w:history="1">
        <w:r w:rsidR="00DC4751" w:rsidRPr="00DC4751">
          <w:rPr>
            <w:rStyle w:val="Hyperlink"/>
            <w:rFonts w:asciiTheme="minorHAnsi" w:hAnsiTheme="minorHAnsi" w:cs="Arial"/>
            <w:b w:val="0"/>
            <w:bCs w:val="0"/>
            <w:sz w:val="24"/>
            <w:szCs w:val="24"/>
          </w:rPr>
          <w:t>http://www.mass.gov/masshealth/onecare</w:t>
        </w:r>
      </w:hyperlink>
      <w:r w:rsidR="00DC4751">
        <w:rPr>
          <w:rFonts w:asciiTheme="minorHAnsi" w:hAnsiTheme="minorHAnsi" w:cs="Arial"/>
          <w:b w:val="0"/>
          <w:bCs w:val="0"/>
          <w:color w:val="auto"/>
          <w:sz w:val="24"/>
          <w:szCs w:val="24"/>
        </w:rPr>
        <w:t xml:space="preserve"> </w:t>
      </w:r>
      <w:r w:rsidRPr="006B6397">
        <w:rPr>
          <w:rFonts w:asciiTheme="minorHAnsi" w:hAnsiTheme="minorHAnsi" w:cs="Arial"/>
          <w:b w:val="0"/>
          <w:bCs w:val="0"/>
          <w:color w:val="auto"/>
          <w:sz w:val="24"/>
          <w:szCs w:val="24"/>
        </w:rPr>
        <w:t xml:space="preserve">under the “One Care Plans” section for future updates on CCA’s availability as a One Care plan option. </w:t>
      </w:r>
    </w:p>
    <w:p w:rsidR="00C708A2" w:rsidRPr="006B6397" w:rsidRDefault="00C708A2">
      <w:pPr>
        <w:pStyle w:val="Heading2"/>
        <w:ind w:left="540" w:hanging="540"/>
        <w:rPr>
          <w:rFonts w:asciiTheme="minorHAnsi" w:hAnsiTheme="minorHAnsi" w:cs="Arial"/>
          <w:color w:val="auto"/>
          <w:sz w:val="24"/>
          <w:szCs w:val="24"/>
          <w:u w:val="single"/>
        </w:rPr>
      </w:pPr>
    </w:p>
    <w:p w:rsidR="00C708A2" w:rsidRPr="006B6397" w:rsidRDefault="00C708A2">
      <w:pPr>
        <w:pStyle w:val="Heading2"/>
        <w:ind w:left="540" w:hanging="540"/>
        <w:rPr>
          <w:rFonts w:asciiTheme="minorHAnsi" w:hAnsiTheme="minorHAnsi" w:cs="Arial"/>
          <w:b w:val="0"/>
          <w:bCs w:val="0"/>
          <w:color w:val="auto"/>
          <w:sz w:val="24"/>
          <w:szCs w:val="24"/>
        </w:rPr>
      </w:pPr>
    </w:p>
    <w:p w:rsidR="00DC4751"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br/>
      </w:r>
      <w:r w:rsidRPr="006B6397">
        <w:rPr>
          <w:rFonts w:asciiTheme="minorHAnsi" w:hAnsiTheme="minorHAnsi" w:cs="Arial"/>
          <w:color w:val="auto"/>
          <w:sz w:val="24"/>
          <w:szCs w:val="24"/>
        </w:rPr>
        <w:br/>
      </w:r>
      <w:r w:rsidR="00DC4751">
        <w:rPr>
          <w:rFonts w:asciiTheme="minorHAnsi" w:hAnsiTheme="minorHAnsi" w:cs="Arial"/>
          <w:color w:val="auto"/>
          <w:sz w:val="24"/>
          <w:szCs w:val="24"/>
        </w:rPr>
        <w:lastRenderedPageBreak/>
        <w:t>Slide 10:</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Long-Term Supports Coordinator Discussions</w:t>
      </w:r>
    </w:p>
    <w:p w:rsidR="00C708A2" w:rsidRPr="00DC4751" w:rsidRDefault="004D1DAC" w:rsidP="00DC4751">
      <w:pPr>
        <w:pStyle w:val="Heading2"/>
        <w:numPr>
          <w:ilvl w:val="0"/>
          <w:numId w:val="14"/>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MassHealth is convening meetings with Tufts and their contracted Community-Based Organizations (CBOs) to discuss the provision of the Long-Term Supports (LTS) Coordinators in the Tufts One Care plan.</w:t>
      </w: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The goal of these meetings is to address existing concerns with payment issues; provision of LTS-Cs; and to develop a plan to ensure mutual understanding and positive working relationships going forward. </w:t>
      </w:r>
    </w:p>
    <w:p w:rsidR="00DC4751" w:rsidRDefault="00DC4751">
      <w:pPr>
        <w:pStyle w:val="Heading1"/>
        <w:ind w:left="0" w:firstLine="0"/>
        <w:rPr>
          <w:rFonts w:asciiTheme="minorHAnsi" w:hAnsiTheme="minorHAnsi" w:cs="Arial"/>
          <w:color w:val="auto"/>
          <w:sz w:val="24"/>
          <w:szCs w:val="24"/>
        </w:rPr>
      </w:pPr>
    </w:p>
    <w:p w:rsidR="00DC4751" w:rsidRDefault="00DC4751">
      <w:pPr>
        <w:pStyle w:val="Heading1"/>
        <w:ind w:left="0" w:firstLine="0"/>
        <w:rPr>
          <w:rFonts w:asciiTheme="minorHAnsi" w:hAnsiTheme="minorHAnsi" w:cs="Arial"/>
          <w:color w:val="auto"/>
          <w:sz w:val="24"/>
          <w:szCs w:val="24"/>
        </w:rPr>
      </w:pPr>
      <w:r>
        <w:rPr>
          <w:rFonts w:asciiTheme="minorHAnsi" w:hAnsiTheme="minorHAnsi" w:cs="Arial"/>
          <w:color w:val="auto"/>
          <w:sz w:val="24"/>
          <w:szCs w:val="24"/>
        </w:rPr>
        <w:t>Slide 11:</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Tufts’ One Care Expansion Plans</w:t>
      </w: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We are working with Tufts on the possibility of them taking up to 500 members in Worcester County through the end of CY2015.</w:t>
      </w: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Tufts seeks to expand its service area to include Norfolk County and increase its One Care footprint in Suffolk County</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Expansion in these areas where Tufts has the opportunity to develop favorable provider contracts will help to offset the additional challenges of taking on new enrollees in Worcester County.</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We anticipate that this will involve passive enrollment of members in these counties, but we also welcome new ideas on increasing enrollment volume. </w:t>
      </w: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MassHealth is currently engaged with the Implementation Council on a fresh, “hybrid” approach to passive enrollment that would provide significantly more person to person opportunities to discuss One Care with potential enrollees in targeted communities.</w:t>
      </w: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Final planning target date is September 8</w:t>
      </w:r>
      <w:r w:rsidRPr="006B6397">
        <w:rPr>
          <w:rFonts w:asciiTheme="minorHAnsi" w:hAnsiTheme="minorHAnsi" w:cs="Arial"/>
          <w:b w:val="0"/>
          <w:bCs w:val="0"/>
          <w:color w:val="auto"/>
          <w:sz w:val="24"/>
          <w:szCs w:val="24"/>
          <w:vertAlign w:val="superscript"/>
        </w:rPr>
        <w:t>th</w:t>
      </w:r>
      <w:r w:rsidRPr="006B6397">
        <w:rPr>
          <w:rFonts w:asciiTheme="minorHAnsi" w:hAnsiTheme="minorHAnsi" w:cs="Arial"/>
          <w:b w:val="0"/>
          <w:bCs w:val="0"/>
          <w:color w:val="auto"/>
          <w:sz w:val="24"/>
          <w:szCs w:val="24"/>
        </w:rPr>
        <w:t>.</w:t>
      </w:r>
    </w:p>
    <w:p w:rsidR="00DC4751" w:rsidRDefault="00DC4751">
      <w:pPr>
        <w:pStyle w:val="Heading1"/>
        <w:ind w:left="0" w:firstLine="0"/>
        <w:rPr>
          <w:rFonts w:asciiTheme="minorHAnsi" w:hAnsiTheme="minorHAnsi" w:cs="Arial"/>
          <w:color w:val="auto"/>
          <w:sz w:val="24"/>
          <w:szCs w:val="24"/>
        </w:rPr>
      </w:pPr>
    </w:p>
    <w:p w:rsidR="00DC4751" w:rsidRDefault="00DC4751">
      <w:pPr>
        <w:pStyle w:val="Heading1"/>
        <w:ind w:left="0" w:firstLine="0"/>
        <w:rPr>
          <w:rFonts w:asciiTheme="minorHAnsi" w:hAnsiTheme="minorHAnsi" w:cs="Arial"/>
          <w:color w:val="auto"/>
          <w:sz w:val="24"/>
          <w:szCs w:val="24"/>
        </w:rPr>
      </w:pPr>
      <w:r>
        <w:rPr>
          <w:rFonts w:asciiTheme="minorHAnsi" w:hAnsiTheme="minorHAnsi" w:cs="Arial"/>
          <w:color w:val="auto"/>
          <w:sz w:val="24"/>
          <w:szCs w:val="24"/>
        </w:rPr>
        <w:t>Slide 12:</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Ensuring Ongoing Financial Stability of One Care</w:t>
      </w:r>
    </w:p>
    <w:p w:rsidR="00C708A2" w:rsidRPr="006B6397" w:rsidRDefault="004D1DAC" w:rsidP="00DC4751">
      <w:pPr>
        <w:pStyle w:val="Heading2"/>
        <w:numPr>
          <w:ilvl w:val="0"/>
          <w:numId w:val="12"/>
        </w:numPr>
        <w:ind w:left="547" w:hanging="367"/>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Pursuant to the Commonwealth’s Memorandum of Understanding (MOU), CMS is convening a meeting in September to evaluate the financial structure and payment parameters of One Care, including:</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Base rate methodology</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Savings percentages</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Quality withholds</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Risk adjustment</w:t>
      </w:r>
    </w:p>
    <w:p w:rsidR="00C708A2" w:rsidRPr="006B6397" w:rsidRDefault="004D1DAC" w:rsidP="00764470">
      <w:pPr>
        <w:pStyle w:val="Heading3"/>
        <w:numPr>
          <w:ilvl w:val="0"/>
          <w:numId w:val="13"/>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Admin rates</w:t>
      </w:r>
    </w:p>
    <w:p w:rsidR="00C708A2" w:rsidRPr="006B6397" w:rsidRDefault="004D1DAC">
      <w:pPr>
        <w:pStyle w:val="Heading2"/>
        <w:ind w:left="0" w:firstLine="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 </w:t>
      </w: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Attendees will include leadership from CMS, the federal Office of Management and Budget, the federal Office of the Actuary, and MassHealth with inputs from One Care enrollees.</w:t>
      </w:r>
    </w:p>
    <w:p w:rsidR="00C708A2" w:rsidRPr="006B6397" w:rsidRDefault="00C708A2">
      <w:pPr>
        <w:pStyle w:val="Heading2"/>
        <w:ind w:left="540" w:hanging="540"/>
        <w:rPr>
          <w:rFonts w:asciiTheme="minorHAnsi" w:hAnsiTheme="minorHAnsi" w:cs="Arial"/>
          <w:b w:val="0"/>
          <w:bCs w:val="0"/>
          <w:color w:val="auto"/>
          <w:sz w:val="24"/>
          <w:szCs w:val="24"/>
        </w:rPr>
      </w:pP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MassHealth and CMS will continue discussion with stakeholders</w:t>
      </w:r>
    </w:p>
    <w:p w:rsidR="00DC4751" w:rsidRDefault="00DC4751">
      <w:pPr>
        <w:pStyle w:val="Heading1"/>
        <w:ind w:left="0" w:firstLine="0"/>
        <w:rPr>
          <w:rFonts w:asciiTheme="minorHAnsi" w:hAnsiTheme="minorHAnsi" w:cs="Arial"/>
          <w:color w:val="auto"/>
          <w:sz w:val="24"/>
          <w:szCs w:val="24"/>
        </w:rPr>
      </w:pPr>
    </w:p>
    <w:p w:rsidR="00DC4751" w:rsidRDefault="00DC4751">
      <w:pPr>
        <w:pStyle w:val="Heading1"/>
        <w:ind w:left="0" w:firstLine="0"/>
        <w:rPr>
          <w:rFonts w:asciiTheme="minorHAnsi" w:hAnsiTheme="minorHAnsi" w:cs="Arial"/>
          <w:color w:val="auto"/>
          <w:sz w:val="24"/>
          <w:szCs w:val="24"/>
        </w:rPr>
      </w:pPr>
    </w:p>
    <w:p w:rsidR="00DC4751" w:rsidRDefault="00DC4751">
      <w:pPr>
        <w:pStyle w:val="Heading1"/>
        <w:ind w:left="0" w:firstLine="0"/>
        <w:rPr>
          <w:rFonts w:asciiTheme="minorHAnsi" w:hAnsiTheme="minorHAnsi" w:cs="Arial"/>
          <w:color w:val="auto"/>
          <w:sz w:val="24"/>
          <w:szCs w:val="24"/>
        </w:rPr>
      </w:pPr>
      <w:r>
        <w:rPr>
          <w:rFonts w:asciiTheme="minorHAnsi" w:hAnsiTheme="minorHAnsi" w:cs="Arial"/>
          <w:color w:val="auto"/>
          <w:sz w:val="24"/>
          <w:szCs w:val="24"/>
        </w:rPr>
        <w:lastRenderedPageBreak/>
        <w:t>Slide 13:</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Opportunity to Extend the One Care Demonstration</w:t>
      </w: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On July 16, 2015, the Centers for Medicare &amp; Medicaid Services (CMS) released guidance outlining an opportunity for interested states to apply to extend their demonstrations for dual eligible individuals by two years.  </w:t>
      </w:r>
    </w:p>
    <w:p w:rsidR="00C708A2" w:rsidRPr="006B6397" w:rsidRDefault="00C708A2">
      <w:pPr>
        <w:pStyle w:val="Heading2"/>
        <w:ind w:left="540" w:hanging="540"/>
        <w:rPr>
          <w:rFonts w:asciiTheme="minorHAnsi" w:hAnsiTheme="minorHAnsi" w:cs="Arial"/>
          <w:b w:val="0"/>
          <w:bCs w:val="0"/>
          <w:color w:val="auto"/>
          <w:sz w:val="24"/>
          <w:szCs w:val="24"/>
        </w:rPr>
      </w:pP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Interested states must submit a non-binding letter of intent by September 1, 2015. </w:t>
      </w:r>
    </w:p>
    <w:p w:rsidR="00C708A2" w:rsidRPr="006B6397" w:rsidRDefault="00C708A2">
      <w:pPr>
        <w:pStyle w:val="Heading2"/>
        <w:ind w:left="540" w:hanging="540"/>
        <w:rPr>
          <w:rFonts w:asciiTheme="minorHAnsi" w:hAnsiTheme="minorHAnsi" w:cs="Arial"/>
          <w:b w:val="0"/>
          <w:bCs w:val="0"/>
          <w:color w:val="auto"/>
          <w:sz w:val="24"/>
          <w:szCs w:val="24"/>
        </w:rPr>
      </w:pP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MassHealth plans to submit a letter of intent to extend One Care. </w:t>
      </w:r>
    </w:p>
    <w:p w:rsidR="00C708A2" w:rsidRPr="006B6397" w:rsidRDefault="00C708A2">
      <w:pPr>
        <w:pStyle w:val="Heading2"/>
        <w:ind w:left="0" w:firstLine="0"/>
        <w:rPr>
          <w:rFonts w:asciiTheme="minorHAnsi" w:hAnsiTheme="minorHAnsi" w:cs="Arial"/>
          <w:b w:val="0"/>
          <w:bCs w:val="0"/>
          <w:color w:val="auto"/>
          <w:sz w:val="24"/>
          <w:szCs w:val="24"/>
        </w:rPr>
      </w:pP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The guidance is posted on the Massachusetts Duals Demonstration website at </w:t>
      </w:r>
      <w:hyperlink r:id="rId9" w:history="1">
        <w:r w:rsidRPr="00DC4751">
          <w:rPr>
            <w:rStyle w:val="Hyperlink"/>
            <w:rFonts w:asciiTheme="minorHAnsi" w:hAnsiTheme="minorHAnsi" w:cs="Arial"/>
            <w:b w:val="0"/>
            <w:bCs w:val="0"/>
            <w:sz w:val="24"/>
            <w:szCs w:val="24"/>
          </w:rPr>
          <w:t>http://www.mass.gov/masshealth/duals</w:t>
        </w:r>
      </w:hyperlink>
      <w:r w:rsidRPr="006B6397">
        <w:rPr>
          <w:rFonts w:asciiTheme="minorHAnsi" w:hAnsiTheme="minorHAnsi" w:cs="Arial"/>
          <w:b w:val="0"/>
          <w:bCs w:val="0"/>
          <w:color w:val="auto"/>
          <w:sz w:val="24"/>
          <w:szCs w:val="24"/>
        </w:rPr>
        <w:t xml:space="preserve"> under “Related Information.”</w:t>
      </w:r>
    </w:p>
    <w:p w:rsidR="00C708A2" w:rsidRPr="006B6397" w:rsidRDefault="00C708A2">
      <w:pPr>
        <w:pStyle w:val="Heading2"/>
        <w:ind w:left="540" w:hanging="540"/>
        <w:rPr>
          <w:rFonts w:asciiTheme="minorHAnsi" w:hAnsiTheme="minorHAnsi" w:cs="Arial"/>
          <w:b w:val="0"/>
          <w:bCs w:val="0"/>
          <w:i/>
          <w:iCs/>
          <w:color w:val="auto"/>
          <w:sz w:val="24"/>
          <w:szCs w:val="24"/>
        </w:rPr>
      </w:pPr>
    </w:p>
    <w:p w:rsidR="00C708A2" w:rsidRPr="006B6397" w:rsidRDefault="00C708A2">
      <w:pPr>
        <w:pStyle w:val="Heading2"/>
        <w:ind w:left="540" w:hanging="540"/>
        <w:rPr>
          <w:rFonts w:asciiTheme="minorHAnsi" w:hAnsiTheme="minorHAnsi" w:cs="Arial"/>
          <w:color w:val="auto"/>
          <w:sz w:val="24"/>
          <w:szCs w:val="24"/>
          <w:u w:val="single"/>
        </w:rPr>
      </w:pPr>
    </w:p>
    <w:p w:rsidR="00C708A2" w:rsidRPr="006B6397" w:rsidRDefault="00C708A2">
      <w:pPr>
        <w:pStyle w:val="Heading2"/>
        <w:ind w:left="540" w:hanging="540"/>
        <w:rPr>
          <w:rFonts w:asciiTheme="minorHAnsi" w:hAnsiTheme="minorHAnsi" w:cs="Arial"/>
          <w:b w:val="0"/>
          <w:bCs w:val="0"/>
          <w:color w:val="auto"/>
          <w:sz w:val="24"/>
          <w:szCs w:val="24"/>
        </w:rPr>
      </w:pPr>
    </w:p>
    <w:p w:rsidR="00DC4751" w:rsidRDefault="00DC4751">
      <w:pPr>
        <w:pStyle w:val="Heading1"/>
        <w:ind w:left="0" w:firstLine="0"/>
        <w:rPr>
          <w:rFonts w:asciiTheme="minorHAnsi" w:hAnsiTheme="minorHAnsi" w:cs="Arial"/>
          <w:color w:val="auto"/>
          <w:sz w:val="24"/>
          <w:szCs w:val="24"/>
        </w:rPr>
      </w:pPr>
      <w:r>
        <w:rPr>
          <w:rFonts w:asciiTheme="minorHAnsi" w:hAnsiTheme="minorHAnsi" w:cs="Arial"/>
          <w:color w:val="auto"/>
          <w:sz w:val="24"/>
          <w:szCs w:val="24"/>
        </w:rPr>
        <w:t>Slide 14:</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Update on Renewals</w:t>
      </w:r>
    </w:p>
    <w:p w:rsidR="00DC4751" w:rsidRPr="00DC4751" w:rsidRDefault="00DC4751" w:rsidP="00DC4751">
      <w:pPr>
        <w:pStyle w:val="Heading2"/>
        <w:numPr>
          <w:ilvl w:val="0"/>
          <w:numId w:val="12"/>
        </w:numPr>
        <w:ind w:left="540" w:hanging="360"/>
        <w:rPr>
          <w:rFonts w:ascii="Calibri" w:hAnsi="Calibri" w:cs="Arial"/>
          <w:b w:val="0"/>
          <w:bCs w:val="0"/>
          <w:color w:val="auto"/>
          <w:sz w:val="24"/>
          <w:szCs w:val="24"/>
        </w:rPr>
      </w:pPr>
      <w:r w:rsidRPr="00DC4751">
        <w:rPr>
          <w:rFonts w:ascii="Calibri" w:hAnsi="Calibri" w:cs="Arial"/>
          <w:b w:val="0"/>
          <w:bCs w:val="0"/>
          <w:color w:val="auto"/>
          <w:sz w:val="24"/>
          <w:szCs w:val="24"/>
        </w:rPr>
        <w:t xml:space="preserve">In August 2015, MassHealth began sending renewals notices to households which contain individuals with a disability, including One Care members. </w:t>
      </w:r>
    </w:p>
    <w:p w:rsidR="00DC4751" w:rsidRPr="00DC4751" w:rsidRDefault="00DC4751" w:rsidP="00DC4751">
      <w:pPr>
        <w:pStyle w:val="Heading3"/>
        <w:numPr>
          <w:ilvl w:val="0"/>
          <w:numId w:val="13"/>
        </w:numPr>
        <w:ind w:left="1180" w:hanging="460"/>
        <w:rPr>
          <w:rFonts w:asciiTheme="minorHAnsi" w:hAnsiTheme="minorHAnsi" w:cs="Arial"/>
          <w:b w:val="0"/>
          <w:bCs w:val="0"/>
          <w:color w:val="auto"/>
          <w:sz w:val="24"/>
          <w:szCs w:val="24"/>
        </w:rPr>
      </w:pPr>
      <w:r w:rsidRPr="00DC4751">
        <w:rPr>
          <w:rFonts w:asciiTheme="minorHAnsi" w:hAnsiTheme="minorHAnsi" w:cs="Arial"/>
          <w:b w:val="0"/>
          <w:bCs w:val="0"/>
          <w:color w:val="auto"/>
          <w:sz w:val="24"/>
          <w:szCs w:val="24"/>
        </w:rPr>
        <w:t xml:space="preserve">Number of households containing individuals with disabilities </w:t>
      </w:r>
    </w:p>
    <w:p w:rsidR="00DC4751" w:rsidRPr="00DC4751" w:rsidRDefault="00DC4751" w:rsidP="00DC4751">
      <w:pPr>
        <w:numPr>
          <w:ilvl w:val="0"/>
          <w:numId w:val="23"/>
        </w:numPr>
        <w:rPr>
          <w:sz w:val="24"/>
          <w:szCs w:val="24"/>
        </w:rPr>
      </w:pPr>
      <w:r w:rsidRPr="00DC4751">
        <w:rPr>
          <w:sz w:val="24"/>
          <w:szCs w:val="24"/>
        </w:rPr>
        <w:t>Total One members: 1227</w:t>
      </w:r>
    </w:p>
    <w:p w:rsidR="00DC4751" w:rsidRPr="00DC4751" w:rsidRDefault="00DC4751" w:rsidP="00DC4751">
      <w:pPr>
        <w:numPr>
          <w:ilvl w:val="0"/>
          <w:numId w:val="23"/>
        </w:numPr>
        <w:rPr>
          <w:sz w:val="24"/>
          <w:szCs w:val="24"/>
        </w:rPr>
      </w:pPr>
      <w:r w:rsidRPr="00DC4751">
        <w:rPr>
          <w:sz w:val="24"/>
          <w:szCs w:val="24"/>
        </w:rPr>
        <w:t>CCA Members: 709</w:t>
      </w:r>
    </w:p>
    <w:p w:rsidR="00DC4751" w:rsidRPr="00DC4751" w:rsidRDefault="00DC4751" w:rsidP="00DC4751">
      <w:pPr>
        <w:numPr>
          <w:ilvl w:val="0"/>
          <w:numId w:val="23"/>
        </w:numPr>
        <w:rPr>
          <w:sz w:val="24"/>
          <w:szCs w:val="24"/>
        </w:rPr>
      </w:pPr>
      <w:r w:rsidRPr="00DC4751">
        <w:rPr>
          <w:sz w:val="24"/>
          <w:szCs w:val="24"/>
        </w:rPr>
        <w:t>FTC Members: 393</w:t>
      </w:r>
    </w:p>
    <w:p w:rsidR="00DC4751" w:rsidRPr="00DC4751" w:rsidRDefault="00DC4751" w:rsidP="00DC4751">
      <w:pPr>
        <w:numPr>
          <w:ilvl w:val="0"/>
          <w:numId w:val="23"/>
        </w:numPr>
        <w:rPr>
          <w:sz w:val="24"/>
          <w:szCs w:val="24"/>
        </w:rPr>
      </w:pPr>
      <w:r w:rsidRPr="00DC4751">
        <w:rPr>
          <w:sz w:val="24"/>
          <w:szCs w:val="24"/>
        </w:rPr>
        <w:t>THP-NH Members: 125</w:t>
      </w:r>
    </w:p>
    <w:p w:rsidR="00DC4751" w:rsidRPr="00DC4751" w:rsidRDefault="00DC4751" w:rsidP="00DC4751">
      <w:pPr>
        <w:numPr>
          <w:ilvl w:val="0"/>
          <w:numId w:val="23"/>
        </w:numPr>
        <w:rPr>
          <w:sz w:val="24"/>
          <w:szCs w:val="24"/>
        </w:rPr>
      </w:pPr>
      <w:r w:rsidRPr="00DC4751">
        <w:rPr>
          <w:sz w:val="24"/>
          <w:szCs w:val="24"/>
        </w:rPr>
        <w:t>Mail Date: 8/1/2015</w:t>
      </w:r>
    </w:p>
    <w:p w:rsidR="00C708A2" w:rsidRPr="00DC4751" w:rsidRDefault="00DC4751" w:rsidP="00DC4751">
      <w:pPr>
        <w:numPr>
          <w:ilvl w:val="0"/>
          <w:numId w:val="23"/>
        </w:numPr>
        <w:rPr>
          <w:sz w:val="24"/>
          <w:szCs w:val="24"/>
        </w:rPr>
      </w:pPr>
      <w:r w:rsidRPr="00DC4751">
        <w:rPr>
          <w:sz w:val="24"/>
          <w:szCs w:val="24"/>
        </w:rPr>
        <w:t>Due Date: 9/15/15</w:t>
      </w:r>
    </w:p>
    <w:p w:rsidR="00C708A2" w:rsidRPr="006B6397" w:rsidRDefault="00C708A2">
      <w:pPr>
        <w:pStyle w:val="Heading2"/>
        <w:ind w:left="540" w:hanging="540"/>
        <w:rPr>
          <w:rFonts w:asciiTheme="minorHAnsi" w:hAnsiTheme="minorHAnsi" w:cs="Arial"/>
          <w:b w:val="0"/>
          <w:bCs w:val="0"/>
          <w:color w:val="auto"/>
          <w:sz w:val="24"/>
          <w:szCs w:val="24"/>
        </w:rPr>
      </w:pP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MassHealth outreach efforts include: </w:t>
      </w:r>
    </w:p>
    <w:p w:rsidR="00C708A2" w:rsidRPr="006B6397" w:rsidRDefault="004D1DAC" w:rsidP="00764470">
      <w:pPr>
        <w:pStyle w:val="Heading3"/>
        <w:numPr>
          <w:ilvl w:val="0"/>
          <w:numId w:val="15"/>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 xml:space="preserve">Provided One Care plans with a file identifying members subject to renewal </w:t>
      </w:r>
    </w:p>
    <w:p w:rsidR="00C708A2" w:rsidRPr="006B6397" w:rsidRDefault="004D1DAC" w:rsidP="00764470">
      <w:pPr>
        <w:pStyle w:val="Heading3"/>
        <w:numPr>
          <w:ilvl w:val="0"/>
          <w:numId w:val="15"/>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Partnered with HCFA on training for organizations serving individuals with disabilities</w:t>
      </w:r>
    </w:p>
    <w:p w:rsidR="00DC4751" w:rsidRDefault="004D1DAC" w:rsidP="00DC4751">
      <w:pPr>
        <w:pStyle w:val="Heading3"/>
        <w:numPr>
          <w:ilvl w:val="0"/>
          <w:numId w:val="15"/>
        </w:numPr>
        <w:ind w:left="1180" w:hanging="4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Developed a fact sheet that was shared with stakeholders, organizations serving individuals with disabilities, One Care Implementation Council and other state agencies</w:t>
      </w:r>
    </w:p>
    <w:p w:rsidR="00DC4751" w:rsidRPr="00DC4751" w:rsidRDefault="00DC4751" w:rsidP="00DC4751"/>
    <w:p w:rsidR="00C708A2" w:rsidRPr="006B6397" w:rsidRDefault="004D1DAC" w:rsidP="00DC4751">
      <w:pPr>
        <w:pStyle w:val="Heading2"/>
        <w:numPr>
          <w:ilvl w:val="0"/>
          <w:numId w:val="16"/>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MassHealth will provide renewal assistance at the FTC outreach events</w:t>
      </w:r>
    </w:p>
    <w:p w:rsidR="00C708A2" w:rsidRPr="006B6397" w:rsidRDefault="00C708A2">
      <w:pPr>
        <w:pStyle w:val="Heading3"/>
        <w:ind w:left="1180" w:hanging="460"/>
        <w:rPr>
          <w:rFonts w:asciiTheme="minorHAnsi" w:hAnsiTheme="minorHAnsi" w:cs="Arial"/>
          <w:color w:val="auto"/>
          <w:sz w:val="24"/>
          <w:szCs w:val="24"/>
        </w:rPr>
      </w:pPr>
    </w:p>
    <w:p w:rsidR="00C708A2" w:rsidRPr="006B6397" w:rsidRDefault="00C708A2">
      <w:pPr>
        <w:pStyle w:val="Heading2"/>
        <w:ind w:left="540" w:hanging="540"/>
        <w:rPr>
          <w:rFonts w:asciiTheme="minorHAnsi" w:hAnsiTheme="minorHAnsi" w:cs="Arial"/>
          <w:b w:val="0"/>
          <w:bCs w:val="0"/>
          <w:i/>
          <w:iCs/>
          <w:color w:val="auto"/>
          <w:sz w:val="24"/>
          <w:szCs w:val="24"/>
        </w:rPr>
      </w:pPr>
    </w:p>
    <w:p w:rsidR="00C708A2" w:rsidRPr="006B6397" w:rsidRDefault="00C708A2">
      <w:pPr>
        <w:pStyle w:val="Heading2"/>
        <w:ind w:left="540" w:hanging="540"/>
        <w:rPr>
          <w:rFonts w:asciiTheme="minorHAnsi" w:hAnsiTheme="minorHAnsi" w:cs="Arial"/>
          <w:color w:val="auto"/>
          <w:sz w:val="24"/>
          <w:szCs w:val="24"/>
          <w:u w:val="single"/>
        </w:rPr>
      </w:pPr>
    </w:p>
    <w:p w:rsidR="00C708A2" w:rsidRPr="006B6397" w:rsidRDefault="00C708A2">
      <w:pPr>
        <w:pStyle w:val="Heading2"/>
        <w:ind w:left="540" w:hanging="540"/>
        <w:rPr>
          <w:rFonts w:asciiTheme="minorHAnsi" w:hAnsiTheme="minorHAnsi" w:cs="Arial"/>
          <w:b w:val="0"/>
          <w:bCs w:val="0"/>
          <w:color w:val="auto"/>
          <w:sz w:val="24"/>
          <w:szCs w:val="24"/>
        </w:rPr>
      </w:pPr>
    </w:p>
    <w:p w:rsidR="00DC4751" w:rsidRDefault="00DC4751">
      <w:pPr>
        <w:pStyle w:val="Heading1"/>
        <w:ind w:left="0" w:firstLine="0"/>
        <w:rPr>
          <w:rFonts w:asciiTheme="minorHAnsi" w:hAnsiTheme="minorHAnsi" w:cs="Arial"/>
          <w:color w:val="auto"/>
          <w:sz w:val="24"/>
          <w:szCs w:val="24"/>
        </w:rPr>
      </w:pPr>
      <w:r>
        <w:rPr>
          <w:rFonts w:asciiTheme="minorHAnsi" w:hAnsiTheme="minorHAnsi" w:cs="Arial"/>
          <w:color w:val="auto"/>
          <w:sz w:val="24"/>
          <w:szCs w:val="24"/>
        </w:rPr>
        <w:t>Slide 15:</w:t>
      </w:r>
    </w:p>
    <w:p w:rsidR="00C708A2" w:rsidRPr="006B6397" w:rsidRDefault="004D1DAC">
      <w:pPr>
        <w:pStyle w:val="Heading1"/>
        <w:ind w:left="0" w:firstLine="0"/>
        <w:rPr>
          <w:rFonts w:asciiTheme="minorHAnsi" w:hAnsiTheme="minorHAnsi" w:cs="Arial"/>
          <w:color w:val="auto"/>
          <w:sz w:val="24"/>
          <w:szCs w:val="24"/>
        </w:rPr>
      </w:pPr>
      <w:r w:rsidRPr="006B6397">
        <w:rPr>
          <w:rFonts w:asciiTheme="minorHAnsi" w:hAnsiTheme="minorHAnsi" w:cs="Arial"/>
          <w:color w:val="auto"/>
          <w:sz w:val="24"/>
          <w:szCs w:val="24"/>
        </w:rPr>
        <w:t>Plan Financials – Next Update</w:t>
      </w: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MassHealth had been preparing a plan level breakout of One Care spending to date, but a data issue prevented us from sharing this today.</w:t>
      </w:r>
    </w:p>
    <w:p w:rsidR="00C708A2" w:rsidRPr="006B6397" w:rsidRDefault="00C708A2">
      <w:pPr>
        <w:pStyle w:val="Heading2"/>
        <w:ind w:left="540" w:hanging="540"/>
        <w:rPr>
          <w:rFonts w:asciiTheme="minorHAnsi" w:hAnsiTheme="minorHAnsi" w:cs="Arial"/>
          <w:b w:val="0"/>
          <w:bCs w:val="0"/>
          <w:color w:val="auto"/>
          <w:sz w:val="24"/>
          <w:szCs w:val="24"/>
        </w:rPr>
      </w:pPr>
    </w:p>
    <w:p w:rsidR="00C708A2" w:rsidRPr="006B6397" w:rsidRDefault="004D1DAC" w:rsidP="00DC4751">
      <w:pPr>
        <w:pStyle w:val="Heading2"/>
        <w:numPr>
          <w:ilvl w:val="0"/>
          <w:numId w:val="12"/>
        </w:numPr>
        <w:ind w:left="540" w:hanging="360"/>
        <w:rPr>
          <w:rFonts w:asciiTheme="minorHAnsi" w:hAnsiTheme="minorHAnsi" w:cs="Arial"/>
          <w:b w:val="0"/>
          <w:bCs w:val="0"/>
          <w:color w:val="auto"/>
          <w:sz w:val="24"/>
          <w:szCs w:val="24"/>
        </w:rPr>
      </w:pPr>
      <w:r w:rsidRPr="006B6397">
        <w:rPr>
          <w:rFonts w:asciiTheme="minorHAnsi" w:hAnsiTheme="minorHAnsi" w:cs="Arial"/>
          <w:b w:val="0"/>
          <w:bCs w:val="0"/>
          <w:color w:val="auto"/>
          <w:sz w:val="24"/>
          <w:szCs w:val="24"/>
        </w:rPr>
        <w:t>We plan to provide updated One Care spending in aggregate and by plan, and will spend time on this in future communications and meetings.</w:t>
      </w:r>
    </w:p>
    <w:p w:rsidR="00C708A2" w:rsidRPr="006B6397" w:rsidRDefault="00C708A2">
      <w:pPr>
        <w:pStyle w:val="Heading2"/>
        <w:ind w:left="540" w:hanging="540"/>
        <w:rPr>
          <w:rFonts w:asciiTheme="minorHAnsi" w:hAnsiTheme="minorHAnsi" w:cs="Arial"/>
          <w:b w:val="0"/>
          <w:bCs w:val="0"/>
          <w:i/>
          <w:iCs/>
          <w:color w:val="auto"/>
          <w:sz w:val="24"/>
          <w:szCs w:val="24"/>
        </w:rPr>
      </w:pPr>
    </w:p>
    <w:p w:rsidR="00C708A2" w:rsidRPr="006B6397" w:rsidRDefault="00C708A2">
      <w:pPr>
        <w:pStyle w:val="Heading2"/>
        <w:ind w:left="540" w:hanging="540"/>
        <w:rPr>
          <w:rFonts w:asciiTheme="minorHAnsi" w:hAnsiTheme="minorHAnsi" w:cs="Arial"/>
          <w:color w:val="auto"/>
          <w:sz w:val="24"/>
          <w:szCs w:val="24"/>
          <w:u w:val="single"/>
        </w:rPr>
      </w:pPr>
    </w:p>
    <w:p w:rsidR="00C708A2" w:rsidRPr="006B6397" w:rsidRDefault="00C708A2">
      <w:pPr>
        <w:pStyle w:val="Heading2"/>
        <w:ind w:left="540" w:hanging="540"/>
        <w:rPr>
          <w:rFonts w:asciiTheme="minorHAnsi" w:hAnsiTheme="minorHAnsi" w:cs="Arial"/>
          <w:b w:val="0"/>
          <w:bCs w:val="0"/>
          <w:color w:val="auto"/>
          <w:sz w:val="24"/>
          <w:szCs w:val="24"/>
        </w:rPr>
      </w:pPr>
    </w:p>
    <w:p w:rsidR="00C708A2" w:rsidRPr="006B6397" w:rsidRDefault="00DC4751">
      <w:pPr>
        <w:pStyle w:val="Heading1"/>
        <w:rPr>
          <w:rFonts w:asciiTheme="minorHAnsi" w:hAnsiTheme="minorHAnsi" w:cs="Arial"/>
          <w:color w:val="auto"/>
          <w:sz w:val="24"/>
          <w:szCs w:val="24"/>
        </w:rPr>
      </w:pPr>
      <w:r>
        <w:rPr>
          <w:rFonts w:asciiTheme="minorHAnsi" w:hAnsiTheme="minorHAnsi" w:cs="Arial"/>
          <w:color w:val="auto"/>
          <w:sz w:val="24"/>
          <w:szCs w:val="24"/>
        </w:rPr>
        <w:t>Slide 16:</w:t>
      </w:r>
    </w:p>
    <w:p w:rsidR="00C708A2" w:rsidRDefault="004D1DAC" w:rsidP="00DC4751">
      <w:pPr>
        <w:pStyle w:val="Heading2"/>
        <w:ind w:left="0" w:firstLine="0"/>
        <w:rPr>
          <w:rFonts w:asciiTheme="minorHAnsi" w:hAnsiTheme="minorHAnsi" w:cs="Arial"/>
          <w:color w:val="auto"/>
          <w:sz w:val="24"/>
          <w:szCs w:val="24"/>
        </w:rPr>
      </w:pPr>
      <w:r w:rsidRPr="006B6397">
        <w:rPr>
          <w:rFonts w:asciiTheme="minorHAnsi" w:hAnsiTheme="minorHAnsi" w:cs="Arial"/>
          <w:color w:val="auto"/>
          <w:sz w:val="24"/>
          <w:szCs w:val="24"/>
        </w:rPr>
        <w:t>Discussion/Questions?</w:t>
      </w:r>
    </w:p>
    <w:p w:rsidR="00DC4751" w:rsidRDefault="00DC4751" w:rsidP="00DC4751"/>
    <w:p w:rsidR="00C708A2" w:rsidRPr="00DC4751" w:rsidRDefault="00DC4751" w:rsidP="00DC4751">
      <w:pPr>
        <w:pStyle w:val="Heading1"/>
        <w:rPr>
          <w:rFonts w:asciiTheme="minorHAnsi" w:hAnsiTheme="minorHAnsi" w:cs="Arial"/>
          <w:color w:val="auto"/>
          <w:sz w:val="24"/>
          <w:szCs w:val="24"/>
        </w:rPr>
      </w:pPr>
      <w:r w:rsidRPr="00DC4751">
        <w:rPr>
          <w:rFonts w:asciiTheme="minorHAnsi" w:hAnsiTheme="minorHAnsi" w:cs="Arial"/>
          <w:color w:val="auto"/>
          <w:sz w:val="24"/>
          <w:szCs w:val="24"/>
        </w:rPr>
        <w:t>Slide 17:</w:t>
      </w:r>
    </w:p>
    <w:p w:rsidR="00C708A2" w:rsidRPr="006B6397" w:rsidRDefault="004D1DAC" w:rsidP="00DC4751">
      <w:pPr>
        <w:pStyle w:val="Heading2"/>
        <w:ind w:left="0" w:firstLine="0"/>
        <w:rPr>
          <w:rFonts w:asciiTheme="minorHAnsi" w:hAnsiTheme="minorHAnsi" w:cs="Arial"/>
          <w:color w:val="auto"/>
          <w:sz w:val="24"/>
          <w:szCs w:val="24"/>
        </w:rPr>
      </w:pPr>
      <w:r w:rsidRPr="006B6397">
        <w:rPr>
          <w:rFonts w:asciiTheme="minorHAnsi" w:hAnsiTheme="minorHAnsi" w:cs="Arial"/>
          <w:color w:val="auto"/>
          <w:sz w:val="24"/>
          <w:szCs w:val="24"/>
        </w:rPr>
        <w:t xml:space="preserve">Visit us at </w:t>
      </w:r>
      <w:hyperlink r:id="rId10" w:history="1">
        <w:r w:rsidR="00DC4751" w:rsidRPr="00DC4751">
          <w:rPr>
            <w:rStyle w:val="Hyperlink"/>
            <w:rFonts w:asciiTheme="minorHAnsi" w:hAnsiTheme="minorHAnsi" w:cs="Arial"/>
            <w:sz w:val="24"/>
            <w:szCs w:val="24"/>
          </w:rPr>
          <w:t>http://www.mass.gov/masshealth/onecare</w:t>
        </w:r>
      </w:hyperlink>
      <w:r w:rsidR="00DC4751">
        <w:rPr>
          <w:rFonts w:asciiTheme="minorHAnsi" w:hAnsiTheme="minorHAnsi" w:cs="Arial"/>
          <w:color w:val="auto"/>
          <w:sz w:val="24"/>
          <w:szCs w:val="24"/>
        </w:rPr>
        <w:t xml:space="preserve"> </w:t>
      </w:r>
    </w:p>
    <w:p w:rsidR="00C708A2" w:rsidRPr="006B6397" w:rsidRDefault="00C708A2" w:rsidP="00DC4751">
      <w:pPr>
        <w:pStyle w:val="Heading2"/>
        <w:ind w:left="0" w:firstLine="0"/>
        <w:rPr>
          <w:rFonts w:asciiTheme="minorHAnsi" w:hAnsiTheme="minorHAnsi" w:cs="Arial"/>
          <w:color w:val="auto"/>
          <w:sz w:val="24"/>
          <w:szCs w:val="24"/>
        </w:rPr>
      </w:pPr>
    </w:p>
    <w:p w:rsidR="00C708A2" w:rsidRPr="006B6397" w:rsidRDefault="004D1DAC" w:rsidP="00DC4751">
      <w:pPr>
        <w:pStyle w:val="Heading2"/>
        <w:ind w:left="0" w:firstLine="0"/>
        <w:rPr>
          <w:rFonts w:asciiTheme="minorHAnsi" w:hAnsiTheme="minorHAnsi" w:cs="Arial"/>
          <w:color w:val="auto"/>
          <w:sz w:val="24"/>
          <w:szCs w:val="24"/>
        </w:rPr>
      </w:pPr>
      <w:r w:rsidRPr="006B6397">
        <w:rPr>
          <w:rFonts w:asciiTheme="minorHAnsi" w:hAnsiTheme="minorHAnsi" w:cs="Arial"/>
          <w:color w:val="auto"/>
          <w:sz w:val="24"/>
          <w:szCs w:val="24"/>
        </w:rPr>
        <w:t xml:space="preserve">Email us at </w:t>
      </w:r>
      <w:r w:rsidRPr="006B6397">
        <w:rPr>
          <w:rFonts w:asciiTheme="minorHAnsi" w:hAnsiTheme="minorHAnsi" w:cs="Arial"/>
          <w:color w:val="auto"/>
          <w:sz w:val="24"/>
          <w:szCs w:val="24"/>
          <w:u w:val="single"/>
        </w:rPr>
        <w:t>OneCare@state.ma.us</w:t>
      </w:r>
    </w:p>
    <w:sectPr w:rsidR="00C708A2" w:rsidRPr="006B639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474D10C"/>
    <w:lvl w:ilvl="0">
      <w:numFmt w:val="bullet"/>
      <w:lvlText w:val="*"/>
      <w:lvlJc w:val="left"/>
    </w:lvl>
  </w:abstractNum>
  <w:abstractNum w:abstractNumId="1">
    <w:nsid w:val="28755043"/>
    <w:multiLevelType w:val="hybridMultilevel"/>
    <w:tmpl w:val="9D32FAB0"/>
    <w:lvl w:ilvl="0" w:tplc="04090001">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C52786"/>
    <w:multiLevelType w:val="hybridMultilevel"/>
    <w:tmpl w:val="15FE0822"/>
    <w:lvl w:ilvl="0" w:tplc="C032B2EC">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315A758B"/>
    <w:multiLevelType w:val="hybridMultilevel"/>
    <w:tmpl w:val="4094E200"/>
    <w:lvl w:ilvl="0" w:tplc="89AACA4A">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174A25"/>
    <w:multiLevelType w:val="hybridMultilevel"/>
    <w:tmpl w:val="60F28834"/>
    <w:lvl w:ilvl="0" w:tplc="C032B2EC">
      <w:start w:val="1"/>
      <w:numFmt w:val="bullet"/>
      <w:lvlText w:val=""/>
      <w:lvlJc w:val="left"/>
      <w:pPr>
        <w:tabs>
          <w:tab w:val="num" w:pos="720"/>
        </w:tabs>
        <w:ind w:left="720" w:hanging="360"/>
      </w:pPr>
      <w:rPr>
        <w:rFonts w:ascii="Wingdings" w:hAnsi="Wingdings" w:hint="default"/>
      </w:rPr>
    </w:lvl>
    <w:lvl w:ilvl="1" w:tplc="B254EA70">
      <w:start w:val="1"/>
      <w:numFmt w:val="bullet"/>
      <w:lvlText w:val=""/>
      <w:lvlJc w:val="left"/>
      <w:pPr>
        <w:tabs>
          <w:tab w:val="num" w:pos="1440"/>
        </w:tabs>
        <w:ind w:left="1440" w:hanging="360"/>
      </w:pPr>
      <w:rPr>
        <w:rFonts w:ascii="Wingdings" w:hAnsi="Wingdings" w:hint="default"/>
      </w:rPr>
    </w:lvl>
    <w:lvl w:ilvl="2" w:tplc="65C25678" w:tentative="1">
      <w:start w:val="1"/>
      <w:numFmt w:val="bullet"/>
      <w:lvlText w:val=""/>
      <w:lvlJc w:val="left"/>
      <w:pPr>
        <w:tabs>
          <w:tab w:val="num" w:pos="2160"/>
        </w:tabs>
        <w:ind w:left="2160" w:hanging="360"/>
      </w:pPr>
      <w:rPr>
        <w:rFonts w:ascii="Wingdings" w:hAnsi="Wingdings" w:hint="default"/>
      </w:rPr>
    </w:lvl>
    <w:lvl w:ilvl="3" w:tplc="C6BEEF3A" w:tentative="1">
      <w:start w:val="1"/>
      <w:numFmt w:val="bullet"/>
      <w:lvlText w:val=""/>
      <w:lvlJc w:val="left"/>
      <w:pPr>
        <w:tabs>
          <w:tab w:val="num" w:pos="2880"/>
        </w:tabs>
        <w:ind w:left="2880" w:hanging="360"/>
      </w:pPr>
      <w:rPr>
        <w:rFonts w:ascii="Wingdings" w:hAnsi="Wingdings" w:hint="default"/>
      </w:rPr>
    </w:lvl>
    <w:lvl w:ilvl="4" w:tplc="482C50E4" w:tentative="1">
      <w:start w:val="1"/>
      <w:numFmt w:val="bullet"/>
      <w:lvlText w:val=""/>
      <w:lvlJc w:val="left"/>
      <w:pPr>
        <w:tabs>
          <w:tab w:val="num" w:pos="3600"/>
        </w:tabs>
        <w:ind w:left="3600" w:hanging="360"/>
      </w:pPr>
      <w:rPr>
        <w:rFonts w:ascii="Wingdings" w:hAnsi="Wingdings" w:hint="default"/>
      </w:rPr>
    </w:lvl>
    <w:lvl w:ilvl="5" w:tplc="AACA8F64" w:tentative="1">
      <w:start w:val="1"/>
      <w:numFmt w:val="bullet"/>
      <w:lvlText w:val=""/>
      <w:lvlJc w:val="left"/>
      <w:pPr>
        <w:tabs>
          <w:tab w:val="num" w:pos="4320"/>
        </w:tabs>
        <w:ind w:left="4320" w:hanging="360"/>
      </w:pPr>
      <w:rPr>
        <w:rFonts w:ascii="Wingdings" w:hAnsi="Wingdings" w:hint="default"/>
      </w:rPr>
    </w:lvl>
    <w:lvl w:ilvl="6" w:tplc="5922E5CA" w:tentative="1">
      <w:start w:val="1"/>
      <w:numFmt w:val="bullet"/>
      <w:lvlText w:val=""/>
      <w:lvlJc w:val="left"/>
      <w:pPr>
        <w:tabs>
          <w:tab w:val="num" w:pos="5040"/>
        </w:tabs>
        <w:ind w:left="5040" w:hanging="360"/>
      </w:pPr>
      <w:rPr>
        <w:rFonts w:ascii="Wingdings" w:hAnsi="Wingdings" w:hint="default"/>
      </w:rPr>
    </w:lvl>
    <w:lvl w:ilvl="7" w:tplc="3B102FAE" w:tentative="1">
      <w:start w:val="1"/>
      <w:numFmt w:val="bullet"/>
      <w:lvlText w:val=""/>
      <w:lvlJc w:val="left"/>
      <w:pPr>
        <w:tabs>
          <w:tab w:val="num" w:pos="5760"/>
        </w:tabs>
        <w:ind w:left="5760" w:hanging="360"/>
      </w:pPr>
      <w:rPr>
        <w:rFonts w:ascii="Wingdings" w:hAnsi="Wingdings" w:hint="default"/>
      </w:rPr>
    </w:lvl>
    <w:lvl w:ilvl="8" w:tplc="826043F2" w:tentative="1">
      <w:start w:val="1"/>
      <w:numFmt w:val="bullet"/>
      <w:lvlText w:val=""/>
      <w:lvlJc w:val="left"/>
      <w:pPr>
        <w:tabs>
          <w:tab w:val="num" w:pos="6480"/>
        </w:tabs>
        <w:ind w:left="6480" w:hanging="360"/>
      </w:pPr>
      <w:rPr>
        <w:rFonts w:ascii="Wingdings" w:hAnsi="Wingdings" w:hint="default"/>
      </w:rPr>
    </w:lvl>
  </w:abstractNum>
  <w:abstractNum w:abstractNumId="5">
    <w:nsid w:val="4AA326A8"/>
    <w:multiLevelType w:val="hybridMultilevel"/>
    <w:tmpl w:val="8152A496"/>
    <w:lvl w:ilvl="0" w:tplc="C63C7346">
      <w:numFmt w:val="bullet"/>
      <w:lvlText w:val="–"/>
      <w:lvlJc w:val="left"/>
      <w:pPr>
        <w:ind w:left="900" w:hanging="360"/>
      </w:pPr>
      <w:rPr>
        <w:rFonts w:ascii="Arial" w:hAnsi="Arial" w:cs="Aria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51C53BB1"/>
    <w:multiLevelType w:val="hybridMultilevel"/>
    <w:tmpl w:val="6DA0041E"/>
    <w:lvl w:ilvl="0" w:tplc="C63C7346">
      <w:numFmt w:val="bullet"/>
      <w:lvlText w:val="–"/>
      <w:lvlJc w:val="left"/>
      <w:pPr>
        <w:ind w:left="1080" w:hanging="360"/>
      </w:pPr>
      <w:rPr>
        <w:rFonts w:ascii="Arial" w:hAnsi="Arial" w:cs="Aria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222823"/>
    <w:multiLevelType w:val="hybridMultilevel"/>
    <w:tmpl w:val="DFB0E9DA"/>
    <w:lvl w:ilvl="0" w:tplc="0DBAD7F4">
      <w:numFmt w:val="bullet"/>
      <w:lvlText w:val="–"/>
      <w:lvlJc w:val="left"/>
      <w:pPr>
        <w:ind w:left="900" w:hanging="360"/>
      </w:pPr>
      <w:rPr>
        <w:rFonts w:ascii="Arial" w:hAnsi="Arial" w:cs="Aria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22"/>
        </w:rPr>
      </w:lvl>
    </w:lvlOverride>
  </w:num>
  <w:num w:numId="2">
    <w:abstractNumId w:val="0"/>
    <w:lvlOverride w:ilvl="0">
      <w:lvl w:ilvl="0">
        <w:numFmt w:val="bullet"/>
        <w:lvlText w:val="■"/>
        <w:legacy w:legacy="1" w:legacySpace="0" w:legacyIndent="0"/>
        <w:lvlJc w:val="left"/>
        <w:rPr>
          <w:rFonts w:ascii="Arial" w:hAnsi="Arial" w:cs="Arial" w:hint="default"/>
          <w:sz w:val="22"/>
        </w:rPr>
      </w:lvl>
    </w:lvlOverride>
  </w:num>
  <w:num w:numId="3">
    <w:abstractNumId w:val="0"/>
    <w:lvlOverride w:ilvl="0">
      <w:lvl w:ilvl="0">
        <w:numFmt w:val="bullet"/>
        <w:lvlText w:val=""/>
        <w:legacy w:legacy="1" w:legacySpace="0" w:legacyIndent="0"/>
        <w:lvlJc w:val="left"/>
        <w:rPr>
          <w:rFonts w:ascii="Wingdings" w:hAnsi="Wingdings" w:hint="default"/>
          <w:sz w:val="34"/>
        </w:rPr>
      </w:lvl>
    </w:lvlOverride>
  </w:num>
  <w:num w:numId="4">
    <w:abstractNumId w:val="0"/>
    <w:lvlOverride w:ilvl="0">
      <w:lvl w:ilvl="0">
        <w:numFmt w:val="bullet"/>
        <w:lvlText w:val="■"/>
        <w:legacy w:legacy="1" w:legacySpace="0" w:legacyIndent="0"/>
        <w:lvlJc w:val="left"/>
        <w:rPr>
          <w:rFonts w:ascii="Arial" w:hAnsi="Arial" w:cs="Arial" w:hint="default"/>
          <w:sz w:val="24"/>
        </w:rPr>
      </w:lvl>
    </w:lvlOverride>
  </w:num>
  <w:num w:numId="5">
    <w:abstractNumId w:val="0"/>
    <w:lvlOverride w:ilvl="0">
      <w:lvl w:ilvl="0">
        <w:numFmt w:val="bullet"/>
        <w:lvlText w:val="–"/>
        <w:legacy w:legacy="1" w:legacySpace="0" w:legacyIndent="0"/>
        <w:lvlJc w:val="left"/>
        <w:rPr>
          <w:rFonts w:ascii="Arial" w:hAnsi="Arial" w:cs="Arial" w:hint="default"/>
          <w:sz w:val="24"/>
        </w:rPr>
      </w:lvl>
    </w:lvlOverride>
  </w:num>
  <w:num w:numId="6">
    <w:abstractNumId w:val="0"/>
    <w:lvlOverride w:ilvl="0">
      <w:lvl w:ilvl="0">
        <w:numFmt w:val="bullet"/>
        <w:lvlText w:val="■"/>
        <w:legacy w:legacy="1" w:legacySpace="0" w:legacyIndent="0"/>
        <w:lvlJc w:val="left"/>
        <w:rPr>
          <w:rFonts w:ascii="Arial" w:hAnsi="Arial" w:cs="Arial" w:hint="default"/>
          <w:sz w:val="24"/>
          <w:szCs w:val="24"/>
        </w:rPr>
      </w:lvl>
    </w:lvlOverride>
  </w:num>
  <w:num w:numId="7">
    <w:abstractNumId w:val="0"/>
    <w:lvlOverride w:ilvl="0">
      <w:lvl w:ilvl="0">
        <w:numFmt w:val="bullet"/>
        <w:lvlText w:val="–"/>
        <w:legacy w:legacy="1" w:legacySpace="0" w:legacyIndent="0"/>
        <w:lvlJc w:val="left"/>
        <w:rPr>
          <w:rFonts w:ascii="Arial" w:hAnsi="Arial" w:cs="Arial" w:hint="default"/>
          <w:sz w:val="24"/>
          <w:szCs w:val="24"/>
        </w:rPr>
      </w:lvl>
    </w:lvlOverride>
  </w:num>
  <w:num w:numId="8">
    <w:abstractNumId w:val="0"/>
    <w:lvlOverride w:ilvl="0">
      <w:lvl w:ilvl="0">
        <w:numFmt w:val="bullet"/>
        <w:lvlText w:val="–"/>
        <w:legacy w:legacy="1" w:legacySpace="0" w:legacyIndent="0"/>
        <w:lvlJc w:val="left"/>
        <w:rPr>
          <w:rFonts w:ascii="Arial" w:hAnsi="Arial" w:cs="Arial" w:hint="default"/>
          <w:sz w:val="24"/>
          <w:szCs w:val="24"/>
        </w:rPr>
      </w:lvl>
    </w:lvlOverride>
  </w:num>
  <w:num w:numId="9">
    <w:abstractNumId w:val="0"/>
    <w:lvlOverride w:ilvl="0">
      <w:lvl w:ilvl="0">
        <w:numFmt w:val="bullet"/>
        <w:lvlText w:val="•"/>
        <w:legacy w:legacy="1" w:legacySpace="0" w:legacyIndent="0"/>
        <w:lvlJc w:val="left"/>
        <w:rPr>
          <w:rFonts w:ascii="Arial" w:hAnsi="Arial" w:cs="Arial" w:hint="default"/>
          <w:sz w:val="34"/>
        </w:rPr>
      </w:lvl>
    </w:lvlOverride>
  </w:num>
  <w:num w:numId="10">
    <w:abstractNumId w:val="0"/>
    <w:lvlOverride w:ilvl="0">
      <w:lvl w:ilvl="0">
        <w:numFmt w:val="bullet"/>
        <w:lvlText w:val="■"/>
        <w:legacy w:legacy="1" w:legacySpace="0" w:legacyIndent="0"/>
        <w:lvlJc w:val="left"/>
        <w:rPr>
          <w:rFonts w:ascii="Arial" w:hAnsi="Arial" w:cs="Arial" w:hint="default"/>
          <w:sz w:val="24"/>
          <w:szCs w:val="24"/>
        </w:rPr>
      </w:lvl>
    </w:lvlOverride>
  </w:num>
  <w:num w:numId="11">
    <w:abstractNumId w:val="0"/>
    <w:lvlOverride w:ilvl="0">
      <w:lvl w:ilvl="0">
        <w:numFmt w:val="bullet"/>
        <w:lvlText w:val="–"/>
        <w:legacy w:legacy="1" w:legacySpace="0" w:legacyIndent="0"/>
        <w:lvlJc w:val="left"/>
        <w:rPr>
          <w:rFonts w:ascii="Arial" w:hAnsi="Arial" w:cs="Arial" w:hint="default"/>
          <w:sz w:val="24"/>
          <w:szCs w:val="24"/>
        </w:rPr>
      </w:lvl>
    </w:lvlOverride>
  </w:num>
  <w:num w:numId="12">
    <w:abstractNumId w:val="0"/>
    <w:lvlOverride w:ilvl="0">
      <w:lvl w:ilvl="0">
        <w:numFmt w:val="bullet"/>
        <w:lvlText w:val="■"/>
        <w:legacy w:legacy="1" w:legacySpace="0" w:legacyIndent="0"/>
        <w:lvlJc w:val="left"/>
        <w:rPr>
          <w:rFonts w:ascii="Arial" w:hAnsi="Arial" w:cs="Arial" w:hint="default"/>
          <w:sz w:val="24"/>
          <w:szCs w:val="24"/>
        </w:rPr>
      </w:lvl>
    </w:lvlOverride>
  </w:num>
  <w:num w:numId="13">
    <w:abstractNumId w:val="0"/>
    <w:lvlOverride w:ilvl="0">
      <w:lvl w:ilvl="0">
        <w:numFmt w:val="bullet"/>
        <w:lvlText w:val="–"/>
        <w:legacy w:legacy="1" w:legacySpace="0" w:legacyIndent="0"/>
        <w:lvlJc w:val="left"/>
        <w:rPr>
          <w:rFonts w:ascii="Arial" w:hAnsi="Arial" w:cs="Arial" w:hint="default"/>
          <w:sz w:val="24"/>
          <w:szCs w:val="24"/>
        </w:rPr>
      </w:lvl>
    </w:lvlOverride>
  </w:num>
  <w:num w:numId="14">
    <w:abstractNumId w:val="0"/>
    <w:lvlOverride w:ilvl="0">
      <w:lvl w:ilvl="0">
        <w:numFmt w:val="bullet"/>
        <w:lvlText w:val=""/>
        <w:legacy w:legacy="1" w:legacySpace="0" w:legacyIndent="0"/>
        <w:lvlJc w:val="left"/>
        <w:rPr>
          <w:rFonts w:ascii="Wingdings" w:hAnsi="Wingdings" w:hint="default"/>
          <w:sz w:val="40"/>
        </w:rPr>
      </w:lvl>
    </w:lvlOverride>
  </w:num>
  <w:num w:numId="15">
    <w:abstractNumId w:val="0"/>
    <w:lvlOverride w:ilvl="0">
      <w:lvl w:ilvl="0">
        <w:numFmt w:val="bullet"/>
        <w:lvlText w:val="–"/>
        <w:legacy w:legacy="1" w:legacySpace="0" w:legacyIndent="0"/>
        <w:lvlJc w:val="left"/>
        <w:rPr>
          <w:rFonts w:ascii="Arial" w:hAnsi="Arial" w:cs="Arial" w:hint="default"/>
          <w:sz w:val="24"/>
          <w:szCs w:val="24"/>
        </w:rPr>
      </w:lvl>
    </w:lvlOverride>
  </w:num>
  <w:num w:numId="16">
    <w:abstractNumId w:val="0"/>
    <w:lvlOverride w:ilvl="0">
      <w:lvl w:ilvl="0">
        <w:numFmt w:val="bullet"/>
        <w:lvlText w:val="■"/>
        <w:legacy w:legacy="1" w:legacySpace="0" w:legacyIndent="0"/>
        <w:lvlJc w:val="left"/>
        <w:rPr>
          <w:rFonts w:ascii="Arial" w:hAnsi="Arial" w:cs="Arial" w:hint="default"/>
          <w:sz w:val="24"/>
          <w:szCs w:val="24"/>
        </w:rPr>
      </w:lvl>
    </w:lvlOverride>
  </w:num>
  <w:num w:numId="17">
    <w:abstractNumId w:val="4"/>
  </w:num>
  <w:num w:numId="18">
    <w:abstractNumId w:val="2"/>
  </w:num>
  <w:num w:numId="19">
    <w:abstractNumId w:val="7"/>
  </w:num>
  <w:num w:numId="20">
    <w:abstractNumId w:val="6"/>
  </w:num>
  <w:num w:numId="21">
    <w:abstractNumId w:val="5"/>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470"/>
    <w:rsid w:val="0033753B"/>
    <w:rsid w:val="004D1DAC"/>
    <w:rsid w:val="006B6397"/>
    <w:rsid w:val="00764470"/>
    <w:rsid w:val="009119F7"/>
    <w:rsid w:val="00AE51C6"/>
    <w:rsid w:val="00C708A2"/>
    <w:rsid w:val="00DC4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80" w:hanging="460"/>
      <w:outlineLvl w:val="1"/>
    </w:pPr>
    <w:rPr>
      <w:rFonts w:ascii="Arial" w:eastAsia="MS PGothic" w:hAnsi="Times New Roman" w:cs="MS PGothic"/>
      <w:b/>
      <w:bCs/>
      <w:color w:val="000000"/>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Arial" w:eastAsia="MS PGothic" w:hAnsi="Times New Roman" w:cs="MS PGothic"/>
      <w:b/>
      <w:bCs/>
      <w:color w:val="000000"/>
      <w:sz w:val="56"/>
      <w:szCs w:val="56"/>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Arial" w:eastAsia="MS PGothic" w:hAnsi="Times New Roman" w:cs="MS PGothic"/>
      <w:b/>
      <w:bCs/>
      <w:color w:val="000000"/>
      <w:sz w:val="56"/>
      <w:szCs w:val="56"/>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Arial" w:eastAsia="MS PGothic" w:hAnsi="Times New Roman" w:cs="MS PGothic"/>
      <w:b/>
      <w:bCs/>
      <w:color w:val="000000"/>
      <w:sz w:val="56"/>
      <w:szCs w:val="56"/>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b/>
      <w:bCs/>
      <w:color w:val="000000"/>
      <w:sz w:val="56"/>
      <w:szCs w:val="56"/>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b/>
      <w:bCs/>
      <w:color w:val="000000"/>
      <w:sz w:val="56"/>
      <w:szCs w:val="56"/>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b/>
      <w:bCs/>
      <w:color w:val="000000"/>
      <w:sz w:val="56"/>
      <w:szCs w:val="56"/>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DC47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80" w:hanging="460"/>
      <w:outlineLvl w:val="1"/>
    </w:pPr>
    <w:rPr>
      <w:rFonts w:ascii="Arial" w:eastAsia="MS PGothic" w:hAnsi="Times New Roman" w:cs="MS PGothic"/>
      <w:b/>
      <w:bCs/>
      <w:color w:val="000000"/>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Arial" w:eastAsia="MS PGothic" w:hAnsi="Times New Roman" w:cs="MS PGothic"/>
      <w:b/>
      <w:bCs/>
      <w:color w:val="000000"/>
      <w:sz w:val="56"/>
      <w:szCs w:val="56"/>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Arial" w:eastAsia="MS PGothic" w:hAnsi="Times New Roman" w:cs="MS PGothic"/>
      <w:b/>
      <w:bCs/>
      <w:color w:val="000000"/>
      <w:sz w:val="56"/>
      <w:szCs w:val="56"/>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Arial" w:eastAsia="MS PGothic" w:hAnsi="Times New Roman" w:cs="MS PGothic"/>
      <w:b/>
      <w:bCs/>
      <w:color w:val="000000"/>
      <w:sz w:val="56"/>
      <w:szCs w:val="56"/>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b/>
      <w:bCs/>
      <w:color w:val="000000"/>
      <w:sz w:val="56"/>
      <w:szCs w:val="56"/>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b/>
      <w:bCs/>
      <w:color w:val="000000"/>
      <w:sz w:val="56"/>
      <w:szCs w:val="56"/>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b/>
      <w:bCs/>
      <w:color w:val="000000"/>
      <w:sz w:val="56"/>
      <w:szCs w:val="56"/>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DC47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6909">
      <w:bodyDiv w:val="1"/>
      <w:marLeft w:val="0"/>
      <w:marRight w:val="0"/>
      <w:marTop w:val="0"/>
      <w:marBottom w:val="0"/>
      <w:divBdr>
        <w:top w:val="none" w:sz="0" w:space="0" w:color="auto"/>
        <w:left w:val="none" w:sz="0" w:space="0" w:color="auto"/>
        <w:bottom w:val="none" w:sz="0" w:space="0" w:color="auto"/>
        <w:right w:val="none" w:sz="0" w:space="0" w:color="auto"/>
      </w:divBdr>
      <w:divsChild>
        <w:div w:id="183397915">
          <w:marLeft w:val="1181"/>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onecare" TargetMode="External"/><Relationship Id="rId3" Type="http://schemas.openxmlformats.org/officeDocument/2006/relationships/styles" Target="styles.xml"/><Relationship Id="rId7" Type="http://schemas.openxmlformats.org/officeDocument/2006/relationships/hyperlink" Target="http://www.mass.gov/masshealth/onec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ss.gov/masshealth/onecare" TargetMode="External"/><Relationship Id="rId4" Type="http://schemas.microsoft.com/office/2007/relationships/stylesWithEffects" Target="stylesWithEffects.xml"/><Relationship Id="rId9" Type="http://schemas.openxmlformats.org/officeDocument/2006/relationships/hyperlink" Target="http://www.mass.gov/masshealth/du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5FA6E-3202-4317-8D3C-5372DB34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2017-10-02T15:51:00Z</dcterms:created>
  <dcterms:modified xsi:type="dcterms:W3CDTF">2017-10-02T15:51:00Z</dcterms:modified>
</cp:coreProperties>
</file>