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65" w:type="dxa"/>
        <w:jc w:val="center"/>
        <w:tblLayout w:type="fixed"/>
        <w:tblLook w:val="0000" w:firstRow="0" w:lastRow="0" w:firstColumn="0" w:lastColumn="0" w:noHBand="0" w:noVBand="0"/>
      </w:tblPr>
      <w:tblGrid>
        <w:gridCol w:w="2430"/>
        <w:gridCol w:w="8595"/>
        <w:gridCol w:w="1440"/>
      </w:tblGrid>
      <w:tr w:rsidR="00496BCD" w:rsidRPr="0052201D" w:rsidTr="001360E4">
        <w:trPr>
          <w:trHeight w:val="1530"/>
          <w:jc w:val="center"/>
        </w:trPr>
        <w:tc>
          <w:tcPr>
            <w:tcW w:w="2430" w:type="dxa"/>
          </w:tcPr>
          <w:p w:rsidR="00496BCD" w:rsidRDefault="00496BCD" w:rsidP="001360E4">
            <w:pPr>
              <w:pStyle w:val="Header"/>
              <w:ind w:left="792" w:right="-356"/>
              <w:rPr>
                <w:noProof/>
                <w:spacing w:val="-3"/>
                <w:szCs w:val="24"/>
              </w:rPr>
            </w:pPr>
            <w:bookmarkStart w:id="0" w:name="_GoBack"/>
            <w:bookmarkEnd w:id="0"/>
            <w:r>
              <w:rPr>
                <w:spacing w:val="-3"/>
                <w:szCs w:val="24"/>
              </w:rPr>
              <w:br w:type="page"/>
              <w:t xml:space="preserve">  </w:t>
            </w:r>
          </w:p>
          <w:p w:rsidR="00496BCD" w:rsidRPr="00252DEE" w:rsidRDefault="00496BCD" w:rsidP="001360E4">
            <w:pPr>
              <w:pStyle w:val="Header"/>
              <w:ind w:left="792" w:right="-356"/>
              <w:rPr>
                <w:spacing w:val="-3"/>
                <w:szCs w:val="24"/>
              </w:rPr>
            </w:pPr>
            <w:r>
              <w:rPr>
                <w:noProof/>
                <w:spacing w:val="-3"/>
                <w:szCs w:val="24"/>
              </w:rPr>
              <w:drawing>
                <wp:inline distT="0" distB="0" distL="0" distR="0" wp14:anchorId="20D7AA51" wp14:editId="0CADAAF6">
                  <wp:extent cx="866140"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png"/>
                          <pic:cNvPicPr/>
                        </pic:nvPicPr>
                        <pic:blipFill>
                          <a:blip r:embed="rId8">
                            <a:extLst>
                              <a:ext uri="{28A0092B-C50C-407E-A947-70E740481C1C}">
                                <a14:useLocalDpi xmlns:a14="http://schemas.microsoft.com/office/drawing/2010/main" val="0"/>
                              </a:ext>
                            </a:extLst>
                          </a:blip>
                          <a:stretch>
                            <a:fillRect/>
                          </a:stretch>
                        </pic:blipFill>
                        <pic:spPr>
                          <a:xfrm>
                            <a:off x="0" y="0"/>
                            <a:ext cx="866681" cy="866681"/>
                          </a:xfrm>
                          <a:prstGeom prst="rect">
                            <a:avLst/>
                          </a:prstGeom>
                        </pic:spPr>
                      </pic:pic>
                    </a:graphicData>
                  </a:graphic>
                </wp:inline>
              </w:drawing>
            </w:r>
          </w:p>
        </w:tc>
        <w:tc>
          <w:tcPr>
            <w:tcW w:w="8595" w:type="dxa"/>
          </w:tcPr>
          <w:p w:rsidR="00496BCD" w:rsidRDefault="00496BCD" w:rsidP="001360E4">
            <w:pPr>
              <w:pStyle w:val="Header"/>
              <w:ind w:right="1219"/>
              <w:jc w:val="center"/>
              <w:rPr>
                <w:smallCaps/>
                <w:color w:val="0033CC"/>
                <w:sz w:val="36"/>
                <w:szCs w:val="36"/>
              </w:rPr>
            </w:pPr>
          </w:p>
          <w:p w:rsidR="00496BCD" w:rsidRPr="00F84DB7" w:rsidRDefault="00496BCD" w:rsidP="001360E4">
            <w:pPr>
              <w:pStyle w:val="Header"/>
              <w:ind w:left="162"/>
              <w:rPr>
                <w:rFonts w:asciiTheme="majorHAnsi" w:hAnsiTheme="majorHAnsi"/>
                <w:b/>
                <w:color w:val="0033CC"/>
                <w:szCs w:val="24"/>
              </w:rPr>
            </w:pPr>
            <w:r w:rsidRPr="00F84DB7">
              <w:rPr>
                <w:rFonts w:asciiTheme="majorHAnsi" w:hAnsiTheme="majorHAnsi"/>
                <w:b/>
                <w:color w:val="0033CC"/>
                <w:szCs w:val="24"/>
              </w:rPr>
              <w:t>The Commonwealth of Massachusetts</w:t>
            </w:r>
          </w:p>
          <w:p w:rsidR="00496BCD" w:rsidRPr="00F84DB7" w:rsidRDefault="00496BCD" w:rsidP="001360E4">
            <w:pPr>
              <w:pStyle w:val="Header"/>
              <w:ind w:left="162"/>
              <w:rPr>
                <w:rFonts w:asciiTheme="majorHAnsi" w:hAnsiTheme="majorHAnsi"/>
                <w:b/>
                <w:color w:val="0033CC"/>
                <w:szCs w:val="24"/>
              </w:rPr>
            </w:pPr>
            <w:r w:rsidRPr="00F84DB7">
              <w:rPr>
                <w:rFonts w:asciiTheme="majorHAnsi" w:hAnsiTheme="majorHAnsi"/>
                <w:b/>
                <w:color w:val="0033CC"/>
                <w:szCs w:val="24"/>
              </w:rPr>
              <w:t>Division of Banks</w:t>
            </w:r>
          </w:p>
          <w:p w:rsidR="00496BCD" w:rsidRPr="00F84DB7" w:rsidRDefault="00496BCD" w:rsidP="001360E4">
            <w:pPr>
              <w:pStyle w:val="Header"/>
              <w:ind w:left="162"/>
              <w:rPr>
                <w:rFonts w:asciiTheme="majorHAnsi" w:hAnsiTheme="majorHAnsi"/>
                <w:color w:val="0033CC"/>
                <w:szCs w:val="24"/>
              </w:rPr>
            </w:pPr>
            <w:r w:rsidRPr="00F84DB7">
              <w:rPr>
                <w:rFonts w:asciiTheme="majorHAnsi" w:hAnsiTheme="majorHAnsi"/>
                <w:color w:val="0033CC"/>
                <w:szCs w:val="24"/>
              </w:rPr>
              <w:t>1000 Washington Street, 10</w:t>
            </w:r>
            <w:r w:rsidRPr="00F84DB7">
              <w:rPr>
                <w:rFonts w:asciiTheme="majorHAnsi" w:hAnsiTheme="majorHAnsi"/>
                <w:color w:val="0033CC"/>
                <w:szCs w:val="24"/>
                <w:vertAlign w:val="superscript"/>
              </w:rPr>
              <w:t>th</w:t>
            </w:r>
            <w:r w:rsidRPr="00F84DB7">
              <w:rPr>
                <w:rFonts w:asciiTheme="majorHAnsi" w:hAnsiTheme="majorHAnsi"/>
                <w:color w:val="0033CC"/>
                <w:szCs w:val="24"/>
              </w:rPr>
              <w:t xml:space="preserve"> Floor</w:t>
            </w:r>
          </w:p>
          <w:p w:rsidR="00496BCD" w:rsidRPr="000F6F85" w:rsidRDefault="00496BCD" w:rsidP="001360E4">
            <w:pPr>
              <w:pStyle w:val="Header"/>
              <w:tabs>
                <w:tab w:val="clear" w:pos="9360"/>
                <w:tab w:val="right" w:pos="8348"/>
              </w:tabs>
              <w:ind w:left="162"/>
              <w:rPr>
                <w:rFonts w:eastAsia="Dotum"/>
                <w:smallCaps/>
                <w:color w:val="0033CC"/>
                <w:sz w:val="40"/>
                <w:szCs w:val="40"/>
              </w:rPr>
            </w:pPr>
            <w:r w:rsidRPr="00F84DB7">
              <w:rPr>
                <w:rFonts w:asciiTheme="majorHAnsi" w:hAnsiTheme="majorHAnsi"/>
                <w:color w:val="0033CC"/>
                <w:szCs w:val="24"/>
              </w:rPr>
              <w:t>Boston, Massachusetts 02118</w:t>
            </w:r>
          </w:p>
        </w:tc>
        <w:tc>
          <w:tcPr>
            <w:tcW w:w="1440" w:type="dxa"/>
            <w:vAlign w:val="center"/>
          </w:tcPr>
          <w:p w:rsidR="00496BCD" w:rsidRPr="0052201D" w:rsidRDefault="00496BCD" w:rsidP="001360E4">
            <w:pPr>
              <w:pStyle w:val="Header"/>
              <w:jc w:val="center"/>
              <w:rPr>
                <w:color w:val="0033CC"/>
              </w:rPr>
            </w:pPr>
          </w:p>
        </w:tc>
      </w:tr>
    </w:tbl>
    <w:p w:rsidR="00496BCD" w:rsidRDefault="00496BCD" w:rsidP="00496BCD">
      <w:pPr>
        <w:pStyle w:val="Title"/>
        <w:pBdr>
          <w:bottom w:val="none" w:sz="0" w:space="0" w:color="auto"/>
        </w:pBdr>
        <w:tabs>
          <w:tab w:val="left" w:pos="0"/>
        </w:tabs>
        <w:spacing w:after="0"/>
        <w:ind w:left="0"/>
        <w:rPr>
          <w:color w:val="0033CC"/>
          <w:sz w:val="28"/>
          <w:szCs w:val="28"/>
        </w:rPr>
      </w:pPr>
    </w:p>
    <w:p w:rsidR="00496BCD" w:rsidRPr="00F84DB7" w:rsidRDefault="00496BCD" w:rsidP="00496BCD">
      <w:pPr>
        <w:pStyle w:val="Title"/>
        <w:pBdr>
          <w:top w:val="single" w:sz="18" w:space="1" w:color="0000FF"/>
          <w:bottom w:val="none" w:sz="0" w:space="0" w:color="auto"/>
        </w:pBdr>
        <w:tabs>
          <w:tab w:val="left" w:pos="0"/>
        </w:tabs>
        <w:spacing w:after="0"/>
        <w:ind w:left="0"/>
        <w:rPr>
          <w:color w:val="0033CC"/>
          <w:sz w:val="28"/>
          <w:szCs w:val="28"/>
        </w:rPr>
      </w:pPr>
      <w:r w:rsidRPr="00F84DB7">
        <w:rPr>
          <w:color w:val="0033CC"/>
          <w:sz w:val="28"/>
          <w:szCs w:val="28"/>
        </w:rPr>
        <w:t>INSTRUCTIONS FOR PREPARATION OF THE</w:t>
      </w:r>
    </w:p>
    <w:p w:rsidR="00496BCD" w:rsidRPr="00496BCD" w:rsidRDefault="00496BCD" w:rsidP="00496BCD">
      <w:pPr>
        <w:pBdr>
          <w:bottom w:val="single" w:sz="18" w:space="1" w:color="0000FF"/>
        </w:pBdr>
        <w:jc w:val="both"/>
        <w:rPr>
          <w:rFonts w:asciiTheme="majorHAnsi" w:hAnsiTheme="majorHAnsi"/>
          <w:b/>
          <w:color w:val="0033CC"/>
          <w:sz w:val="36"/>
          <w:szCs w:val="36"/>
        </w:rPr>
      </w:pPr>
      <w:r w:rsidRPr="00496BCD">
        <w:rPr>
          <w:rFonts w:asciiTheme="majorHAnsi" w:hAnsiTheme="majorHAnsi"/>
          <w:b/>
          <w:color w:val="0000CC"/>
          <w:sz w:val="36"/>
          <w:szCs w:val="36"/>
        </w:rPr>
        <w:t xml:space="preserve">Division of Banks Supplement to </w:t>
      </w:r>
      <w:r>
        <w:rPr>
          <w:rFonts w:asciiTheme="majorHAnsi" w:hAnsiTheme="majorHAnsi"/>
          <w:b/>
          <w:color w:val="0000CC"/>
          <w:sz w:val="36"/>
          <w:szCs w:val="36"/>
        </w:rPr>
        <w:t xml:space="preserve">the </w:t>
      </w:r>
      <w:r w:rsidRPr="00496BCD">
        <w:rPr>
          <w:rFonts w:asciiTheme="majorHAnsi" w:hAnsiTheme="majorHAnsi"/>
          <w:b/>
          <w:color w:val="0000CC"/>
          <w:sz w:val="36"/>
          <w:szCs w:val="36"/>
        </w:rPr>
        <w:t>Interagency Bank Merger Act</w:t>
      </w:r>
      <w:r>
        <w:rPr>
          <w:rFonts w:asciiTheme="majorHAnsi" w:hAnsiTheme="majorHAnsi"/>
          <w:b/>
          <w:color w:val="0000CC"/>
          <w:sz w:val="36"/>
          <w:szCs w:val="36"/>
        </w:rPr>
        <w:t xml:space="preserve"> </w:t>
      </w:r>
      <w:r w:rsidRPr="00496BCD">
        <w:rPr>
          <w:rFonts w:asciiTheme="majorHAnsi" w:hAnsiTheme="majorHAnsi"/>
          <w:b/>
          <w:color w:val="0000CC"/>
          <w:sz w:val="36"/>
          <w:szCs w:val="36"/>
        </w:rPr>
        <w:t>Application</w:t>
      </w:r>
    </w:p>
    <w:p w:rsidR="00496BCD" w:rsidRDefault="00496BCD" w:rsidP="00E550A0">
      <w:pPr>
        <w:tabs>
          <w:tab w:val="left" w:pos="0"/>
        </w:tabs>
        <w:suppressAutoHyphens/>
        <w:jc w:val="both"/>
        <w:rPr>
          <w:rFonts w:asciiTheme="minorHAnsi" w:hAnsiTheme="minorHAnsi"/>
          <w:b/>
          <w:sz w:val="26"/>
          <w:szCs w:val="26"/>
        </w:rPr>
      </w:pPr>
    </w:p>
    <w:p w:rsidR="00CE54C8" w:rsidRDefault="00CE54C8" w:rsidP="00E550A0">
      <w:pPr>
        <w:tabs>
          <w:tab w:val="left" w:pos="0"/>
        </w:tabs>
        <w:suppressAutoHyphens/>
        <w:jc w:val="both"/>
        <w:rPr>
          <w:rFonts w:asciiTheme="minorHAnsi" w:hAnsiTheme="minorHAnsi"/>
          <w:b/>
          <w:sz w:val="26"/>
          <w:szCs w:val="26"/>
        </w:rPr>
      </w:pPr>
      <w:r>
        <w:rPr>
          <w:rFonts w:asciiTheme="minorHAnsi" w:hAnsiTheme="minorHAnsi"/>
          <w:b/>
          <w:sz w:val="26"/>
          <w:szCs w:val="26"/>
        </w:rPr>
        <w:t>When to Use These Instructions</w:t>
      </w:r>
    </w:p>
    <w:p w:rsidR="00CE54C8" w:rsidRDefault="00867AD5" w:rsidP="00E550A0">
      <w:pPr>
        <w:tabs>
          <w:tab w:val="left" w:pos="0"/>
        </w:tabs>
        <w:suppressAutoHyphens/>
        <w:jc w:val="both"/>
        <w:rPr>
          <w:rFonts w:asciiTheme="minorHAnsi" w:hAnsiTheme="minorHAnsi"/>
          <w:szCs w:val="24"/>
        </w:rPr>
      </w:pPr>
      <w:r>
        <w:rPr>
          <w:rFonts w:asciiTheme="minorHAnsi" w:hAnsiTheme="minorHAnsi"/>
          <w:szCs w:val="24"/>
        </w:rPr>
        <w:t>Use these instructions t</w:t>
      </w:r>
      <w:r w:rsidR="00CE54C8" w:rsidRPr="00CE54C8">
        <w:rPr>
          <w:rFonts w:asciiTheme="minorHAnsi" w:hAnsiTheme="minorHAnsi"/>
          <w:szCs w:val="24"/>
        </w:rPr>
        <w:t>o apply to the Division of Banks (Division)</w:t>
      </w:r>
      <w:r w:rsidR="00CE54C8">
        <w:rPr>
          <w:rFonts w:asciiTheme="minorHAnsi" w:hAnsiTheme="minorHAnsi"/>
          <w:szCs w:val="24"/>
        </w:rPr>
        <w:t xml:space="preserve"> to merge or consolidate </w:t>
      </w:r>
      <w:r w:rsidR="00715645">
        <w:rPr>
          <w:rFonts w:asciiTheme="minorHAnsi" w:hAnsiTheme="minorHAnsi"/>
          <w:szCs w:val="24"/>
        </w:rPr>
        <w:t>one or more banks, thrift institution</w:t>
      </w:r>
      <w:r w:rsidR="00C465A0">
        <w:rPr>
          <w:rFonts w:asciiTheme="minorHAnsi" w:hAnsiTheme="minorHAnsi"/>
          <w:szCs w:val="24"/>
        </w:rPr>
        <w:t>s</w:t>
      </w:r>
      <w:r w:rsidR="00715645">
        <w:rPr>
          <w:rFonts w:asciiTheme="minorHAnsi" w:hAnsiTheme="minorHAnsi"/>
          <w:szCs w:val="24"/>
        </w:rPr>
        <w:t>, or credit union</w:t>
      </w:r>
      <w:r w:rsidR="00C465A0">
        <w:rPr>
          <w:rFonts w:asciiTheme="minorHAnsi" w:hAnsiTheme="minorHAnsi"/>
          <w:szCs w:val="24"/>
        </w:rPr>
        <w:t>s</w:t>
      </w:r>
      <w:r w:rsidR="00715645">
        <w:rPr>
          <w:rFonts w:asciiTheme="minorHAnsi" w:hAnsiTheme="minorHAnsi"/>
          <w:szCs w:val="24"/>
        </w:rPr>
        <w:t xml:space="preserve"> into a single bank or thrift institution under Massachusetts General Laws chapter 167I, sections 2 through 4.  </w:t>
      </w:r>
    </w:p>
    <w:p w:rsidR="00B21643" w:rsidRDefault="00B21643" w:rsidP="00E550A0">
      <w:pPr>
        <w:tabs>
          <w:tab w:val="left" w:pos="0"/>
        </w:tabs>
        <w:suppressAutoHyphens/>
        <w:jc w:val="both"/>
        <w:rPr>
          <w:rFonts w:asciiTheme="minorHAnsi" w:hAnsiTheme="minorHAnsi"/>
          <w:szCs w:val="24"/>
        </w:rPr>
      </w:pPr>
    </w:p>
    <w:p w:rsidR="00B21643" w:rsidRPr="00CE54C8" w:rsidRDefault="00B21643" w:rsidP="00E550A0">
      <w:pPr>
        <w:tabs>
          <w:tab w:val="left" w:pos="0"/>
        </w:tabs>
        <w:suppressAutoHyphens/>
        <w:jc w:val="both"/>
        <w:rPr>
          <w:rFonts w:asciiTheme="minorHAnsi" w:hAnsiTheme="minorHAnsi"/>
          <w:szCs w:val="24"/>
        </w:rPr>
      </w:pPr>
      <w:r>
        <w:rPr>
          <w:rFonts w:asciiTheme="minorHAnsi" w:hAnsiTheme="minorHAnsi"/>
          <w:szCs w:val="24"/>
        </w:rPr>
        <w:t>These instr</w:t>
      </w:r>
      <w:r w:rsidR="00D77C61">
        <w:rPr>
          <w:rFonts w:asciiTheme="minorHAnsi" w:hAnsiTheme="minorHAnsi"/>
          <w:szCs w:val="24"/>
        </w:rPr>
        <w:t>uctions should also be used if the</w:t>
      </w:r>
      <w:r>
        <w:rPr>
          <w:rFonts w:asciiTheme="minorHAnsi" w:hAnsiTheme="minorHAnsi"/>
          <w:szCs w:val="24"/>
        </w:rPr>
        <w:t xml:space="preserve"> bank merger described above is </w:t>
      </w:r>
      <w:r w:rsidRPr="00B95919">
        <w:rPr>
          <w:rFonts w:asciiTheme="minorHAnsi" w:hAnsiTheme="minorHAnsi"/>
        </w:rPr>
        <w:t xml:space="preserve">part of a multi-step transaction </w:t>
      </w:r>
      <w:r>
        <w:rPr>
          <w:rFonts w:asciiTheme="minorHAnsi" w:hAnsiTheme="minorHAnsi"/>
        </w:rPr>
        <w:t xml:space="preserve">in which </w:t>
      </w:r>
      <w:r w:rsidR="00DC6712">
        <w:rPr>
          <w:rFonts w:asciiTheme="minorHAnsi" w:hAnsiTheme="minorHAnsi"/>
        </w:rPr>
        <w:t>the</w:t>
      </w:r>
      <w:r w:rsidRPr="00B95919">
        <w:rPr>
          <w:rFonts w:asciiTheme="minorHAnsi" w:hAnsiTheme="minorHAnsi"/>
        </w:rPr>
        <w:t xml:space="preserve"> acquisition</w:t>
      </w:r>
      <w:r w:rsidR="00DC6712">
        <w:rPr>
          <w:rFonts w:asciiTheme="minorHAnsi" w:hAnsiTheme="minorHAnsi"/>
        </w:rPr>
        <w:t>, consolidation, or asset purchase</w:t>
      </w:r>
      <w:r w:rsidRPr="00B95919">
        <w:rPr>
          <w:rFonts w:asciiTheme="minorHAnsi" w:hAnsiTheme="minorHAnsi"/>
        </w:rPr>
        <w:t xml:space="preserve"> of a bank holding company (m</w:t>
      </w:r>
      <w:r w:rsidR="00D77C61">
        <w:rPr>
          <w:rFonts w:asciiTheme="minorHAnsi" w:hAnsiTheme="minorHAnsi"/>
        </w:rPr>
        <w:t>utual or stock) is occurring simultaneously with</w:t>
      </w:r>
      <w:r w:rsidRPr="00B95919">
        <w:rPr>
          <w:rFonts w:asciiTheme="minorHAnsi" w:hAnsiTheme="minorHAnsi"/>
        </w:rPr>
        <w:t xml:space="preserve"> the </w:t>
      </w:r>
      <w:r w:rsidR="00D77C61">
        <w:rPr>
          <w:rFonts w:asciiTheme="minorHAnsi" w:hAnsiTheme="minorHAnsi"/>
        </w:rPr>
        <w:t xml:space="preserve">bank </w:t>
      </w:r>
      <w:r w:rsidRPr="00B95919">
        <w:rPr>
          <w:rFonts w:asciiTheme="minorHAnsi" w:hAnsiTheme="minorHAnsi"/>
        </w:rPr>
        <w:t>merger</w:t>
      </w:r>
      <w:r w:rsidR="00DC6712">
        <w:rPr>
          <w:rFonts w:asciiTheme="minorHAnsi" w:hAnsiTheme="minorHAnsi"/>
        </w:rPr>
        <w:t xml:space="preserve"> </w:t>
      </w:r>
      <w:r w:rsidR="00D77C61">
        <w:rPr>
          <w:rFonts w:asciiTheme="minorHAnsi" w:hAnsiTheme="minorHAnsi"/>
        </w:rPr>
        <w:t>pursuant to Massachusetts General Laws chapter 167A, section 3.</w:t>
      </w:r>
      <w:r w:rsidR="00A3682D">
        <w:rPr>
          <w:rFonts w:asciiTheme="minorHAnsi" w:hAnsiTheme="minorHAnsi"/>
        </w:rPr>
        <w:t xml:space="preserve">  </w:t>
      </w:r>
      <w:r w:rsidR="00A3682D" w:rsidRPr="003A561A">
        <w:rPr>
          <w:rFonts w:asciiTheme="minorHAnsi" w:hAnsiTheme="minorHAnsi"/>
          <w:spacing w:val="-3"/>
          <w:szCs w:val="24"/>
        </w:rPr>
        <w:t xml:space="preserve"> </w:t>
      </w:r>
      <w:r>
        <w:rPr>
          <w:rFonts w:asciiTheme="minorHAnsi" w:hAnsiTheme="minorHAnsi"/>
          <w:szCs w:val="24"/>
        </w:rPr>
        <w:t xml:space="preserve"> </w:t>
      </w:r>
    </w:p>
    <w:p w:rsidR="00CE54C8" w:rsidRDefault="00CE54C8" w:rsidP="00E550A0">
      <w:pPr>
        <w:tabs>
          <w:tab w:val="left" w:pos="0"/>
        </w:tabs>
        <w:suppressAutoHyphens/>
        <w:jc w:val="both"/>
        <w:rPr>
          <w:rFonts w:asciiTheme="minorHAnsi" w:hAnsiTheme="minorHAnsi"/>
          <w:b/>
          <w:sz w:val="26"/>
          <w:szCs w:val="26"/>
        </w:rPr>
      </w:pPr>
    </w:p>
    <w:p w:rsidR="00E550A0" w:rsidRPr="00E550A0" w:rsidRDefault="00E550A0" w:rsidP="00E550A0">
      <w:pPr>
        <w:tabs>
          <w:tab w:val="left" w:pos="0"/>
        </w:tabs>
        <w:suppressAutoHyphens/>
        <w:jc w:val="both"/>
        <w:rPr>
          <w:rFonts w:asciiTheme="minorHAnsi" w:hAnsiTheme="minorHAnsi"/>
          <w:spacing w:val="-3"/>
          <w:szCs w:val="24"/>
        </w:rPr>
      </w:pPr>
      <w:r w:rsidRPr="00E550A0">
        <w:rPr>
          <w:rFonts w:asciiTheme="minorHAnsi" w:hAnsiTheme="minorHAnsi"/>
          <w:b/>
          <w:sz w:val="26"/>
          <w:szCs w:val="26"/>
        </w:rPr>
        <w:t>Application Requirements</w:t>
      </w:r>
    </w:p>
    <w:p w:rsidR="00F05EF3" w:rsidRPr="00F05EF3" w:rsidRDefault="00F05EF3" w:rsidP="00F05EF3">
      <w:pPr>
        <w:tabs>
          <w:tab w:val="left" w:pos="720"/>
        </w:tabs>
        <w:jc w:val="both"/>
        <w:rPr>
          <w:rFonts w:asciiTheme="minorHAnsi" w:hAnsiTheme="minorHAnsi"/>
        </w:rPr>
      </w:pPr>
      <w:r w:rsidRPr="00F05EF3">
        <w:rPr>
          <w:rFonts w:asciiTheme="minorHAnsi" w:hAnsiTheme="minorHAnsi"/>
        </w:rPr>
        <w:t>A complete application includes the following as detailed below:</w:t>
      </w:r>
    </w:p>
    <w:p w:rsidR="00562BEC" w:rsidRDefault="00A3682D"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An e</w:t>
      </w:r>
      <w:r w:rsidR="00562BEC">
        <w:rPr>
          <w:rFonts w:asciiTheme="minorHAnsi" w:hAnsiTheme="minorHAnsi"/>
          <w:spacing w:val="-3"/>
          <w:szCs w:val="24"/>
        </w:rPr>
        <w:t xml:space="preserve">lectronic copy of the complete </w:t>
      </w:r>
      <w:hyperlink r:id="rId9" w:history="1">
        <w:r w:rsidR="00AF5319" w:rsidRPr="00AF5319">
          <w:rPr>
            <w:rStyle w:val="Hyperlink"/>
            <w:rFonts w:asciiTheme="minorHAnsi" w:hAnsiTheme="minorHAnsi"/>
            <w:spacing w:val="-3"/>
            <w:szCs w:val="24"/>
          </w:rPr>
          <w:t>“</w:t>
        </w:r>
        <w:r w:rsidR="00562BEC" w:rsidRPr="00AF5319">
          <w:rPr>
            <w:rStyle w:val="Hyperlink"/>
            <w:rFonts w:asciiTheme="minorHAnsi" w:hAnsiTheme="minorHAnsi"/>
            <w:spacing w:val="-3"/>
            <w:szCs w:val="24"/>
          </w:rPr>
          <w:t>Interagency Bank Merger Act Application</w:t>
        </w:r>
        <w:r w:rsidR="00AF5319" w:rsidRPr="00AF5319">
          <w:rPr>
            <w:rStyle w:val="Hyperlink"/>
            <w:rFonts w:asciiTheme="minorHAnsi" w:hAnsiTheme="minorHAnsi"/>
            <w:spacing w:val="-3"/>
            <w:szCs w:val="24"/>
          </w:rPr>
          <w:t>”</w:t>
        </w:r>
      </w:hyperlink>
      <w:r w:rsidR="00562BEC">
        <w:rPr>
          <w:rFonts w:asciiTheme="minorHAnsi" w:hAnsiTheme="minorHAnsi"/>
          <w:spacing w:val="-3"/>
          <w:szCs w:val="24"/>
        </w:rPr>
        <w:t xml:space="preserve"> </w:t>
      </w:r>
      <w:r w:rsidR="009A1F68">
        <w:rPr>
          <w:rFonts w:asciiTheme="minorHAnsi" w:hAnsiTheme="minorHAnsi"/>
          <w:spacing w:val="-3"/>
          <w:szCs w:val="24"/>
        </w:rPr>
        <w:t xml:space="preserve">submitted to the applicable federal regulatory agency, </w:t>
      </w:r>
      <w:r w:rsidR="00562BEC">
        <w:rPr>
          <w:rFonts w:asciiTheme="minorHAnsi" w:hAnsiTheme="minorHAnsi"/>
          <w:spacing w:val="-3"/>
          <w:szCs w:val="24"/>
        </w:rPr>
        <w:t>including all supplemental information filed with the application</w:t>
      </w:r>
      <w:r>
        <w:rPr>
          <w:rFonts w:asciiTheme="minorHAnsi" w:hAnsiTheme="minorHAnsi"/>
          <w:spacing w:val="-3"/>
          <w:szCs w:val="24"/>
        </w:rPr>
        <w:t>;</w:t>
      </w:r>
    </w:p>
    <w:p w:rsidR="003A561A" w:rsidRPr="003A561A" w:rsidRDefault="002D7BBB" w:rsidP="00E550A0">
      <w:pPr>
        <w:numPr>
          <w:ilvl w:val="0"/>
          <w:numId w:val="31"/>
        </w:numPr>
        <w:tabs>
          <w:tab w:val="left" w:pos="0"/>
        </w:tabs>
        <w:suppressAutoHyphens/>
        <w:jc w:val="both"/>
        <w:rPr>
          <w:rFonts w:asciiTheme="minorHAnsi" w:hAnsiTheme="minorHAnsi"/>
          <w:spacing w:val="-3"/>
          <w:szCs w:val="24"/>
        </w:rPr>
      </w:pPr>
      <w:r w:rsidRPr="003A561A">
        <w:rPr>
          <w:rFonts w:asciiTheme="minorHAnsi" w:hAnsiTheme="minorHAnsi"/>
          <w:spacing w:val="-3"/>
          <w:szCs w:val="24"/>
        </w:rPr>
        <w:t xml:space="preserve">A printed copy </w:t>
      </w:r>
      <w:r w:rsidR="00042FA0" w:rsidRPr="003A561A">
        <w:rPr>
          <w:rFonts w:asciiTheme="minorHAnsi" w:hAnsiTheme="minorHAnsi"/>
          <w:spacing w:val="-3"/>
          <w:szCs w:val="24"/>
          <w:u w:val="single"/>
        </w:rPr>
        <w:t>and</w:t>
      </w:r>
      <w:r w:rsidR="00042FA0" w:rsidRPr="003A561A">
        <w:rPr>
          <w:rFonts w:asciiTheme="minorHAnsi" w:hAnsiTheme="minorHAnsi"/>
          <w:spacing w:val="-3"/>
          <w:szCs w:val="24"/>
        </w:rPr>
        <w:t xml:space="preserve"> an electronic copy </w:t>
      </w:r>
      <w:r w:rsidRPr="003A561A">
        <w:rPr>
          <w:rFonts w:asciiTheme="minorHAnsi" w:hAnsiTheme="minorHAnsi"/>
          <w:spacing w:val="-3"/>
          <w:szCs w:val="24"/>
        </w:rPr>
        <w:t xml:space="preserve">of the </w:t>
      </w:r>
      <w:r w:rsidR="00807AE6" w:rsidRPr="003A561A">
        <w:rPr>
          <w:rFonts w:asciiTheme="minorHAnsi" w:hAnsiTheme="minorHAnsi"/>
          <w:spacing w:val="-3"/>
          <w:szCs w:val="24"/>
        </w:rPr>
        <w:t>Division of Banks Supplement to</w:t>
      </w:r>
      <w:r w:rsidR="00496BCD">
        <w:rPr>
          <w:rFonts w:asciiTheme="minorHAnsi" w:hAnsiTheme="minorHAnsi"/>
          <w:spacing w:val="-3"/>
          <w:szCs w:val="24"/>
        </w:rPr>
        <w:t xml:space="preserve"> the</w:t>
      </w:r>
      <w:r w:rsidR="00807AE6" w:rsidRPr="003A561A">
        <w:rPr>
          <w:rFonts w:asciiTheme="minorHAnsi" w:hAnsiTheme="minorHAnsi"/>
          <w:spacing w:val="-3"/>
          <w:szCs w:val="24"/>
        </w:rPr>
        <w:t xml:space="preserve"> Interagency Bank Merger Act Application</w:t>
      </w:r>
      <w:r w:rsidR="00A3682D">
        <w:rPr>
          <w:rFonts w:asciiTheme="minorHAnsi" w:hAnsiTheme="minorHAnsi"/>
          <w:spacing w:val="-3"/>
          <w:szCs w:val="24"/>
        </w:rPr>
        <w:t>; and</w:t>
      </w:r>
    </w:p>
    <w:p w:rsidR="004859DF" w:rsidRDefault="00A3682D"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An a</w:t>
      </w:r>
      <w:r w:rsidR="002D7BBB" w:rsidRPr="00562BEC">
        <w:rPr>
          <w:rFonts w:asciiTheme="minorHAnsi" w:hAnsiTheme="minorHAnsi"/>
          <w:spacing w:val="-3"/>
          <w:szCs w:val="24"/>
        </w:rPr>
        <w:t xml:space="preserve">pplication fee in the amount of $2,500.00 payable to the Division of Banks must be submitted by the applicant at the time of the filing of the application.  </w:t>
      </w:r>
    </w:p>
    <w:p w:rsidR="004859DF" w:rsidRDefault="004859DF" w:rsidP="004859DF">
      <w:pPr>
        <w:tabs>
          <w:tab w:val="left" w:pos="0"/>
        </w:tabs>
        <w:suppressAutoHyphens/>
        <w:jc w:val="both"/>
        <w:rPr>
          <w:rFonts w:asciiTheme="minorHAnsi" w:hAnsiTheme="minorHAnsi"/>
          <w:spacing w:val="-3"/>
          <w:szCs w:val="24"/>
        </w:rPr>
      </w:pPr>
    </w:p>
    <w:p w:rsidR="004859DF" w:rsidRDefault="004859DF" w:rsidP="004859DF">
      <w:pPr>
        <w:tabs>
          <w:tab w:val="left" w:pos="0"/>
        </w:tabs>
        <w:suppressAutoHyphens/>
        <w:jc w:val="both"/>
        <w:rPr>
          <w:rFonts w:asciiTheme="minorHAnsi" w:hAnsiTheme="minorHAnsi"/>
          <w:spacing w:val="-3"/>
          <w:szCs w:val="24"/>
        </w:rPr>
      </w:pPr>
      <w:r>
        <w:rPr>
          <w:rFonts w:asciiTheme="minorHAnsi" w:hAnsiTheme="minorHAnsi"/>
          <w:b/>
          <w:sz w:val="26"/>
          <w:szCs w:val="26"/>
        </w:rPr>
        <w:t>Submission Instructions</w:t>
      </w:r>
    </w:p>
    <w:p w:rsidR="002D7BBB" w:rsidRPr="004859DF" w:rsidRDefault="00A804CF" w:rsidP="004859DF">
      <w:pPr>
        <w:tabs>
          <w:tab w:val="left" w:pos="0"/>
        </w:tabs>
        <w:suppressAutoHyphens/>
        <w:jc w:val="both"/>
        <w:rPr>
          <w:rFonts w:asciiTheme="minorHAnsi" w:hAnsiTheme="minorHAnsi"/>
          <w:spacing w:val="-3"/>
          <w:szCs w:val="24"/>
        </w:rPr>
      </w:pPr>
      <w:r>
        <w:rPr>
          <w:rFonts w:asciiTheme="minorHAnsi" w:hAnsiTheme="minorHAnsi"/>
          <w:spacing w:val="-3"/>
          <w:szCs w:val="24"/>
        </w:rPr>
        <w:t xml:space="preserve">Submission of the electronic </w:t>
      </w:r>
      <w:r w:rsidR="00B528AA">
        <w:rPr>
          <w:rFonts w:asciiTheme="minorHAnsi" w:hAnsiTheme="minorHAnsi"/>
          <w:spacing w:val="-3"/>
          <w:szCs w:val="24"/>
        </w:rPr>
        <w:t>document(s)</w:t>
      </w:r>
      <w:r>
        <w:rPr>
          <w:rFonts w:asciiTheme="minorHAnsi" w:hAnsiTheme="minorHAnsi"/>
          <w:spacing w:val="-3"/>
          <w:szCs w:val="24"/>
        </w:rPr>
        <w:t xml:space="preserve"> must be made on a secure compact disc or USB drive.  </w:t>
      </w:r>
      <w:r w:rsidR="009E074B" w:rsidRPr="00154ADC">
        <w:rPr>
          <w:rFonts w:asciiTheme="minorHAnsi" w:hAnsiTheme="minorHAnsi"/>
          <w:spacing w:val="-3"/>
          <w:szCs w:val="24"/>
        </w:rPr>
        <w:t xml:space="preserve">Applicants must submit only </w:t>
      </w:r>
      <w:r w:rsidR="009E074B" w:rsidRPr="00154ADC">
        <w:rPr>
          <w:rFonts w:asciiTheme="minorHAnsi" w:hAnsiTheme="minorHAnsi"/>
          <w:spacing w:val="-3"/>
        </w:rPr>
        <w:t>the information requested on the attached pages</w:t>
      </w:r>
      <w:r w:rsidR="009E074B" w:rsidRPr="00154ADC">
        <w:rPr>
          <w:rFonts w:asciiTheme="minorHAnsi" w:hAnsiTheme="minorHAnsi"/>
          <w:spacing w:val="-3"/>
          <w:szCs w:val="24"/>
        </w:rPr>
        <w:t xml:space="preserve">. </w:t>
      </w:r>
      <w:r w:rsidR="009E074B">
        <w:rPr>
          <w:rFonts w:asciiTheme="minorHAnsi" w:hAnsiTheme="minorHAnsi"/>
          <w:spacing w:val="-3"/>
          <w:szCs w:val="24"/>
        </w:rPr>
        <w:t xml:space="preserve"> </w:t>
      </w:r>
      <w:r w:rsidR="002D7BBB" w:rsidRPr="004859DF">
        <w:rPr>
          <w:rFonts w:asciiTheme="minorHAnsi" w:hAnsiTheme="minorHAnsi"/>
          <w:spacing w:val="-3"/>
          <w:szCs w:val="24"/>
        </w:rPr>
        <w:t xml:space="preserve">The </w:t>
      </w:r>
      <w:r w:rsidR="00FD438D">
        <w:rPr>
          <w:rFonts w:asciiTheme="minorHAnsi" w:hAnsiTheme="minorHAnsi"/>
          <w:spacing w:val="-3"/>
          <w:szCs w:val="24"/>
        </w:rPr>
        <w:t xml:space="preserve">printed copy of the application and </w:t>
      </w:r>
      <w:r>
        <w:rPr>
          <w:rFonts w:asciiTheme="minorHAnsi" w:hAnsiTheme="minorHAnsi"/>
          <w:spacing w:val="-3"/>
          <w:szCs w:val="24"/>
        </w:rPr>
        <w:t xml:space="preserve">the compact disc or USB drive </w:t>
      </w:r>
      <w:r w:rsidR="002D7BBB" w:rsidRPr="004859DF">
        <w:rPr>
          <w:rFonts w:asciiTheme="minorHAnsi" w:hAnsiTheme="minorHAnsi"/>
          <w:spacing w:val="-3"/>
          <w:szCs w:val="24"/>
        </w:rPr>
        <w:t>should be mailed to:</w:t>
      </w:r>
    </w:p>
    <w:p w:rsidR="002D7BBB" w:rsidRPr="00154ADC" w:rsidRDefault="002D7BBB" w:rsidP="002D7BBB">
      <w:pPr>
        <w:tabs>
          <w:tab w:val="left" w:pos="0"/>
        </w:tabs>
        <w:suppressAutoHyphens/>
        <w:ind w:left="720"/>
        <w:jc w:val="both"/>
        <w:rPr>
          <w:rFonts w:asciiTheme="minorHAnsi" w:hAnsiTheme="minorHAnsi"/>
          <w:spacing w:val="-3"/>
          <w:szCs w:val="24"/>
        </w:rPr>
      </w:pPr>
    </w:p>
    <w:p w:rsidR="002D7BBB" w:rsidRPr="00154ADC" w:rsidRDefault="00FD438D" w:rsidP="00FD438D">
      <w:pPr>
        <w:tabs>
          <w:tab w:val="left" w:pos="0"/>
        </w:tabs>
        <w:suppressAutoHyphens/>
        <w:jc w:val="both"/>
        <w:rPr>
          <w:rFonts w:asciiTheme="minorHAnsi" w:hAnsiTheme="minorHAnsi"/>
          <w:spacing w:val="-3"/>
          <w:szCs w:val="24"/>
        </w:rPr>
      </w:pPr>
      <w:r>
        <w:rPr>
          <w:rFonts w:asciiTheme="minorHAnsi" w:hAnsiTheme="minorHAnsi"/>
          <w:spacing w:val="-3"/>
          <w:szCs w:val="24"/>
        </w:rPr>
        <w:tab/>
      </w:r>
      <w:r>
        <w:rPr>
          <w:rFonts w:asciiTheme="minorHAnsi" w:hAnsiTheme="minorHAnsi"/>
          <w:spacing w:val="-3"/>
          <w:szCs w:val="24"/>
        </w:rPr>
        <w:tab/>
      </w:r>
      <w:r w:rsidR="002D7BBB" w:rsidRPr="00154ADC">
        <w:rPr>
          <w:rFonts w:asciiTheme="minorHAnsi" w:hAnsiTheme="minorHAnsi"/>
          <w:spacing w:val="-3"/>
          <w:szCs w:val="24"/>
        </w:rPr>
        <w:t>Commonwealth of Massachusetts</w:t>
      </w:r>
    </w:p>
    <w:p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Division of Banks</w:t>
      </w:r>
    </w:p>
    <w:p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Attn: Legal Unit</w:t>
      </w:r>
    </w:p>
    <w:p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1000 Washington Street, 10</w:t>
      </w:r>
      <w:r w:rsidRPr="00154ADC">
        <w:rPr>
          <w:rFonts w:asciiTheme="minorHAnsi" w:hAnsiTheme="minorHAnsi"/>
          <w:spacing w:val="-3"/>
          <w:szCs w:val="24"/>
          <w:vertAlign w:val="superscript"/>
        </w:rPr>
        <w:t>th</w:t>
      </w:r>
      <w:r w:rsidRPr="00154ADC">
        <w:rPr>
          <w:rFonts w:asciiTheme="minorHAnsi" w:hAnsiTheme="minorHAnsi"/>
          <w:spacing w:val="-3"/>
          <w:szCs w:val="24"/>
        </w:rPr>
        <w:t xml:space="preserve"> Floor</w:t>
      </w:r>
    </w:p>
    <w:p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Boston, MA 02118-6400</w:t>
      </w:r>
      <w:r w:rsidRPr="00154ADC">
        <w:rPr>
          <w:rFonts w:asciiTheme="minorHAnsi" w:hAnsiTheme="minorHAnsi"/>
          <w:spacing w:val="-3"/>
          <w:szCs w:val="24"/>
        </w:rPr>
        <w:tab/>
        <w:t xml:space="preserve">   </w:t>
      </w:r>
    </w:p>
    <w:p w:rsidR="004859DF" w:rsidRDefault="004859DF" w:rsidP="002D7BBB">
      <w:pPr>
        <w:tabs>
          <w:tab w:val="left" w:pos="-720"/>
        </w:tabs>
        <w:suppressAutoHyphens/>
        <w:jc w:val="both"/>
        <w:rPr>
          <w:rFonts w:asciiTheme="minorHAnsi" w:hAnsiTheme="minorHAnsi"/>
          <w:b/>
          <w:sz w:val="26"/>
          <w:szCs w:val="26"/>
        </w:rPr>
      </w:pPr>
    </w:p>
    <w:p w:rsidR="004859DF" w:rsidRDefault="004859DF" w:rsidP="004859DF">
      <w:pPr>
        <w:tabs>
          <w:tab w:val="left" w:pos="-720"/>
        </w:tabs>
        <w:suppressAutoHyphens/>
        <w:jc w:val="both"/>
        <w:rPr>
          <w:rFonts w:asciiTheme="minorHAnsi" w:hAnsiTheme="minorHAnsi"/>
          <w:b/>
          <w:sz w:val="26"/>
          <w:szCs w:val="26"/>
        </w:rPr>
      </w:pPr>
      <w:r w:rsidRPr="00154ADC">
        <w:rPr>
          <w:rFonts w:asciiTheme="minorHAnsi" w:hAnsiTheme="minorHAnsi"/>
          <w:szCs w:val="24"/>
        </w:rPr>
        <w:t>If this application involves an interstate transaction, please contact the Division’s Legal Unit relative to any additional procedures or information that may be required.</w:t>
      </w:r>
    </w:p>
    <w:p w:rsidR="00AB4505" w:rsidRDefault="00AB4505" w:rsidP="002D7BBB">
      <w:pPr>
        <w:tabs>
          <w:tab w:val="left" w:pos="-720"/>
        </w:tabs>
        <w:suppressAutoHyphens/>
        <w:jc w:val="both"/>
        <w:rPr>
          <w:rFonts w:asciiTheme="minorHAnsi" w:hAnsiTheme="minorHAnsi"/>
          <w:b/>
          <w:sz w:val="26"/>
          <w:szCs w:val="26"/>
        </w:rPr>
      </w:pPr>
    </w:p>
    <w:p w:rsidR="009E074B" w:rsidRDefault="009E074B" w:rsidP="002D7BBB">
      <w:pPr>
        <w:tabs>
          <w:tab w:val="left" w:pos="-720"/>
        </w:tabs>
        <w:suppressAutoHyphens/>
        <w:jc w:val="both"/>
        <w:rPr>
          <w:rFonts w:asciiTheme="minorHAnsi" w:hAnsiTheme="minorHAnsi"/>
          <w:b/>
          <w:sz w:val="26"/>
          <w:szCs w:val="26"/>
        </w:rPr>
      </w:pPr>
    </w:p>
    <w:p w:rsidR="009E074B" w:rsidRDefault="009E074B" w:rsidP="002D7BBB">
      <w:pPr>
        <w:tabs>
          <w:tab w:val="left" w:pos="-720"/>
        </w:tabs>
        <w:suppressAutoHyphens/>
        <w:jc w:val="both"/>
        <w:rPr>
          <w:rFonts w:asciiTheme="minorHAnsi" w:hAnsiTheme="minorHAnsi"/>
          <w:b/>
          <w:sz w:val="26"/>
          <w:szCs w:val="26"/>
        </w:rPr>
      </w:pPr>
    </w:p>
    <w:p w:rsidR="009E074B" w:rsidRDefault="009E074B" w:rsidP="002D7BBB">
      <w:pPr>
        <w:tabs>
          <w:tab w:val="left" w:pos="-720"/>
        </w:tabs>
        <w:suppressAutoHyphens/>
        <w:jc w:val="both"/>
        <w:rPr>
          <w:rFonts w:asciiTheme="minorHAnsi" w:hAnsiTheme="minorHAnsi"/>
          <w:b/>
          <w:sz w:val="26"/>
          <w:szCs w:val="26"/>
        </w:rPr>
      </w:pPr>
    </w:p>
    <w:p w:rsidR="002D7BBB" w:rsidRDefault="004859DF" w:rsidP="002D7BBB">
      <w:pPr>
        <w:tabs>
          <w:tab w:val="left" w:pos="-720"/>
        </w:tabs>
        <w:suppressAutoHyphens/>
        <w:jc w:val="both"/>
        <w:rPr>
          <w:rFonts w:asciiTheme="minorHAnsi" w:hAnsiTheme="minorHAnsi"/>
          <w:spacing w:val="-3"/>
          <w:szCs w:val="24"/>
        </w:rPr>
      </w:pPr>
      <w:r w:rsidRPr="00E550A0">
        <w:rPr>
          <w:rFonts w:asciiTheme="minorHAnsi" w:hAnsiTheme="minorHAnsi"/>
          <w:b/>
          <w:sz w:val="26"/>
          <w:szCs w:val="26"/>
        </w:rPr>
        <w:t xml:space="preserve">Application </w:t>
      </w:r>
      <w:r>
        <w:rPr>
          <w:rFonts w:asciiTheme="minorHAnsi" w:hAnsiTheme="minorHAnsi"/>
          <w:b/>
          <w:sz w:val="26"/>
          <w:szCs w:val="26"/>
        </w:rPr>
        <w:t>Deadline</w:t>
      </w:r>
    </w:p>
    <w:p w:rsidR="003A561A" w:rsidRDefault="003A561A" w:rsidP="002D7BBB">
      <w:pPr>
        <w:tabs>
          <w:tab w:val="left" w:pos="-720"/>
        </w:tabs>
        <w:suppressAutoHyphens/>
        <w:jc w:val="both"/>
        <w:rPr>
          <w:rFonts w:asciiTheme="minorHAnsi" w:hAnsiTheme="minorHAnsi"/>
        </w:rPr>
      </w:pPr>
      <w:r w:rsidRPr="003A561A">
        <w:rPr>
          <w:rFonts w:asciiTheme="minorHAnsi" w:hAnsiTheme="minorHAnsi"/>
          <w:spacing w:val="-3"/>
          <w:szCs w:val="24"/>
        </w:rPr>
        <w:t>Applicants must file before 5 P.M. on the 15</w:t>
      </w:r>
      <w:r w:rsidRPr="003A561A">
        <w:rPr>
          <w:rFonts w:asciiTheme="minorHAnsi" w:hAnsiTheme="minorHAnsi"/>
          <w:spacing w:val="-3"/>
          <w:szCs w:val="24"/>
          <w:vertAlign w:val="superscript"/>
        </w:rPr>
        <w:t>th</w:t>
      </w:r>
      <w:r w:rsidRPr="003A561A">
        <w:rPr>
          <w:rFonts w:asciiTheme="minorHAnsi" w:hAnsiTheme="minorHAnsi"/>
          <w:spacing w:val="-3"/>
          <w:szCs w:val="24"/>
        </w:rPr>
        <w:t xml:space="preserve"> </w:t>
      </w:r>
      <w:r w:rsidRPr="003A561A">
        <w:rPr>
          <w:rFonts w:asciiTheme="minorHAnsi" w:hAnsiTheme="minorHAnsi"/>
        </w:rPr>
        <w:t>of the month in order to be considered received during the month; provided however, that when the 15</w:t>
      </w:r>
      <w:r w:rsidRPr="003A561A">
        <w:rPr>
          <w:rFonts w:asciiTheme="minorHAnsi" w:hAnsiTheme="minorHAnsi"/>
          <w:vertAlign w:val="superscript"/>
        </w:rPr>
        <w:t>th</w:t>
      </w:r>
      <w:r w:rsidRPr="003A561A">
        <w:rPr>
          <w:rFonts w:asciiTheme="minorHAnsi" w:hAnsiTheme="minorHAnsi"/>
        </w:rPr>
        <w:t xml:space="preserve"> falls on a Sunday or a legal holiday the next business day shall be the filing day.</w:t>
      </w:r>
    </w:p>
    <w:p w:rsidR="003A561A" w:rsidRPr="00154ADC" w:rsidRDefault="003A561A" w:rsidP="002D7BBB">
      <w:pPr>
        <w:tabs>
          <w:tab w:val="left" w:pos="-720"/>
        </w:tabs>
        <w:suppressAutoHyphens/>
        <w:jc w:val="both"/>
        <w:rPr>
          <w:rFonts w:asciiTheme="minorHAnsi" w:hAnsiTheme="minorHAnsi"/>
          <w:spacing w:val="-3"/>
          <w:szCs w:val="24"/>
        </w:rPr>
      </w:pPr>
    </w:p>
    <w:p w:rsidR="00D57A0C" w:rsidRPr="00D57A0C" w:rsidRDefault="00D57A0C" w:rsidP="00D57A0C">
      <w:pPr>
        <w:tabs>
          <w:tab w:val="left" w:pos="-720"/>
          <w:tab w:val="left" w:pos="0"/>
        </w:tabs>
        <w:suppressAutoHyphens/>
        <w:jc w:val="both"/>
        <w:rPr>
          <w:rFonts w:asciiTheme="minorHAnsi" w:hAnsiTheme="minorHAnsi"/>
          <w:b/>
          <w:spacing w:val="-3"/>
          <w:sz w:val="26"/>
          <w:szCs w:val="26"/>
        </w:rPr>
      </w:pPr>
      <w:r w:rsidRPr="00D57A0C">
        <w:rPr>
          <w:rFonts w:asciiTheme="minorHAnsi" w:hAnsiTheme="minorHAnsi"/>
          <w:b/>
          <w:spacing w:val="-3"/>
          <w:sz w:val="26"/>
          <w:szCs w:val="26"/>
        </w:rPr>
        <w:t>Notice Requirements</w:t>
      </w:r>
    </w:p>
    <w:p w:rsidR="002D7BBB" w:rsidRPr="00154ADC"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 xml:space="preserve">Upon acceptance of a completed application, the Division will provide </w:t>
      </w:r>
      <w:r w:rsidR="00D40E65">
        <w:rPr>
          <w:rFonts w:asciiTheme="minorHAnsi" w:hAnsiTheme="minorHAnsi"/>
          <w:spacing w:val="-3"/>
          <w:szCs w:val="24"/>
        </w:rPr>
        <w:t xml:space="preserve">the applicant with </w:t>
      </w:r>
      <w:r w:rsidRPr="00154ADC">
        <w:rPr>
          <w:rFonts w:asciiTheme="minorHAnsi" w:hAnsiTheme="minorHAnsi"/>
          <w:spacing w:val="-3"/>
          <w:szCs w:val="24"/>
        </w:rPr>
        <w:t>a no</w:t>
      </w:r>
      <w:r w:rsidR="0094734A">
        <w:rPr>
          <w:rFonts w:asciiTheme="minorHAnsi" w:hAnsiTheme="minorHAnsi"/>
          <w:spacing w:val="-3"/>
          <w:szCs w:val="24"/>
        </w:rPr>
        <w:t>tice for publication and specific instructions for the publication and posting of notice</w:t>
      </w:r>
      <w:r w:rsidRPr="00154ADC">
        <w:rPr>
          <w:rFonts w:asciiTheme="minorHAnsi" w:hAnsiTheme="minorHAnsi"/>
          <w:spacing w:val="-3"/>
          <w:szCs w:val="24"/>
        </w:rPr>
        <w:t xml:space="preserve">.  The notice must appear in a newspaper </w:t>
      </w:r>
      <w:r w:rsidR="00FF61D8">
        <w:rPr>
          <w:rFonts w:asciiTheme="minorHAnsi" w:hAnsiTheme="minorHAnsi"/>
          <w:spacing w:val="-3"/>
          <w:szCs w:val="24"/>
        </w:rPr>
        <w:t xml:space="preserve">of general circulation in the </w:t>
      </w:r>
      <w:r w:rsidR="00D22274">
        <w:rPr>
          <w:rFonts w:asciiTheme="minorHAnsi" w:hAnsiTheme="minorHAnsi"/>
          <w:spacing w:val="-3"/>
          <w:szCs w:val="24"/>
        </w:rPr>
        <w:t>city or town</w:t>
      </w:r>
      <w:r w:rsidR="00FF61D8">
        <w:rPr>
          <w:rFonts w:asciiTheme="minorHAnsi" w:hAnsiTheme="minorHAnsi"/>
          <w:spacing w:val="-3"/>
          <w:szCs w:val="24"/>
        </w:rPr>
        <w:t xml:space="preserve"> </w:t>
      </w:r>
      <w:r w:rsidR="00D22274" w:rsidRPr="00154ADC">
        <w:rPr>
          <w:rFonts w:asciiTheme="minorHAnsi" w:hAnsiTheme="minorHAnsi"/>
          <w:szCs w:val="24"/>
        </w:rPr>
        <w:t>where the applicant bank’s main office and the acquired bank’s main office is located</w:t>
      </w:r>
      <w:r w:rsidR="00FF61D8">
        <w:rPr>
          <w:rFonts w:asciiTheme="minorHAnsi" w:hAnsiTheme="minorHAnsi"/>
          <w:spacing w:val="-3"/>
          <w:szCs w:val="24"/>
        </w:rPr>
        <w:t xml:space="preserve">, </w:t>
      </w:r>
      <w:r w:rsidRPr="00154ADC">
        <w:rPr>
          <w:rFonts w:asciiTheme="minorHAnsi" w:hAnsiTheme="minorHAnsi"/>
          <w:spacing w:val="-3"/>
          <w:szCs w:val="24"/>
        </w:rPr>
        <w:t>generally ten to fourteen days prior to the end of the public comment period, or as instructed by the Division.  Copies of the notice must be posted in the lobby at all banking offices as instructed by the Division.</w:t>
      </w:r>
    </w:p>
    <w:p w:rsidR="002D7BBB" w:rsidRPr="00154ADC" w:rsidRDefault="002D7BBB" w:rsidP="002D7BBB">
      <w:pPr>
        <w:tabs>
          <w:tab w:val="left" w:pos="-720"/>
          <w:tab w:val="left" w:pos="0"/>
        </w:tabs>
        <w:suppressAutoHyphens/>
        <w:ind w:left="720" w:hanging="720"/>
        <w:jc w:val="both"/>
        <w:rPr>
          <w:rFonts w:asciiTheme="minorHAnsi" w:hAnsiTheme="minorHAnsi"/>
          <w:spacing w:val="-3"/>
          <w:szCs w:val="24"/>
        </w:rPr>
      </w:pPr>
    </w:p>
    <w:p w:rsidR="00D57A0C" w:rsidRPr="00D57A0C" w:rsidRDefault="00D57A0C" w:rsidP="00D57A0C">
      <w:pPr>
        <w:tabs>
          <w:tab w:val="left" w:pos="-720"/>
          <w:tab w:val="left" w:pos="0"/>
        </w:tabs>
        <w:suppressAutoHyphens/>
        <w:jc w:val="both"/>
        <w:rPr>
          <w:rFonts w:asciiTheme="minorHAnsi" w:hAnsiTheme="minorHAnsi"/>
          <w:b/>
          <w:spacing w:val="-3"/>
          <w:sz w:val="26"/>
          <w:szCs w:val="26"/>
        </w:rPr>
      </w:pPr>
      <w:r>
        <w:rPr>
          <w:rFonts w:asciiTheme="minorHAnsi" w:hAnsiTheme="minorHAnsi"/>
          <w:b/>
          <w:spacing w:val="-3"/>
          <w:sz w:val="26"/>
          <w:szCs w:val="26"/>
        </w:rPr>
        <w:t>Public Comment</w:t>
      </w:r>
    </w:p>
    <w:p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Any person other than the applicant should file communications, including briefs in favor of</w:t>
      </w:r>
      <w:r w:rsidR="00D40E65">
        <w:rPr>
          <w:rFonts w:asciiTheme="minorHAnsi" w:hAnsiTheme="minorHAnsi"/>
          <w:spacing w:val="-3"/>
          <w:szCs w:val="24"/>
        </w:rPr>
        <w:t>,</w:t>
      </w:r>
      <w:r w:rsidRPr="00154ADC">
        <w:rPr>
          <w:rFonts w:asciiTheme="minorHAnsi" w:hAnsiTheme="minorHAnsi"/>
          <w:spacing w:val="-3"/>
          <w:szCs w:val="24"/>
        </w:rPr>
        <w:t xml:space="preserve"> or in opposition </w:t>
      </w:r>
      <w:r w:rsidR="00D40E65">
        <w:rPr>
          <w:rFonts w:asciiTheme="minorHAnsi" w:hAnsiTheme="minorHAnsi"/>
          <w:spacing w:val="-3"/>
          <w:szCs w:val="24"/>
        </w:rPr>
        <w:t xml:space="preserve">to, the application </w:t>
      </w:r>
      <w:r w:rsidRPr="00154ADC">
        <w:rPr>
          <w:rFonts w:asciiTheme="minorHAnsi" w:hAnsiTheme="minorHAnsi"/>
          <w:spacing w:val="-3"/>
          <w:szCs w:val="24"/>
        </w:rPr>
        <w:t>not later than the end of the comment period.  Comments received by the Division will be forwarded to the applicant.</w:t>
      </w:r>
    </w:p>
    <w:p w:rsidR="00D57A0C" w:rsidRDefault="00D57A0C" w:rsidP="00D57A0C">
      <w:pPr>
        <w:tabs>
          <w:tab w:val="left" w:pos="-720"/>
          <w:tab w:val="left" w:pos="0"/>
        </w:tabs>
        <w:suppressAutoHyphens/>
        <w:jc w:val="both"/>
        <w:rPr>
          <w:rFonts w:asciiTheme="minorHAnsi" w:hAnsiTheme="minorHAnsi"/>
          <w:spacing w:val="-3"/>
          <w:szCs w:val="24"/>
        </w:rPr>
      </w:pPr>
    </w:p>
    <w:p w:rsidR="00D57A0C" w:rsidRPr="00154ADC" w:rsidRDefault="00D57A0C" w:rsidP="00D57A0C">
      <w:pPr>
        <w:tabs>
          <w:tab w:val="left" w:pos="-720"/>
          <w:tab w:val="left" w:pos="0"/>
        </w:tabs>
        <w:suppressAutoHyphens/>
        <w:jc w:val="both"/>
        <w:rPr>
          <w:rFonts w:asciiTheme="minorHAnsi" w:hAnsiTheme="minorHAnsi"/>
          <w:szCs w:val="24"/>
        </w:rPr>
      </w:pPr>
      <w:r w:rsidRPr="00154ADC">
        <w:rPr>
          <w:rFonts w:asciiTheme="minorHAnsi" w:hAnsiTheme="minorHAnsi"/>
          <w:szCs w:val="24"/>
        </w:rPr>
        <w:t xml:space="preserve">A public </w:t>
      </w:r>
      <w:r w:rsidRPr="00154ADC">
        <w:rPr>
          <w:rFonts w:asciiTheme="minorHAnsi" w:hAnsiTheme="minorHAnsi"/>
          <w:spacing w:val="-3"/>
          <w:szCs w:val="24"/>
        </w:rPr>
        <w:t>hearing</w:t>
      </w:r>
      <w:r w:rsidRPr="00154ADC">
        <w:rPr>
          <w:rFonts w:asciiTheme="minorHAnsi" w:hAnsiTheme="minorHAnsi"/>
          <w:szCs w:val="24"/>
        </w:rPr>
        <w:t xml:space="preserve"> may be held if the response is considered significant or circumstances warrant such a hearing, as determined by the Commissioner</w:t>
      </w:r>
      <w:r w:rsidR="007D7A57">
        <w:rPr>
          <w:rFonts w:asciiTheme="minorHAnsi" w:hAnsiTheme="minorHAnsi"/>
          <w:szCs w:val="24"/>
        </w:rPr>
        <w:t xml:space="preserve"> of Banks (Commissioner)</w:t>
      </w:r>
      <w:r w:rsidRPr="00154ADC">
        <w:rPr>
          <w:rFonts w:asciiTheme="minorHAnsi" w:hAnsiTheme="minorHAnsi"/>
          <w:szCs w:val="24"/>
        </w:rPr>
        <w:t>.  If a public hearing is to be held, this Division will then forward further information.</w:t>
      </w:r>
    </w:p>
    <w:p w:rsidR="00D57A0C" w:rsidRPr="00154ADC" w:rsidRDefault="00D57A0C" w:rsidP="00D57A0C">
      <w:pPr>
        <w:tabs>
          <w:tab w:val="left" w:pos="-720"/>
          <w:tab w:val="left" w:pos="0"/>
        </w:tabs>
        <w:suppressAutoHyphens/>
        <w:jc w:val="both"/>
        <w:rPr>
          <w:rFonts w:asciiTheme="minorHAnsi" w:hAnsiTheme="minorHAnsi"/>
          <w:spacing w:val="-3"/>
          <w:szCs w:val="24"/>
        </w:rPr>
      </w:pPr>
    </w:p>
    <w:p w:rsidR="00D57A0C" w:rsidRPr="00D57A0C" w:rsidRDefault="00D57A0C" w:rsidP="00D57A0C">
      <w:pPr>
        <w:tabs>
          <w:tab w:val="left" w:pos="-720"/>
          <w:tab w:val="left" w:pos="0"/>
        </w:tabs>
        <w:suppressAutoHyphens/>
        <w:jc w:val="both"/>
        <w:rPr>
          <w:rFonts w:asciiTheme="minorHAnsi" w:hAnsiTheme="minorHAnsi"/>
          <w:b/>
          <w:spacing w:val="-3"/>
          <w:sz w:val="26"/>
          <w:szCs w:val="26"/>
        </w:rPr>
      </w:pPr>
      <w:r>
        <w:rPr>
          <w:rFonts w:asciiTheme="minorHAnsi" w:hAnsiTheme="minorHAnsi"/>
          <w:b/>
          <w:spacing w:val="-3"/>
          <w:sz w:val="26"/>
          <w:szCs w:val="26"/>
        </w:rPr>
        <w:t>Confidentiality</w:t>
      </w:r>
    </w:p>
    <w:p w:rsidR="002D7BBB" w:rsidRPr="00154ADC" w:rsidRDefault="002D7BBB" w:rsidP="00D57A0C">
      <w:pPr>
        <w:suppressAutoHyphens/>
        <w:jc w:val="both"/>
        <w:rPr>
          <w:rFonts w:asciiTheme="minorHAnsi" w:hAnsiTheme="minorHAnsi"/>
          <w:spacing w:val="-3"/>
          <w:szCs w:val="24"/>
        </w:rPr>
      </w:pPr>
      <w:r w:rsidRPr="00154ADC">
        <w:rPr>
          <w:rFonts w:asciiTheme="minorHAnsi" w:hAnsiTheme="minorHAnsi"/>
        </w:rPr>
        <w:t>The application is a public record as defined by Massachusetts General Laws chapter 66, section 10.  The applicant may request confidential treatment of one or more portions of the application that the applicant believes is confidential pursuant to Massachusetts General Laws chapter 167, section 2J.  The applicant must submit a written statement explaining the reason(s) for treating the information as confidential.  The written request for confidential treatment must be submitted to the Division with the application.  Information for which the applicant requests confidential treatment must be</w:t>
      </w:r>
      <w:r w:rsidR="00E85292">
        <w:rPr>
          <w:rFonts w:asciiTheme="minorHAnsi" w:hAnsiTheme="minorHAnsi"/>
        </w:rPr>
        <w:t>:</w:t>
      </w:r>
      <w:r w:rsidRPr="00154ADC">
        <w:rPr>
          <w:rFonts w:asciiTheme="minorHAnsi" w:hAnsiTheme="minorHAnsi"/>
        </w:rPr>
        <w:t xml:space="preserve"> </w:t>
      </w:r>
      <w:r w:rsidR="00E85292">
        <w:rPr>
          <w:rFonts w:asciiTheme="minorHAnsi" w:hAnsiTheme="minorHAnsi"/>
        </w:rPr>
        <w:t xml:space="preserve">(1) specifically identified in the public portion of the application (by reference to the confidential </w:t>
      </w:r>
      <w:r w:rsidR="00792580">
        <w:rPr>
          <w:rFonts w:asciiTheme="minorHAnsi" w:hAnsiTheme="minorHAnsi"/>
        </w:rPr>
        <w:t xml:space="preserve">section); (2) separately bound; and (3) </w:t>
      </w:r>
      <w:r w:rsidRPr="00154ADC">
        <w:rPr>
          <w:rFonts w:asciiTheme="minorHAnsi" w:hAnsiTheme="minorHAnsi"/>
        </w:rPr>
        <w:t xml:space="preserve">labeled </w:t>
      </w:r>
      <w:r w:rsidR="00E85292">
        <w:rPr>
          <w:rFonts w:asciiTheme="minorHAnsi" w:hAnsiTheme="minorHAnsi"/>
        </w:rPr>
        <w:t>“C</w:t>
      </w:r>
      <w:r w:rsidRPr="00154ADC">
        <w:rPr>
          <w:rFonts w:asciiTheme="minorHAnsi" w:hAnsiTheme="minorHAnsi"/>
        </w:rPr>
        <w:t>onfidential</w:t>
      </w:r>
      <w:r w:rsidR="00792580">
        <w:rPr>
          <w:rFonts w:asciiTheme="minorHAnsi" w:hAnsiTheme="minorHAnsi"/>
        </w:rPr>
        <w:t>.</w:t>
      </w:r>
      <w:r w:rsidR="00E85292">
        <w:rPr>
          <w:rFonts w:asciiTheme="minorHAnsi" w:hAnsiTheme="minorHAnsi"/>
        </w:rPr>
        <w:t>”</w:t>
      </w:r>
      <w:r w:rsidRPr="00154ADC">
        <w:rPr>
          <w:rFonts w:asciiTheme="minorHAnsi" w:hAnsiTheme="minorHAnsi"/>
        </w:rPr>
        <w:t xml:space="preserve">  </w:t>
      </w:r>
      <w:r w:rsidR="00792580" w:rsidRPr="00154ADC">
        <w:rPr>
          <w:rFonts w:asciiTheme="minorHAnsi" w:hAnsiTheme="minorHAnsi"/>
        </w:rPr>
        <w:t>If the request for confidential treatment applies to additional information submitted after the application was filed, the written request for confidential treatment must accompany the filing of the additional information</w:t>
      </w:r>
      <w:r w:rsidR="00792580">
        <w:rPr>
          <w:rFonts w:asciiTheme="minorHAnsi" w:hAnsiTheme="minorHAnsi"/>
        </w:rPr>
        <w:t xml:space="preserve"> and follow the same procedure</w:t>
      </w:r>
      <w:r w:rsidR="00792580" w:rsidRPr="00154ADC">
        <w:rPr>
          <w:rFonts w:asciiTheme="minorHAnsi" w:hAnsiTheme="minorHAnsi"/>
        </w:rPr>
        <w:t>.</w:t>
      </w:r>
    </w:p>
    <w:p w:rsidR="002D7BBB" w:rsidRPr="00154ADC" w:rsidRDefault="002D7BBB" w:rsidP="002D7BBB">
      <w:pPr>
        <w:suppressAutoHyphens/>
        <w:ind w:left="720"/>
        <w:jc w:val="both"/>
        <w:rPr>
          <w:rFonts w:asciiTheme="minorHAnsi" w:hAnsiTheme="minorHAnsi"/>
          <w:spacing w:val="-3"/>
          <w:szCs w:val="24"/>
        </w:rPr>
      </w:pPr>
    </w:p>
    <w:p w:rsidR="00D57A0C" w:rsidRDefault="00D57A0C" w:rsidP="00D57A0C">
      <w:pPr>
        <w:tabs>
          <w:tab w:val="left" w:pos="-720"/>
          <w:tab w:val="left" w:pos="0"/>
        </w:tabs>
        <w:suppressAutoHyphens/>
        <w:jc w:val="both"/>
        <w:rPr>
          <w:rFonts w:asciiTheme="minorHAnsi" w:hAnsiTheme="minorHAnsi"/>
          <w:b/>
          <w:spacing w:val="-3"/>
          <w:sz w:val="26"/>
          <w:szCs w:val="26"/>
        </w:rPr>
      </w:pPr>
      <w:r>
        <w:rPr>
          <w:rFonts w:asciiTheme="minorHAnsi" w:hAnsiTheme="minorHAnsi"/>
          <w:b/>
          <w:spacing w:val="-3"/>
          <w:sz w:val="26"/>
          <w:szCs w:val="26"/>
        </w:rPr>
        <w:t>Notice of Consummation</w:t>
      </w:r>
    </w:p>
    <w:p w:rsidR="002D7BBB" w:rsidRPr="00D57A0C" w:rsidRDefault="002D7BBB" w:rsidP="00D57A0C">
      <w:pPr>
        <w:tabs>
          <w:tab w:val="left" w:pos="-720"/>
          <w:tab w:val="left" w:pos="0"/>
        </w:tabs>
        <w:suppressAutoHyphens/>
        <w:jc w:val="both"/>
        <w:rPr>
          <w:rFonts w:asciiTheme="minorHAnsi" w:hAnsiTheme="minorHAnsi"/>
          <w:b/>
          <w:spacing w:val="-3"/>
          <w:sz w:val="26"/>
          <w:szCs w:val="26"/>
        </w:rPr>
      </w:pPr>
      <w:r w:rsidRPr="00154ADC">
        <w:rPr>
          <w:rFonts w:asciiTheme="minorHAnsi" w:hAnsiTheme="minorHAnsi"/>
          <w:spacing w:val="-3"/>
          <w:szCs w:val="24"/>
        </w:rPr>
        <w:t xml:space="preserve">A subsequent written notification </w:t>
      </w:r>
      <w:r w:rsidR="007D7A57" w:rsidRPr="00154ADC">
        <w:rPr>
          <w:rFonts w:asciiTheme="minorHAnsi" w:hAnsiTheme="minorHAnsi"/>
          <w:spacing w:val="-3"/>
          <w:szCs w:val="24"/>
        </w:rPr>
        <w:t xml:space="preserve">of the consummation of the transaction </w:t>
      </w:r>
      <w:r w:rsidRPr="00154ADC">
        <w:rPr>
          <w:rFonts w:asciiTheme="minorHAnsi" w:hAnsiTheme="minorHAnsi"/>
          <w:spacing w:val="-3"/>
          <w:szCs w:val="24"/>
        </w:rPr>
        <w:t>is to be submitted by the applicant to the Commissioner within one year of the approval date.  Extensions of time may be granted at the discretion of the Commissioner upon written request detailing the applicant's reason for seeking the time extension.  A filing fee of $250.00 is required for an extension.  The applicant should obtain additional instructions from the Division prior to seeking an extension.</w:t>
      </w:r>
    </w:p>
    <w:p w:rsidR="002D7BBB" w:rsidRPr="00154ADC" w:rsidRDefault="002D7BBB">
      <w:pPr>
        <w:rPr>
          <w:rFonts w:asciiTheme="minorHAnsi" w:hAnsiTheme="minorHAnsi"/>
        </w:rPr>
      </w:pPr>
    </w:p>
    <w:p w:rsidR="002D7BBB" w:rsidRPr="00154ADC" w:rsidRDefault="002D7BBB">
      <w:pPr>
        <w:rPr>
          <w:rFonts w:asciiTheme="minorHAnsi" w:hAnsiTheme="minorHAnsi"/>
        </w:rPr>
      </w:pPr>
    </w:p>
    <w:p w:rsidR="005A725E" w:rsidRDefault="005A725E" w:rsidP="00376653">
      <w:pPr>
        <w:jc w:val="center"/>
        <w:rPr>
          <w:rFonts w:asciiTheme="minorHAnsi" w:hAnsiTheme="minorHAnsi"/>
        </w:rPr>
        <w:sectPr w:rsidR="005A725E" w:rsidSect="005A725E">
          <w:footerReference w:type="default" r:id="rId10"/>
          <w:type w:val="continuous"/>
          <w:pgSz w:w="12240" w:h="15840" w:code="1"/>
          <w:pgMar w:top="720" w:right="1008" w:bottom="720" w:left="1008" w:header="0" w:footer="0" w:gutter="0"/>
          <w:paperSrc w:first="7" w:other="7"/>
          <w:pgNumType w:fmt="lowerRoman"/>
          <w:cols w:space="720"/>
          <w:noEndnote/>
        </w:sectPr>
      </w:pPr>
    </w:p>
    <w:p w:rsidR="005B4075" w:rsidRDefault="005B4075" w:rsidP="005A725E">
      <w:pPr>
        <w:jc w:val="center"/>
        <w:rPr>
          <w:rFonts w:asciiTheme="minorHAnsi" w:hAnsiTheme="minorHAnsi"/>
          <w:b/>
          <w:i/>
          <w:color w:val="0000CC"/>
          <w:sz w:val="28"/>
          <w:szCs w:val="28"/>
        </w:rPr>
      </w:pPr>
      <w:r>
        <w:rPr>
          <w:rFonts w:asciiTheme="minorHAnsi" w:hAnsiTheme="minorHAnsi"/>
          <w:b/>
          <w:i/>
          <w:color w:val="0000CC"/>
          <w:sz w:val="28"/>
          <w:szCs w:val="28"/>
        </w:rPr>
        <w:lastRenderedPageBreak/>
        <w:t>DIVISION OF BANKS</w:t>
      </w:r>
    </w:p>
    <w:p w:rsidR="003240F0" w:rsidRPr="00AB741D" w:rsidRDefault="003240F0" w:rsidP="003240F0">
      <w:pPr>
        <w:pStyle w:val="Heading2"/>
        <w:rPr>
          <w:rFonts w:asciiTheme="minorHAnsi" w:hAnsiTheme="minorHAnsi"/>
          <w:b/>
          <w:i/>
          <w:color w:val="0000CC"/>
          <w:sz w:val="28"/>
          <w:szCs w:val="28"/>
          <w:u w:val="none"/>
        </w:rPr>
      </w:pPr>
      <w:r w:rsidRPr="00AB741D">
        <w:rPr>
          <w:rFonts w:asciiTheme="minorHAnsi" w:hAnsiTheme="minorHAnsi"/>
          <w:b/>
          <w:i/>
          <w:color w:val="0000CC"/>
          <w:sz w:val="28"/>
          <w:szCs w:val="28"/>
          <w:u w:val="none"/>
        </w:rPr>
        <w:t xml:space="preserve">SUPPLEMENT TO </w:t>
      </w:r>
      <w:r w:rsidR="00496BCD">
        <w:rPr>
          <w:rFonts w:asciiTheme="minorHAnsi" w:hAnsiTheme="minorHAnsi"/>
          <w:b/>
          <w:i/>
          <w:color w:val="0000CC"/>
          <w:sz w:val="28"/>
          <w:szCs w:val="28"/>
          <w:u w:val="none"/>
        </w:rPr>
        <w:t xml:space="preserve">THE </w:t>
      </w:r>
      <w:r w:rsidRPr="00AB741D">
        <w:rPr>
          <w:rFonts w:asciiTheme="minorHAnsi" w:hAnsiTheme="minorHAnsi"/>
          <w:b/>
          <w:i/>
          <w:color w:val="0000CC"/>
          <w:sz w:val="28"/>
          <w:szCs w:val="28"/>
          <w:u w:val="none"/>
        </w:rPr>
        <w:t>INTERAGENCY BANK MERGER ACT APPLICATIO</w:t>
      </w:r>
      <w:r w:rsidR="00EF631B" w:rsidRPr="00AB741D">
        <w:rPr>
          <w:rFonts w:asciiTheme="minorHAnsi" w:hAnsiTheme="minorHAnsi"/>
          <w:b/>
          <w:i/>
          <w:color w:val="0000CC"/>
          <w:sz w:val="28"/>
          <w:szCs w:val="28"/>
          <w:u w:val="none"/>
        </w:rPr>
        <w:t xml:space="preserve">N </w:t>
      </w:r>
    </w:p>
    <w:p w:rsidR="00496BCD" w:rsidRPr="00496BCD" w:rsidRDefault="00496BCD" w:rsidP="00496BCD">
      <w:pPr>
        <w:pStyle w:val="Heading2"/>
        <w:rPr>
          <w:b/>
          <w:u w:val="none"/>
        </w:rPr>
      </w:pPr>
      <w:r>
        <w:rPr>
          <w:b/>
          <w:noProof/>
        </w:rPr>
        <mc:AlternateContent>
          <mc:Choice Requires="wps">
            <w:drawing>
              <wp:anchor distT="0" distB="0" distL="114300" distR="114300" simplePos="0" relativeHeight="251659264" behindDoc="0" locked="0" layoutInCell="0" allowOverlap="1" wp14:anchorId="15B3F19E" wp14:editId="3348E99B">
                <wp:simplePos x="0" y="0"/>
                <wp:positionH relativeFrom="margin">
                  <wp:align>left</wp:align>
                </wp:positionH>
                <wp:positionV relativeFrom="paragraph">
                  <wp:posOffset>62617</wp:posOffset>
                </wp:positionV>
                <wp:extent cx="6400800" cy="0"/>
                <wp:effectExtent l="0" t="1905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6A9BB" id="Line 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5pt" to="7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" o:allowincell="f" strokeweight="3pt">
                <w10:wrap anchorx="margin"/>
              </v:line>
            </w:pict>
          </mc:Fallback>
        </mc:AlternateContent>
      </w:r>
    </w:p>
    <w:p w:rsidR="00855322" w:rsidRDefault="00855322" w:rsidP="00496BCD">
      <w:pPr>
        <w:spacing w:before="120"/>
        <w:ind w:firstLine="720"/>
        <w:jc w:val="both"/>
        <w:rPr>
          <w:rFonts w:asciiTheme="minorHAnsi" w:hAnsiTheme="minorHAnsi"/>
        </w:rPr>
      </w:pPr>
      <w:r w:rsidRPr="00B95919">
        <w:rPr>
          <w:rFonts w:asciiTheme="minorHAnsi" w:hAnsiTheme="minorHAnsi"/>
        </w:rPr>
        <w:t>T</w:t>
      </w:r>
      <w:r w:rsidR="00642AB6" w:rsidRPr="00B95919">
        <w:rPr>
          <w:rFonts w:asciiTheme="minorHAnsi" w:hAnsiTheme="minorHAnsi"/>
        </w:rPr>
        <w:t xml:space="preserve">he applicant </w:t>
      </w:r>
      <w:r w:rsidR="006C0AF4" w:rsidRPr="00B95919">
        <w:rPr>
          <w:rFonts w:asciiTheme="minorHAnsi" w:hAnsiTheme="minorHAnsi"/>
        </w:rPr>
        <w:t xml:space="preserve">must provide the following supplemental </w:t>
      </w:r>
      <w:r w:rsidR="00AB741D" w:rsidRPr="00B95919">
        <w:rPr>
          <w:rFonts w:asciiTheme="minorHAnsi" w:hAnsiTheme="minorHAnsi"/>
        </w:rPr>
        <w:t>information</w:t>
      </w:r>
      <w:r w:rsidR="006C0AF4" w:rsidRPr="00B95919">
        <w:rPr>
          <w:rFonts w:asciiTheme="minorHAnsi" w:hAnsiTheme="minorHAnsi"/>
        </w:rPr>
        <w:t xml:space="preserve"> set out </w:t>
      </w:r>
      <w:r w:rsidR="00D84642" w:rsidRPr="00B95919">
        <w:rPr>
          <w:rFonts w:asciiTheme="minorHAnsi" w:hAnsiTheme="minorHAnsi"/>
        </w:rPr>
        <w:t xml:space="preserve">in </w:t>
      </w:r>
      <w:r w:rsidR="00D84642" w:rsidRPr="00E42BC3">
        <w:rPr>
          <w:rFonts w:asciiTheme="minorHAnsi" w:hAnsiTheme="minorHAnsi"/>
          <w:b/>
          <w:i/>
        </w:rPr>
        <w:t>Part I</w:t>
      </w:r>
      <w:r w:rsidR="00D84642" w:rsidRPr="00B95919">
        <w:rPr>
          <w:rFonts w:asciiTheme="minorHAnsi" w:hAnsiTheme="minorHAnsi"/>
        </w:rPr>
        <w:t xml:space="preserve"> </w:t>
      </w:r>
      <w:r w:rsidR="006C0AF4" w:rsidRPr="00B95919">
        <w:rPr>
          <w:rFonts w:asciiTheme="minorHAnsi" w:hAnsiTheme="minorHAnsi"/>
        </w:rPr>
        <w:t>below.</w:t>
      </w:r>
      <w:r w:rsidR="00EF631B" w:rsidRPr="00B95919">
        <w:rPr>
          <w:rFonts w:asciiTheme="minorHAnsi" w:hAnsiTheme="minorHAnsi"/>
        </w:rPr>
        <w:t xml:space="preserve">  </w:t>
      </w:r>
      <w:r w:rsidR="00D84642" w:rsidRPr="00B95919">
        <w:rPr>
          <w:rFonts w:asciiTheme="minorHAnsi" w:hAnsiTheme="minorHAnsi"/>
        </w:rPr>
        <w:t xml:space="preserve">If the application being filed is part of a multi-step transaction whereby an acquisition of a bank holding company (mutual or stock) is contemplated </w:t>
      </w:r>
      <w:r w:rsidR="00B528AA">
        <w:rPr>
          <w:rFonts w:asciiTheme="minorHAnsi" w:hAnsiTheme="minorHAnsi"/>
        </w:rPr>
        <w:t>simultaneously with</w:t>
      </w:r>
      <w:r w:rsidR="00D84642" w:rsidRPr="00B95919">
        <w:rPr>
          <w:rFonts w:asciiTheme="minorHAnsi" w:hAnsiTheme="minorHAnsi"/>
        </w:rPr>
        <w:t xml:space="preserve"> the </w:t>
      </w:r>
      <w:r w:rsidR="0098703C" w:rsidRPr="00B95919">
        <w:rPr>
          <w:rFonts w:asciiTheme="minorHAnsi" w:hAnsiTheme="minorHAnsi"/>
        </w:rPr>
        <w:t xml:space="preserve">bank </w:t>
      </w:r>
      <w:r w:rsidR="00D84642" w:rsidRPr="00B95919">
        <w:rPr>
          <w:rFonts w:asciiTheme="minorHAnsi" w:hAnsiTheme="minorHAnsi"/>
        </w:rPr>
        <w:t xml:space="preserve">merger, the applicant must also provide the supplemental </w:t>
      </w:r>
      <w:r w:rsidR="00AB741D" w:rsidRPr="00B95919">
        <w:rPr>
          <w:rFonts w:asciiTheme="minorHAnsi" w:hAnsiTheme="minorHAnsi"/>
        </w:rPr>
        <w:t>information</w:t>
      </w:r>
      <w:r w:rsidR="00D84642" w:rsidRPr="00B95919">
        <w:rPr>
          <w:rFonts w:asciiTheme="minorHAnsi" w:hAnsiTheme="minorHAnsi"/>
        </w:rPr>
        <w:t xml:space="preserve"> set out in </w:t>
      </w:r>
      <w:r w:rsidR="00D84642" w:rsidRPr="00E42BC3">
        <w:rPr>
          <w:rFonts w:asciiTheme="minorHAnsi" w:hAnsiTheme="minorHAnsi"/>
          <w:b/>
          <w:i/>
        </w:rPr>
        <w:t>Part II</w:t>
      </w:r>
      <w:r w:rsidR="00D84642" w:rsidRPr="00B95919">
        <w:rPr>
          <w:rFonts w:asciiTheme="minorHAnsi" w:hAnsiTheme="minorHAnsi"/>
        </w:rPr>
        <w:t xml:space="preserve"> below. </w:t>
      </w:r>
      <w:r w:rsidR="004030EC" w:rsidRPr="00B95919">
        <w:rPr>
          <w:rFonts w:asciiTheme="minorHAnsi" w:hAnsiTheme="minorHAnsi"/>
        </w:rPr>
        <w:t xml:space="preserve"> </w:t>
      </w:r>
      <w:r w:rsidR="00D84642" w:rsidRPr="00B95919">
        <w:rPr>
          <w:rFonts w:asciiTheme="minorHAnsi" w:hAnsiTheme="minorHAnsi"/>
        </w:rPr>
        <w:t xml:space="preserve">All responses must be made in sequence and labeled as indicated in this application. </w:t>
      </w:r>
      <w:r w:rsidR="0098703C" w:rsidRPr="00B95919">
        <w:rPr>
          <w:rFonts w:asciiTheme="minorHAnsi" w:hAnsiTheme="minorHAnsi"/>
        </w:rPr>
        <w:t xml:space="preserve"> </w:t>
      </w:r>
      <w:r w:rsidR="00D84642" w:rsidRPr="00B95919">
        <w:rPr>
          <w:rFonts w:asciiTheme="minorHAnsi" w:hAnsiTheme="minorHAnsi"/>
        </w:rPr>
        <w:t>If an item is not applicable, please explain why.</w:t>
      </w:r>
      <w:r w:rsidR="00E85292">
        <w:rPr>
          <w:rFonts w:asciiTheme="minorHAnsi" w:hAnsiTheme="minorHAnsi"/>
        </w:rPr>
        <w:t xml:space="preserve">  P</w:t>
      </w:r>
      <w:r w:rsidR="00BB1BB2">
        <w:rPr>
          <w:rFonts w:asciiTheme="minorHAnsi" w:hAnsiTheme="minorHAnsi"/>
        </w:rPr>
        <w:t xml:space="preserve">rovide the desired action </w:t>
      </w:r>
      <w:r w:rsidR="00E85292">
        <w:rPr>
          <w:rFonts w:asciiTheme="minorHAnsi" w:hAnsiTheme="minorHAnsi"/>
        </w:rPr>
        <w:t>date</w:t>
      </w:r>
      <w:r w:rsidR="00BB1BB2">
        <w:rPr>
          <w:rFonts w:asciiTheme="minorHAnsi" w:hAnsiTheme="minorHAnsi"/>
        </w:rPr>
        <w:t xml:space="preserve"> needed to consummate the proposed transaction.   </w:t>
      </w:r>
    </w:p>
    <w:p w:rsidR="00C30767" w:rsidRDefault="00C30767" w:rsidP="00EF631B">
      <w:pPr>
        <w:ind w:firstLine="720"/>
        <w:jc w:val="both"/>
        <w:rPr>
          <w:rFonts w:asciiTheme="minorHAnsi" w:hAnsiTheme="minorHAnsi"/>
        </w:rPr>
      </w:pPr>
    </w:p>
    <w:p w:rsidR="00C30767" w:rsidRPr="00B95919" w:rsidRDefault="006C09BD" w:rsidP="00EF631B">
      <w:pPr>
        <w:ind w:firstLine="720"/>
        <w:jc w:val="both"/>
        <w:rPr>
          <w:rFonts w:asciiTheme="minorHAnsi" w:hAnsiTheme="minorHAnsi"/>
        </w:rPr>
      </w:pPr>
      <w:r>
        <w:rPr>
          <w:rFonts w:asciiTheme="minorHAnsi" w:hAnsiTheme="minorHAnsi"/>
        </w:rPr>
        <w:t xml:space="preserve">In addition to the information provided below, the applicant’s performance under the Community Reinvestment Act is reviewed as part of the application </w:t>
      </w:r>
      <w:r w:rsidR="00AB7E92">
        <w:rPr>
          <w:rFonts w:asciiTheme="minorHAnsi" w:hAnsiTheme="minorHAnsi"/>
        </w:rPr>
        <w:t>process from Report(s) of Examination in the Division’s possession and other available information.</w:t>
      </w:r>
    </w:p>
    <w:p w:rsidR="00855322" w:rsidRPr="00154ADC" w:rsidRDefault="00855322" w:rsidP="00EF631B">
      <w:pPr>
        <w:ind w:firstLine="720"/>
        <w:jc w:val="both"/>
        <w:rPr>
          <w:rFonts w:asciiTheme="minorHAnsi" w:hAnsiTheme="minorHAnsi"/>
        </w:rPr>
      </w:pPr>
    </w:p>
    <w:p w:rsidR="00F171B4" w:rsidRDefault="009E685C" w:rsidP="003B573C">
      <w:pPr>
        <w:spacing w:line="360" w:lineRule="auto"/>
        <w:jc w:val="both"/>
        <w:rPr>
          <w:rFonts w:asciiTheme="minorHAnsi" w:hAnsiTheme="minorHAnsi"/>
          <w:b/>
          <w:smallCaps/>
          <w:u w:val="single"/>
        </w:rPr>
      </w:pPr>
      <w:r w:rsidRPr="00154ADC">
        <w:rPr>
          <w:rFonts w:asciiTheme="minorHAnsi" w:hAnsiTheme="minorHAnsi"/>
          <w:b/>
          <w:smallCaps/>
          <w:u w:val="single"/>
        </w:rPr>
        <w:t>Part I:</w:t>
      </w:r>
      <w:r w:rsidR="00F171B4" w:rsidRPr="00154ADC">
        <w:rPr>
          <w:rFonts w:asciiTheme="minorHAnsi" w:hAnsiTheme="minorHAnsi"/>
          <w:b/>
          <w:smallCaps/>
          <w:u w:val="single"/>
        </w:rPr>
        <w:t xml:space="preserve"> Bank Merger</w:t>
      </w:r>
    </w:p>
    <w:p w:rsidR="004446FB" w:rsidRPr="004446FB" w:rsidRDefault="004030EC" w:rsidP="002B0A1F">
      <w:pPr>
        <w:pStyle w:val="BodyTextIndent2"/>
        <w:numPr>
          <w:ilvl w:val="0"/>
          <w:numId w:val="25"/>
        </w:numPr>
        <w:tabs>
          <w:tab w:val="clear" w:pos="1080"/>
          <w:tab w:val="num" w:pos="720"/>
        </w:tabs>
        <w:ind w:left="720"/>
        <w:rPr>
          <w:rFonts w:asciiTheme="minorHAnsi" w:hAnsiTheme="minorHAnsi"/>
          <w:b w:val="0"/>
          <w:szCs w:val="24"/>
        </w:rPr>
      </w:pPr>
      <w:r>
        <w:rPr>
          <w:rFonts w:asciiTheme="minorHAnsi" w:hAnsiTheme="minorHAnsi"/>
          <w:b w:val="0"/>
          <w:szCs w:val="24"/>
        </w:rPr>
        <w:t>Describe</w:t>
      </w:r>
      <w:r w:rsidR="00B528AA">
        <w:rPr>
          <w:rFonts w:asciiTheme="minorHAnsi" w:hAnsiTheme="minorHAnsi"/>
          <w:b w:val="0"/>
          <w:szCs w:val="24"/>
        </w:rPr>
        <w:t>,</w:t>
      </w:r>
      <w:r w:rsidR="004446FB" w:rsidRPr="004446FB">
        <w:rPr>
          <w:rFonts w:asciiTheme="minorHAnsi" w:hAnsiTheme="minorHAnsi"/>
          <w:b w:val="0"/>
          <w:szCs w:val="24"/>
        </w:rPr>
        <w:t xml:space="preserve"> </w:t>
      </w:r>
      <w:r w:rsidR="00794F1E">
        <w:rPr>
          <w:rFonts w:asciiTheme="minorHAnsi" w:hAnsiTheme="minorHAnsi"/>
          <w:b w:val="0"/>
          <w:szCs w:val="24"/>
        </w:rPr>
        <w:t>in detail</w:t>
      </w:r>
      <w:r w:rsidR="00B528AA">
        <w:rPr>
          <w:rFonts w:asciiTheme="minorHAnsi" w:hAnsiTheme="minorHAnsi"/>
          <w:b w:val="0"/>
          <w:szCs w:val="24"/>
        </w:rPr>
        <w:t>,</w:t>
      </w:r>
      <w:r w:rsidR="00794F1E">
        <w:rPr>
          <w:rFonts w:asciiTheme="minorHAnsi" w:hAnsiTheme="minorHAnsi"/>
          <w:b w:val="0"/>
          <w:szCs w:val="24"/>
        </w:rPr>
        <w:t xml:space="preserve"> </w:t>
      </w:r>
      <w:r w:rsidR="004446FB" w:rsidRPr="004446FB">
        <w:rPr>
          <w:rFonts w:asciiTheme="minorHAnsi" w:hAnsiTheme="minorHAnsi"/>
          <w:b w:val="0"/>
          <w:szCs w:val="24"/>
        </w:rPr>
        <w:t xml:space="preserve">how public convenience and advantage will be promoted and competition among banking institutions will not be unreasonably affected by the transaction. </w:t>
      </w:r>
      <w:r w:rsidR="004446FB" w:rsidRPr="004446FB">
        <w:rPr>
          <w:rFonts w:asciiTheme="minorHAnsi" w:hAnsiTheme="minorHAnsi"/>
          <w:b w:val="0"/>
        </w:rPr>
        <w:t xml:space="preserve"> Also</w:t>
      </w:r>
      <w:r>
        <w:rPr>
          <w:rFonts w:asciiTheme="minorHAnsi" w:hAnsiTheme="minorHAnsi"/>
          <w:b w:val="0"/>
        </w:rPr>
        <w:t>,</w:t>
      </w:r>
      <w:r w:rsidR="004446FB" w:rsidRPr="004446FB">
        <w:rPr>
          <w:rFonts w:asciiTheme="minorHAnsi" w:hAnsiTheme="minorHAnsi"/>
          <w:b w:val="0"/>
        </w:rPr>
        <w:t xml:space="preserve"> </w:t>
      </w:r>
      <w:r>
        <w:rPr>
          <w:rFonts w:asciiTheme="minorHAnsi" w:hAnsiTheme="minorHAnsi"/>
          <w:b w:val="0"/>
        </w:rPr>
        <w:t xml:space="preserve">identify </w:t>
      </w:r>
      <w:r w:rsidR="004446FB" w:rsidRPr="004446FB">
        <w:rPr>
          <w:rFonts w:asciiTheme="minorHAnsi" w:hAnsiTheme="minorHAnsi"/>
          <w:b w:val="0"/>
          <w:szCs w:val="24"/>
        </w:rPr>
        <w:t>the statute(s) and section(s) of the Massachusetts General Laws pursuant to which this application is being filed with the Division</w:t>
      </w:r>
      <w:r w:rsidR="007D7A57">
        <w:rPr>
          <w:rFonts w:asciiTheme="minorHAnsi" w:hAnsiTheme="minorHAnsi"/>
          <w:b w:val="0"/>
          <w:szCs w:val="24"/>
        </w:rPr>
        <w:t xml:space="preserve"> of Banks (Division)</w:t>
      </w:r>
      <w:r w:rsidR="004446FB" w:rsidRPr="004446FB">
        <w:rPr>
          <w:rFonts w:asciiTheme="minorHAnsi" w:hAnsiTheme="minorHAnsi"/>
          <w:b w:val="0"/>
          <w:szCs w:val="24"/>
        </w:rPr>
        <w:t>.</w:t>
      </w:r>
    </w:p>
    <w:p w:rsidR="004446FB" w:rsidRDefault="004446FB" w:rsidP="002B0A1F">
      <w:pPr>
        <w:pStyle w:val="BodyTextIndent2"/>
        <w:tabs>
          <w:tab w:val="num" w:pos="720"/>
        </w:tabs>
        <w:ind w:left="720" w:firstLine="0"/>
        <w:rPr>
          <w:rFonts w:asciiTheme="minorHAnsi" w:hAnsiTheme="minorHAnsi"/>
          <w:b w:val="0"/>
          <w:szCs w:val="24"/>
        </w:rPr>
      </w:pPr>
    </w:p>
    <w:p w:rsidR="003240F0" w:rsidRDefault="003240F0" w:rsidP="002B0A1F">
      <w:pPr>
        <w:pStyle w:val="BodyTextIndent2"/>
        <w:numPr>
          <w:ilvl w:val="0"/>
          <w:numId w:val="25"/>
        </w:numPr>
        <w:tabs>
          <w:tab w:val="clear" w:pos="1080"/>
          <w:tab w:val="num" w:pos="720"/>
        </w:tabs>
        <w:ind w:left="720"/>
        <w:rPr>
          <w:rFonts w:asciiTheme="minorHAnsi" w:hAnsiTheme="minorHAnsi"/>
          <w:b w:val="0"/>
          <w:szCs w:val="24"/>
        </w:rPr>
      </w:pPr>
      <w:r w:rsidRPr="00154ADC">
        <w:rPr>
          <w:rFonts w:asciiTheme="minorHAnsi" w:hAnsiTheme="minorHAnsi"/>
          <w:b w:val="0"/>
          <w:szCs w:val="24"/>
        </w:rPr>
        <w:t xml:space="preserve">Provide a statement showing net new benefits to be derived from the </w:t>
      </w:r>
      <w:r w:rsidR="00D86ED9" w:rsidRPr="00154ADC">
        <w:rPr>
          <w:rFonts w:asciiTheme="minorHAnsi" w:hAnsiTheme="minorHAnsi"/>
          <w:b w:val="0"/>
          <w:szCs w:val="24"/>
        </w:rPr>
        <w:t>proposed bank</w:t>
      </w:r>
      <w:r w:rsidR="00EF631B" w:rsidRPr="00154ADC">
        <w:rPr>
          <w:rFonts w:asciiTheme="minorHAnsi" w:hAnsiTheme="minorHAnsi"/>
          <w:b w:val="0"/>
          <w:szCs w:val="24"/>
        </w:rPr>
        <w:t xml:space="preserve"> merger</w:t>
      </w:r>
      <w:r w:rsidRPr="00154ADC">
        <w:rPr>
          <w:rFonts w:asciiTheme="minorHAnsi" w:hAnsiTheme="minorHAnsi"/>
          <w:b w:val="0"/>
          <w:szCs w:val="24"/>
        </w:rPr>
        <w:t>.  The term net new benefit means initial capital investments, job creation plans, consumer and business services, commitments to maintain and open branch offices within a bank’s delineated local community</w:t>
      </w:r>
      <w:r w:rsidR="00794F1E">
        <w:rPr>
          <w:rFonts w:asciiTheme="minorHAnsi" w:hAnsiTheme="minorHAnsi"/>
          <w:b w:val="0"/>
          <w:szCs w:val="24"/>
        </w:rPr>
        <w:t>,</w:t>
      </w:r>
      <w:r w:rsidRPr="00154ADC">
        <w:rPr>
          <w:rFonts w:asciiTheme="minorHAnsi" w:hAnsiTheme="minorHAnsi"/>
          <w:b w:val="0"/>
          <w:szCs w:val="24"/>
        </w:rPr>
        <w:t xml:space="preserve"> and such other matters as may be deemed to benefit the community.</w:t>
      </w:r>
      <w:r w:rsidR="00131D59" w:rsidRPr="00154ADC">
        <w:rPr>
          <w:rFonts w:asciiTheme="minorHAnsi" w:hAnsiTheme="minorHAnsi"/>
          <w:b w:val="0"/>
          <w:szCs w:val="24"/>
        </w:rPr>
        <w:t xml:space="preserve">  A statement should be made on each component of net new benefits.</w:t>
      </w:r>
    </w:p>
    <w:p w:rsidR="00437098" w:rsidRDefault="00437098" w:rsidP="002B0A1F">
      <w:pPr>
        <w:pStyle w:val="ListParagraph"/>
        <w:tabs>
          <w:tab w:val="num" w:pos="720"/>
        </w:tabs>
        <w:rPr>
          <w:rFonts w:asciiTheme="minorHAnsi" w:hAnsiTheme="minorHAnsi"/>
          <w:b/>
          <w:szCs w:val="24"/>
        </w:rPr>
      </w:pPr>
    </w:p>
    <w:p w:rsidR="00437098" w:rsidRPr="00437098" w:rsidRDefault="00437098" w:rsidP="002B0A1F">
      <w:pPr>
        <w:pStyle w:val="BodyTextIndent2"/>
        <w:numPr>
          <w:ilvl w:val="0"/>
          <w:numId w:val="25"/>
        </w:numPr>
        <w:tabs>
          <w:tab w:val="clear" w:pos="1080"/>
          <w:tab w:val="num" w:pos="720"/>
        </w:tabs>
        <w:ind w:left="720"/>
        <w:rPr>
          <w:rFonts w:asciiTheme="minorHAnsi" w:hAnsiTheme="minorHAnsi"/>
          <w:b w:val="0"/>
          <w:szCs w:val="24"/>
        </w:rPr>
      </w:pPr>
      <w:r w:rsidRPr="00437098">
        <w:rPr>
          <w:rFonts w:asciiTheme="minorHAnsi" w:hAnsiTheme="minorHAnsi"/>
          <w:b w:val="0"/>
          <w:szCs w:val="24"/>
        </w:rPr>
        <w:t>Provide certified copies of the authorizing vote</w:t>
      </w:r>
      <w:r w:rsidR="00431DE5">
        <w:rPr>
          <w:rFonts w:asciiTheme="minorHAnsi" w:hAnsiTheme="minorHAnsi"/>
          <w:b w:val="0"/>
          <w:szCs w:val="24"/>
        </w:rPr>
        <w:t>(s)</w:t>
      </w:r>
      <w:r w:rsidRPr="00437098">
        <w:rPr>
          <w:rFonts w:asciiTheme="minorHAnsi" w:hAnsiTheme="minorHAnsi"/>
          <w:b w:val="0"/>
          <w:szCs w:val="24"/>
        </w:rPr>
        <w:t xml:space="preserve"> </w:t>
      </w:r>
      <w:r w:rsidR="00CD376B">
        <w:rPr>
          <w:rFonts w:asciiTheme="minorHAnsi" w:hAnsiTheme="minorHAnsi"/>
          <w:b w:val="0"/>
          <w:szCs w:val="24"/>
        </w:rPr>
        <w:t xml:space="preserve">of each </w:t>
      </w:r>
      <w:r w:rsidRPr="00437098">
        <w:rPr>
          <w:rFonts w:asciiTheme="minorHAnsi" w:hAnsiTheme="minorHAnsi"/>
          <w:b w:val="0"/>
          <w:szCs w:val="24"/>
        </w:rPr>
        <w:t>entity as required by applicable statute.</w:t>
      </w:r>
    </w:p>
    <w:p w:rsidR="003240F0" w:rsidRPr="00154ADC" w:rsidRDefault="003240F0" w:rsidP="003240F0">
      <w:pPr>
        <w:pStyle w:val="BodyTextIndent2"/>
        <w:ind w:left="720" w:firstLine="0"/>
        <w:rPr>
          <w:rFonts w:asciiTheme="minorHAnsi" w:hAnsiTheme="minorHAnsi"/>
          <w:b w:val="0"/>
          <w:szCs w:val="24"/>
        </w:rPr>
      </w:pPr>
    </w:p>
    <w:p w:rsidR="008C052A" w:rsidRPr="008C052A" w:rsidRDefault="002B453B" w:rsidP="002B0A1F">
      <w:pPr>
        <w:numPr>
          <w:ilvl w:val="0"/>
          <w:numId w:val="25"/>
        </w:numPr>
        <w:tabs>
          <w:tab w:val="clear" w:pos="1080"/>
          <w:tab w:val="num" w:pos="720"/>
        </w:tabs>
        <w:ind w:hanging="720"/>
        <w:jc w:val="both"/>
        <w:rPr>
          <w:rFonts w:asciiTheme="minorHAnsi" w:hAnsiTheme="minorHAnsi"/>
          <w:szCs w:val="24"/>
        </w:rPr>
      </w:pPr>
      <w:r>
        <w:rPr>
          <w:rFonts w:asciiTheme="minorHAnsi" w:hAnsiTheme="minorHAnsi"/>
          <w:szCs w:val="24"/>
        </w:rPr>
        <w:t xml:space="preserve">(a) </w:t>
      </w:r>
      <w:r w:rsidR="003240F0" w:rsidRPr="00154ADC">
        <w:rPr>
          <w:rFonts w:asciiTheme="minorHAnsi" w:hAnsiTheme="minorHAnsi"/>
          <w:szCs w:val="24"/>
        </w:rPr>
        <w:t>Describe the actions that will be taken to inform customers of the effect of the proposed transaction, should it be approved, on their banking relationship, and, if applicable, in their excess deposit insurance coverage.  Comment on the proposed time schedule for any such action.</w:t>
      </w:r>
      <w:r w:rsidR="003240F0" w:rsidRPr="00154ADC">
        <w:rPr>
          <w:rFonts w:asciiTheme="minorHAnsi" w:hAnsiTheme="minorHAnsi"/>
          <w:b/>
          <w:szCs w:val="24"/>
        </w:rPr>
        <w:t xml:space="preserve">  </w:t>
      </w:r>
      <w:r w:rsidR="003240F0" w:rsidRPr="00154ADC">
        <w:rPr>
          <w:rFonts w:asciiTheme="minorHAnsi" w:hAnsiTheme="minorHAnsi"/>
          <w:szCs w:val="24"/>
        </w:rPr>
        <w:t xml:space="preserve">Any disclosure materials relative to the end of excess deposit insurance coverage upon a merger must be submitted to the Division </w:t>
      </w:r>
      <w:r w:rsidR="003240F0" w:rsidRPr="00BF1F57">
        <w:rPr>
          <w:rFonts w:asciiTheme="minorHAnsi" w:hAnsiTheme="minorHAnsi"/>
          <w:szCs w:val="24"/>
          <w:u w:val="single"/>
        </w:rPr>
        <w:t>in advance</w:t>
      </w:r>
      <w:r w:rsidR="003240F0" w:rsidRPr="00154ADC">
        <w:rPr>
          <w:rFonts w:asciiTheme="minorHAnsi" w:hAnsiTheme="minorHAnsi"/>
          <w:szCs w:val="24"/>
        </w:rPr>
        <w:t xml:space="preserve"> of their distribution to depositors.  This requirement will apply to any merger transaction involving a state-chartered savings bank or co-operative bank.  </w:t>
      </w:r>
    </w:p>
    <w:p w:rsidR="002B453B" w:rsidRPr="00BF1F57" w:rsidRDefault="002B453B" w:rsidP="0063573B">
      <w:pPr>
        <w:spacing w:before="60"/>
        <w:ind w:left="1080" w:hanging="360"/>
        <w:jc w:val="both"/>
        <w:rPr>
          <w:rFonts w:asciiTheme="minorHAnsi" w:hAnsiTheme="minorHAnsi"/>
          <w:szCs w:val="24"/>
        </w:rPr>
      </w:pPr>
      <w:r>
        <w:rPr>
          <w:rFonts w:asciiTheme="minorHAnsi" w:hAnsiTheme="minorHAnsi"/>
          <w:szCs w:val="24"/>
        </w:rPr>
        <w:t xml:space="preserve">(b) </w:t>
      </w:r>
      <w:r w:rsidR="008C052A" w:rsidRPr="00BF1F57">
        <w:rPr>
          <w:rFonts w:asciiTheme="minorHAnsi" w:hAnsiTheme="minorHAnsi"/>
          <w:szCs w:val="24"/>
        </w:rPr>
        <w:t xml:space="preserve">Certain merger transactions may not be consummated until the Commissioner of Banks has received notice(s) of satisfactory arrangements from the applicable excess insurer(s).  If applicable, </w:t>
      </w:r>
      <w:r w:rsidR="00F30C97" w:rsidRPr="00BF1F57">
        <w:rPr>
          <w:rFonts w:asciiTheme="minorHAnsi" w:hAnsiTheme="minorHAnsi"/>
          <w:szCs w:val="24"/>
        </w:rPr>
        <w:t>each bank should contact the excess insurer to make satisfactory arrangements to proceed with the proposed transaction.</w:t>
      </w:r>
    </w:p>
    <w:p w:rsidR="0098703C" w:rsidRPr="00154ADC" w:rsidRDefault="0098703C" w:rsidP="0098703C">
      <w:pPr>
        <w:pStyle w:val="ListParagraph"/>
        <w:rPr>
          <w:rFonts w:asciiTheme="minorHAnsi" w:hAnsiTheme="minorHAnsi"/>
          <w:szCs w:val="24"/>
        </w:rPr>
      </w:pPr>
    </w:p>
    <w:p w:rsidR="00BF1F57" w:rsidRDefault="00413D9C" w:rsidP="00D2613B">
      <w:pPr>
        <w:numPr>
          <w:ilvl w:val="0"/>
          <w:numId w:val="25"/>
        </w:numPr>
        <w:tabs>
          <w:tab w:val="clear" w:pos="1080"/>
          <w:tab w:val="num" w:pos="720"/>
        </w:tabs>
        <w:ind w:left="720"/>
        <w:jc w:val="both"/>
        <w:rPr>
          <w:rFonts w:asciiTheme="minorHAnsi" w:hAnsiTheme="minorHAnsi"/>
          <w:szCs w:val="24"/>
        </w:rPr>
      </w:pPr>
      <w:r w:rsidRPr="00BB6767">
        <w:rPr>
          <w:rFonts w:asciiTheme="minorHAnsi" w:hAnsiTheme="minorHAnsi"/>
          <w:szCs w:val="24"/>
        </w:rPr>
        <w:t xml:space="preserve">Provide a list with the addresses of competing financial institutions located in each city or town where both banks have a banking office.  </w:t>
      </w:r>
      <w:r w:rsidR="00AD087F" w:rsidRPr="00BB6767">
        <w:rPr>
          <w:rFonts w:asciiTheme="minorHAnsi" w:hAnsiTheme="minorHAnsi"/>
          <w:szCs w:val="24"/>
        </w:rPr>
        <w:t>Also, p</w:t>
      </w:r>
      <w:r w:rsidRPr="00BB6767">
        <w:rPr>
          <w:rFonts w:asciiTheme="minorHAnsi" w:hAnsiTheme="minorHAnsi"/>
          <w:szCs w:val="24"/>
        </w:rPr>
        <w:t>rovide a map showing the location of each competing financial institution in each city or town, in which the continuing bank plans to merge, consolidate</w:t>
      </w:r>
      <w:r w:rsidR="00AD087F" w:rsidRPr="00BB6767">
        <w:rPr>
          <w:rFonts w:asciiTheme="minorHAnsi" w:hAnsiTheme="minorHAnsi"/>
          <w:szCs w:val="24"/>
        </w:rPr>
        <w:t>,</w:t>
      </w:r>
      <w:r w:rsidRPr="00BB6767">
        <w:rPr>
          <w:rFonts w:asciiTheme="minorHAnsi" w:hAnsiTheme="minorHAnsi"/>
          <w:szCs w:val="24"/>
        </w:rPr>
        <w:t xml:space="preserve"> or close an office.</w:t>
      </w:r>
    </w:p>
    <w:p w:rsidR="00BB6767" w:rsidRPr="00BB6767" w:rsidRDefault="00BB6767" w:rsidP="00BB6767">
      <w:pPr>
        <w:tabs>
          <w:tab w:val="num" w:pos="720"/>
        </w:tabs>
        <w:ind w:left="720"/>
        <w:jc w:val="both"/>
        <w:rPr>
          <w:rFonts w:asciiTheme="minorHAnsi" w:hAnsiTheme="minorHAnsi"/>
          <w:szCs w:val="24"/>
        </w:rPr>
      </w:pPr>
    </w:p>
    <w:p w:rsidR="002B453B" w:rsidRPr="00413D9C" w:rsidRDefault="00413D9C" w:rsidP="002B0A1F">
      <w:pPr>
        <w:numPr>
          <w:ilvl w:val="0"/>
          <w:numId w:val="25"/>
        </w:numPr>
        <w:tabs>
          <w:tab w:val="clear" w:pos="1080"/>
          <w:tab w:val="num" w:pos="720"/>
        </w:tabs>
        <w:ind w:left="720"/>
        <w:jc w:val="both"/>
        <w:rPr>
          <w:rFonts w:asciiTheme="minorHAnsi" w:hAnsiTheme="minorHAnsi"/>
          <w:szCs w:val="24"/>
        </w:rPr>
      </w:pPr>
      <w:r w:rsidRPr="00413D9C">
        <w:rPr>
          <w:rFonts w:asciiTheme="minorHAnsi" w:hAnsiTheme="minorHAnsi"/>
          <w:szCs w:val="24"/>
        </w:rPr>
        <w:t>Provide a map and explanation of the delineation basis for the primary service area of the banking offices of the bank to be acquired.</w:t>
      </w:r>
      <w:r>
        <w:rPr>
          <w:rFonts w:asciiTheme="minorHAnsi" w:hAnsiTheme="minorHAnsi"/>
          <w:szCs w:val="24"/>
        </w:rPr>
        <w:t xml:space="preserve">  </w:t>
      </w:r>
      <w:r w:rsidR="002B453B" w:rsidRPr="00413D9C">
        <w:rPr>
          <w:rFonts w:asciiTheme="minorHAnsi" w:hAnsiTheme="minorHAnsi"/>
          <w:spacing w:val="-2"/>
          <w:szCs w:val="24"/>
        </w:rPr>
        <w:t xml:space="preserve">Describe the extent of </w:t>
      </w:r>
      <w:r w:rsidR="00822370">
        <w:rPr>
          <w:rFonts w:asciiTheme="minorHAnsi" w:hAnsiTheme="minorHAnsi"/>
          <w:spacing w:val="-2"/>
          <w:szCs w:val="24"/>
        </w:rPr>
        <w:t xml:space="preserve">any </w:t>
      </w:r>
      <w:r w:rsidR="002B453B" w:rsidRPr="00413D9C">
        <w:rPr>
          <w:rFonts w:asciiTheme="minorHAnsi" w:hAnsiTheme="minorHAnsi"/>
          <w:spacing w:val="-2"/>
          <w:szCs w:val="24"/>
        </w:rPr>
        <w:t xml:space="preserve">overlap </w:t>
      </w:r>
      <w:r w:rsidR="00822370">
        <w:rPr>
          <w:rFonts w:asciiTheme="minorHAnsi" w:hAnsiTheme="minorHAnsi"/>
          <w:spacing w:val="-2"/>
          <w:szCs w:val="24"/>
        </w:rPr>
        <w:t>with the</w:t>
      </w:r>
      <w:r w:rsidR="002B453B" w:rsidRPr="00413D9C">
        <w:rPr>
          <w:rFonts w:asciiTheme="minorHAnsi" w:hAnsiTheme="minorHAnsi"/>
          <w:spacing w:val="-2"/>
          <w:szCs w:val="24"/>
        </w:rPr>
        <w:t xml:space="preserve"> primary service area</w:t>
      </w:r>
      <w:r w:rsidR="00822370">
        <w:rPr>
          <w:rFonts w:asciiTheme="minorHAnsi" w:hAnsiTheme="minorHAnsi"/>
          <w:spacing w:val="-2"/>
          <w:szCs w:val="24"/>
        </w:rPr>
        <w:t xml:space="preserve"> of the acquiring bank</w:t>
      </w:r>
      <w:r w:rsidR="002B453B" w:rsidRPr="00413D9C">
        <w:rPr>
          <w:rFonts w:asciiTheme="minorHAnsi" w:hAnsiTheme="minorHAnsi"/>
          <w:spacing w:val="-2"/>
          <w:szCs w:val="24"/>
        </w:rPr>
        <w:t>.</w:t>
      </w:r>
    </w:p>
    <w:p w:rsidR="002B453B" w:rsidRDefault="002B453B" w:rsidP="00971459">
      <w:pPr>
        <w:pStyle w:val="ListParagraph"/>
        <w:tabs>
          <w:tab w:val="num" w:pos="360"/>
        </w:tabs>
        <w:ind w:left="360"/>
        <w:rPr>
          <w:rFonts w:asciiTheme="minorHAnsi" w:hAnsiTheme="minorHAnsi"/>
          <w:spacing w:val="-2"/>
          <w:szCs w:val="24"/>
        </w:rPr>
      </w:pPr>
    </w:p>
    <w:p w:rsidR="003240F0" w:rsidRPr="00154ADC" w:rsidRDefault="003240F0" w:rsidP="002B0A1F">
      <w:pPr>
        <w:numPr>
          <w:ilvl w:val="0"/>
          <w:numId w:val="25"/>
        </w:numPr>
        <w:tabs>
          <w:tab w:val="clear" w:pos="1080"/>
          <w:tab w:val="left" w:pos="0"/>
          <w:tab w:val="left" w:pos="720"/>
          <w:tab w:val="left" w:pos="774"/>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ind w:left="720"/>
        <w:jc w:val="both"/>
        <w:rPr>
          <w:rFonts w:asciiTheme="minorHAnsi" w:hAnsiTheme="minorHAnsi"/>
          <w:spacing w:val="-2"/>
          <w:szCs w:val="24"/>
        </w:rPr>
      </w:pPr>
      <w:r w:rsidRPr="00154ADC">
        <w:rPr>
          <w:rFonts w:asciiTheme="minorHAnsi" w:hAnsiTheme="minorHAnsi"/>
          <w:spacing w:val="-2"/>
          <w:szCs w:val="24"/>
        </w:rPr>
        <w:t>In accordance with Regulatory Bulletin 2.2-103, exclusive lease provisions and restrictive covenants are defined as clauses which have the effect of regulating or limiting competition by precluding the sale or lease of a site or related space to a competing institution thereby frustrating the ability of that site or related space to benefit the public.  State whether or not either of the subject banks is a party to any deed, lease or other agreement which contains any such exclusive provision or covenant.  If applicable, provide a copy of and comment on the exclusive provision or covenant.</w:t>
      </w:r>
    </w:p>
    <w:p w:rsidR="003240F0" w:rsidRPr="00154ADC" w:rsidRDefault="003240F0" w:rsidP="002B0A1F">
      <w:pPr>
        <w:pStyle w:val="BodyTextIndent2"/>
        <w:tabs>
          <w:tab w:val="left" w:pos="720"/>
        </w:tabs>
        <w:ind w:left="720" w:hanging="360"/>
        <w:jc w:val="center"/>
        <w:rPr>
          <w:rFonts w:asciiTheme="minorHAnsi" w:hAnsiTheme="minorHAnsi"/>
          <w:b w:val="0"/>
          <w:szCs w:val="24"/>
        </w:rPr>
      </w:pPr>
    </w:p>
    <w:p w:rsidR="003240F0" w:rsidRPr="00154ADC" w:rsidRDefault="003240F0" w:rsidP="002B0A1F">
      <w:pPr>
        <w:numPr>
          <w:ilvl w:val="0"/>
          <w:numId w:val="25"/>
        </w:numPr>
        <w:tabs>
          <w:tab w:val="clear" w:pos="1080"/>
          <w:tab w:val="left" w:pos="0"/>
          <w:tab w:val="left" w:pos="720"/>
          <w:tab w:val="left" w:pos="774"/>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ind w:left="720"/>
        <w:jc w:val="both"/>
        <w:rPr>
          <w:rFonts w:asciiTheme="minorHAnsi" w:hAnsiTheme="minorHAnsi"/>
          <w:szCs w:val="24"/>
        </w:rPr>
      </w:pPr>
      <w:r w:rsidRPr="00154ADC">
        <w:rPr>
          <w:rFonts w:asciiTheme="minorHAnsi" w:hAnsiTheme="minorHAnsi"/>
          <w:szCs w:val="24"/>
        </w:rPr>
        <w:t>Provide information regarding any consideration, monetary or otherwise, which has been paid, given or offered by any trustee, director</w:t>
      </w:r>
      <w:r w:rsidR="00B23FB2">
        <w:rPr>
          <w:rFonts w:asciiTheme="minorHAnsi" w:hAnsiTheme="minorHAnsi"/>
          <w:szCs w:val="24"/>
        </w:rPr>
        <w:t>,</w:t>
      </w:r>
      <w:r w:rsidRPr="00154ADC">
        <w:rPr>
          <w:rFonts w:asciiTheme="minorHAnsi" w:hAnsiTheme="minorHAnsi"/>
          <w:szCs w:val="24"/>
        </w:rPr>
        <w:t xml:space="preserve"> or principal officer of either bank or affiliate thereof in connection with the proposed transaction.  </w:t>
      </w:r>
      <w:r w:rsidR="00F23287" w:rsidRPr="00154ADC">
        <w:rPr>
          <w:rFonts w:asciiTheme="minorHAnsi" w:hAnsiTheme="minorHAnsi"/>
          <w:szCs w:val="24"/>
        </w:rPr>
        <w:t xml:space="preserve">If the bank merger is part of a proposed multi-step transaction, also provide information regarding any consideration, monetary or otherwise, which has been paid, given or offered by any director or principal officer of either bank holding company. </w:t>
      </w:r>
      <w:r w:rsidR="00B23FB2">
        <w:rPr>
          <w:rFonts w:asciiTheme="minorHAnsi" w:hAnsiTheme="minorHAnsi"/>
          <w:szCs w:val="24"/>
        </w:rPr>
        <w:t xml:space="preserve"> </w:t>
      </w:r>
      <w:r w:rsidRPr="00154ADC">
        <w:rPr>
          <w:rFonts w:asciiTheme="minorHAnsi" w:hAnsiTheme="minorHAnsi"/>
          <w:szCs w:val="24"/>
        </w:rPr>
        <w:t>Include any formal agreement or understanding relating to payment or compensation such as increase in salary, a bonus, consulting agreement or retirement allowance, or any service, release of pledges made, or other item of value in connection with the proposed transaction.  Explain, if applicable, to what extent and in what manner such information has been disclosed to trustees, directors</w:t>
      </w:r>
      <w:r w:rsidR="00AF5319">
        <w:rPr>
          <w:rFonts w:asciiTheme="minorHAnsi" w:hAnsiTheme="minorHAnsi"/>
          <w:szCs w:val="24"/>
        </w:rPr>
        <w:t>,</w:t>
      </w:r>
      <w:r w:rsidR="00F23287" w:rsidRPr="00154ADC">
        <w:rPr>
          <w:rFonts w:asciiTheme="minorHAnsi" w:hAnsiTheme="minorHAnsi"/>
          <w:szCs w:val="24"/>
        </w:rPr>
        <w:t xml:space="preserve"> and</w:t>
      </w:r>
      <w:r w:rsidRPr="00154ADC">
        <w:rPr>
          <w:rFonts w:asciiTheme="minorHAnsi" w:hAnsiTheme="minorHAnsi"/>
          <w:szCs w:val="24"/>
        </w:rPr>
        <w:t xml:space="preserve"> shareholders.</w:t>
      </w:r>
    </w:p>
    <w:p w:rsidR="003D2255" w:rsidRPr="00154ADC" w:rsidRDefault="003D2255" w:rsidP="002B0A1F">
      <w:pPr>
        <w:tabs>
          <w:tab w:val="left" w:pos="0"/>
          <w:tab w:val="left" w:pos="270"/>
          <w:tab w:val="left" w:pos="720"/>
          <w:tab w:val="left" w:pos="774"/>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ind w:left="720" w:hanging="360"/>
        <w:jc w:val="both"/>
        <w:rPr>
          <w:rFonts w:asciiTheme="minorHAnsi" w:hAnsiTheme="minorHAnsi"/>
          <w:szCs w:val="24"/>
        </w:rPr>
      </w:pPr>
    </w:p>
    <w:p w:rsidR="003D2255" w:rsidRPr="00154ADC" w:rsidRDefault="003D2255" w:rsidP="002B0A1F">
      <w:pPr>
        <w:numPr>
          <w:ilvl w:val="0"/>
          <w:numId w:val="25"/>
        </w:numPr>
        <w:tabs>
          <w:tab w:val="clear" w:pos="1080"/>
          <w:tab w:val="left" w:pos="0"/>
          <w:tab w:val="left" w:pos="720"/>
          <w:tab w:val="left" w:pos="774"/>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ind w:left="720"/>
        <w:jc w:val="both"/>
        <w:rPr>
          <w:rFonts w:asciiTheme="minorHAnsi" w:hAnsiTheme="minorHAnsi"/>
          <w:szCs w:val="24"/>
        </w:rPr>
      </w:pPr>
      <w:r w:rsidRPr="00154ADC">
        <w:rPr>
          <w:rFonts w:asciiTheme="minorHAnsi" w:hAnsiTheme="minorHAnsi"/>
          <w:szCs w:val="24"/>
        </w:rPr>
        <w:t>Provide information on any employee severance/termination policy, if applicable.  Specify the components as well as employees eligible.</w:t>
      </w:r>
    </w:p>
    <w:p w:rsidR="00642AB6" w:rsidRPr="00154ADC" w:rsidRDefault="00642AB6" w:rsidP="002B0A1F">
      <w:pPr>
        <w:tabs>
          <w:tab w:val="left" w:pos="0"/>
          <w:tab w:val="left" w:pos="270"/>
          <w:tab w:val="left" w:pos="720"/>
          <w:tab w:val="left" w:pos="774"/>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ind w:left="720" w:hanging="360"/>
        <w:jc w:val="both"/>
        <w:rPr>
          <w:rFonts w:asciiTheme="minorHAnsi" w:hAnsiTheme="minorHAnsi"/>
          <w:szCs w:val="24"/>
        </w:rPr>
      </w:pPr>
    </w:p>
    <w:p w:rsidR="003240F0" w:rsidRDefault="003240F0" w:rsidP="002B0A1F">
      <w:pPr>
        <w:pStyle w:val="BodyTextIndent"/>
        <w:numPr>
          <w:ilvl w:val="0"/>
          <w:numId w:val="25"/>
        </w:numPr>
        <w:tabs>
          <w:tab w:val="clear" w:pos="1080"/>
          <w:tab w:val="left" w:pos="720"/>
        </w:tabs>
        <w:ind w:left="720"/>
        <w:rPr>
          <w:rFonts w:asciiTheme="minorHAnsi" w:hAnsiTheme="minorHAnsi"/>
          <w:sz w:val="24"/>
          <w:szCs w:val="24"/>
        </w:rPr>
      </w:pPr>
      <w:r w:rsidRPr="00154ADC">
        <w:rPr>
          <w:rFonts w:asciiTheme="minorHAnsi" w:hAnsiTheme="minorHAnsi"/>
          <w:sz w:val="24"/>
          <w:szCs w:val="24"/>
        </w:rPr>
        <w:t>Provide a statement describing the tax consequences of the proposed transaction under state and federal laws.</w:t>
      </w:r>
      <w:r w:rsidR="00F23287" w:rsidRPr="00154ADC">
        <w:rPr>
          <w:rFonts w:asciiTheme="minorHAnsi" w:hAnsiTheme="minorHAnsi"/>
          <w:sz w:val="24"/>
          <w:szCs w:val="24"/>
        </w:rPr>
        <w:t xml:space="preserve"> If the proposed merger is part of a multi-step </w:t>
      </w:r>
      <w:r w:rsidR="00ED4BFC" w:rsidRPr="00154ADC">
        <w:rPr>
          <w:rFonts w:asciiTheme="minorHAnsi" w:hAnsiTheme="minorHAnsi"/>
          <w:sz w:val="24"/>
          <w:szCs w:val="24"/>
        </w:rPr>
        <w:t>t</w:t>
      </w:r>
      <w:r w:rsidR="00F23287" w:rsidRPr="00154ADC">
        <w:rPr>
          <w:rFonts w:asciiTheme="minorHAnsi" w:hAnsiTheme="minorHAnsi"/>
          <w:sz w:val="24"/>
          <w:szCs w:val="24"/>
        </w:rPr>
        <w:t>ransaction, describe the tax consequences of the multi-step transaction.</w:t>
      </w:r>
    </w:p>
    <w:p w:rsidR="00BB6767" w:rsidRDefault="00BB6767" w:rsidP="00BB6767">
      <w:pPr>
        <w:pStyle w:val="ListParagraph"/>
        <w:rPr>
          <w:rFonts w:asciiTheme="minorHAnsi" w:hAnsiTheme="minorHAnsi"/>
          <w:szCs w:val="24"/>
        </w:rPr>
      </w:pPr>
    </w:p>
    <w:p w:rsidR="00BB6767" w:rsidRPr="00BB6767" w:rsidRDefault="00BB6767" w:rsidP="00BB6767">
      <w:pPr>
        <w:pStyle w:val="BodyTextIndent"/>
        <w:numPr>
          <w:ilvl w:val="0"/>
          <w:numId w:val="25"/>
        </w:numPr>
        <w:tabs>
          <w:tab w:val="clear" w:pos="1080"/>
        </w:tabs>
        <w:ind w:left="720"/>
        <w:rPr>
          <w:rFonts w:asciiTheme="minorHAnsi" w:hAnsiTheme="minorHAnsi"/>
          <w:sz w:val="24"/>
          <w:szCs w:val="24"/>
        </w:rPr>
      </w:pPr>
      <w:r w:rsidRPr="00BB6767">
        <w:rPr>
          <w:rFonts w:asciiTheme="minorHAnsi" w:hAnsiTheme="minorHAnsi"/>
          <w:sz w:val="24"/>
          <w:szCs w:val="24"/>
        </w:rPr>
        <w:t xml:space="preserve">Identify the daily newspaper(s) with the largest paid circulation publishing in the city or town </w:t>
      </w:r>
      <w:r>
        <w:rPr>
          <w:rFonts w:asciiTheme="minorHAnsi" w:hAnsiTheme="minorHAnsi"/>
          <w:sz w:val="24"/>
          <w:szCs w:val="24"/>
        </w:rPr>
        <w:t xml:space="preserve">  </w:t>
      </w:r>
      <w:r w:rsidRPr="00BB6767">
        <w:rPr>
          <w:rFonts w:asciiTheme="minorHAnsi" w:hAnsiTheme="minorHAnsi"/>
          <w:sz w:val="24"/>
          <w:szCs w:val="24"/>
        </w:rPr>
        <w:t>where the applicant bank’s main office and the acquired bank’s main office is located</w:t>
      </w:r>
      <w:r>
        <w:rPr>
          <w:rFonts w:asciiTheme="minorHAnsi" w:hAnsiTheme="minorHAnsi"/>
          <w:sz w:val="24"/>
          <w:szCs w:val="24"/>
        </w:rPr>
        <w:t>.</w:t>
      </w:r>
    </w:p>
    <w:p w:rsidR="00B430BE" w:rsidRPr="00BB6767" w:rsidRDefault="00B430BE" w:rsidP="002B0A1F">
      <w:pPr>
        <w:pStyle w:val="BodyText"/>
        <w:tabs>
          <w:tab w:val="left" w:pos="720"/>
        </w:tabs>
        <w:ind w:left="720" w:hanging="360"/>
        <w:rPr>
          <w:rFonts w:asciiTheme="minorHAnsi" w:hAnsiTheme="minorHAnsi"/>
          <w:sz w:val="24"/>
          <w:szCs w:val="24"/>
        </w:rPr>
      </w:pPr>
    </w:p>
    <w:p w:rsidR="00B430BE" w:rsidRDefault="00B430BE" w:rsidP="002B0A1F">
      <w:pPr>
        <w:numPr>
          <w:ilvl w:val="0"/>
          <w:numId w:val="25"/>
        </w:numPr>
        <w:tabs>
          <w:tab w:val="clear" w:pos="1080"/>
          <w:tab w:val="left" w:pos="720"/>
        </w:tabs>
        <w:ind w:left="720"/>
        <w:jc w:val="both"/>
        <w:rPr>
          <w:rFonts w:asciiTheme="minorHAnsi" w:hAnsiTheme="minorHAnsi"/>
          <w:szCs w:val="24"/>
        </w:rPr>
      </w:pPr>
      <w:r w:rsidRPr="00154ADC">
        <w:rPr>
          <w:rFonts w:asciiTheme="minorHAnsi" w:hAnsiTheme="minorHAnsi"/>
          <w:szCs w:val="24"/>
        </w:rPr>
        <w:t xml:space="preserve">Provide information on the status of all required regulatory approvals necessary to complete the proposed transaction including information on the status of each application and a copy </w:t>
      </w:r>
      <w:r w:rsidR="00E310A8" w:rsidRPr="00154ADC">
        <w:rPr>
          <w:rFonts w:asciiTheme="minorHAnsi" w:hAnsiTheme="minorHAnsi"/>
          <w:szCs w:val="24"/>
        </w:rPr>
        <w:t xml:space="preserve">of </w:t>
      </w:r>
      <w:r w:rsidRPr="00154ADC">
        <w:rPr>
          <w:rFonts w:asciiTheme="minorHAnsi" w:hAnsiTheme="minorHAnsi"/>
          <w:szCs w:val="24"/>
        </w:rPr>
        <w:t>any approvals received.</w:t>
      </w:r>
    </w:p>
    <w:p w:rsidR="003240F0" w:rsidRPr="00154ADC" w:rsidRDefault="003240F0" w:rsidP="00907F77">
      <w:pPr>
        <w:pStyle w:val="BodyText"/>
        <w:tabs>
          <w:tab w:val="num" w:pos="720"/>
        </w:tabs>
        <w:rPr>
          <w:rFonts w:asciiTheme="minorHAnsi" w:hAnsiTheme="minorHAnsi"/>
          <w:sz w:val="24"/>
          <w:szCs w:val="24"/>
        </w:rPr>
      </w:pPr>
      <w:r w:rsidRPr="00154ADC">
        <w:rPr>
          <w:rFonts w:asciiTheme="minorHAnsi" w:hAnsiTheme="minorHAnsi"/>
          <w:sz w:val="24"/>
          <w:szCs w:val="24"/>
        </w:rPr>
        <w:t xml:space="preserve">                                                                                                                                         </w:t>
      </w:r>
    </w:p>
    <w:p w:rsidR="00221FBF" w:rsidRDefault="00221FBF" w:rsidP="003B573C">
      <w:pPr>
        <w:tabs>
          <w:tab w:val="num" w:pos="720"/>
          <w:tab w:val="center" w:pos="4680"/>
        </w:tabs>
        <w:suppressAutoHyphens/>
        <w:spacing w:line="360" w:lineRule="auto"/>
        <w:jc w:val="both"/>
        <w:rPr>
          <w:rFonts w:asciiTheme="minorHAnsi" w:hAnsiTheme="minorHAnsi"/>
          <w:b/>
          <w:smallCaps/>
          <w:spacing w:val="-3"/>
          <w:szCs w:val="24"/>
          <w:u w:val="single"/>
        </w:rPr>
      </w:pPr>
      <w:r w:rsidRPr="00154ADC">
        <w:rPr>
          <w:rFonts w:asciiTheme="minorHAnsi" w:hAnsiTheme="minorHAnsi"/>
          <w:b/>
          <w:smallCaps/>
          <w:spacing w:val="-3"/>
          <w:szCs w:val="24"/>
          <w:u w:val="single"/>
        </w:rPr>
        <w:t>Part II: Holding Company Acquisition</w:t>
      </w:r>
      <w:r w:rsidR="009E685C" w:rsidRPr="00154ADC">
        <w:rPr>
          <w:rFonts w:asciiTheme="minorHAnsi" w:hAnsiTheme="minorHAnsi"/>
          <w:b/>
          <w:smallCaps/>
          <w:spacing w:val="-3"/>
          <w:szCs w:val="24"/>
          <w:u w:val="single"/>
        </w:rPr>
        <w:t xml:space="preserve"> (if applicable)</w:t>
      </w:r>
    </w:p>
    <w:p w:rsidR="00F45A2C" w:rsidRPr="00F45A2C" w:rsidRDefault="00F45A2C" w:rsidP="00F45A2C">
      <w:pPr>
        <w:numPr>
          <w:ilvl w:val="0"/>
          <w:numId w:val="29"/>
        </w:numPr>
        <w:tabs>
          <w:tab w:val="clear" w:pos="1080"/>
          <w:tab w:val="num" w:pos="720"/>
        </w:tabs>
        <w:ind w:left="720"/>
        <w:jc w:val="both"/>
        <w:rPr>
          <w:rFonts w:asciiTheme="minorHAnsi" w:hAnsiTheme="minorHAnsi"/>
          <w:szCs w:val="24"/>
        </w:rPr>
      </w:pPr>
      <w:r w:rsidRPr="00F45A2C">
        <w:rPr>
          <w:rFonts w:asciiTheme="minorHAnsi" w:hAnsiTheme="minorHAnsi"/>
          <w:szCs w:val="24"/>
        </w:rPr>
        <w:t>Describe the proposed transaction in detail</w:t>
      </w:r>
      <w:r>
        <w:rPr>
          <w:rFonts w:asciiTheme="minorHAnsi" w:hAnsiTheme="minorHAnsi"/>
          <w:szCs w:val="24"/>
        </w:rPr>
        <w:t xml:space="preserve">, including a description of </w:t>
      </w:r>
      <w:r w:rsidRPr="00F45A2C">
        <w:rPr>
          <w:rFonts w:asciiTheme="minorHAnsi" w:hAnsiTheme="minorHAnsi"/>
          <w:szCs w:val="24"/>
        </w:rPr>
        <w:t>how t</w:t>
      </w:r>
      <w:r>
        <w:rPr>
          <w:rFonts w:asciiTheme="minorHAnsi" w:hAnsiTheme="minorHAnsi"/>
          <w:szCs w:val="24"/>
        </w:rPr>
        <w:t>he transaction will be financed, and provide a</w:t>
      </w:r>
      <w:r w:rsidRPr="00F45A2C">
        <w:rPr>
          <w:rFonts w:asciiTheme="minorHAnsi" w:hAnsiTheme="minorHAnsi"/>
          <w:szCs w:val="24"/>
        </w:rPr>
        <w:t xml:space="preserve"> copy o</w:t>
      </w:r>
      <w:r>
        <w:rPr>
          <w:rFonts w:asciiTheme="minorHAnsi" w:hAnsiTheme="minorHAnsi"/>
          <w:szCs w:val="24"/>
        </w:rPr>
        <w:t xml:space="preserve">f the agreement of acquisition.  </w:t>
      </w:r>
    </w:p>
    <w:p w:rsidR="00F95F00" w:rsidRDefault="00F95F00" w:rsidP="002B0A1F">
      <w:pPr>
        <w:tabs>
          <w:tab w:val="num" w:pos="720"/>
        </w:tabs>
        <w:suppressAutoHyphens/>
        <w:ind w:left="720"/>
        <w:jc w:val="both"/>
        <w:rPr>
          <w:rFonts w:asciiTheme="minorHAnsi" w:hAnsiTheme="minorHAnsi"/>
          <w:spacing w:val="-3"/>
          <w:szCs w:val="24"/>
        </w:rPr>
      </w:pPr>
    </w:p>
    <w:p w:rsidR="00DA682B" w:rsidRPr="00154ADC" w:rsidRDefault="00DA682B" w:rsidP="002B0A1F">
      <w:pPr>
        <w:numPr>
          <w:ilvl w:val="0"/>
          <w:numId w:val="29"/>
        </w:numPr>
        <w:tabs>
          <w:tab w:val="clear" w:pos="1080"/>
          <w:tab w:val="num" w:pos="720"/>
        </w:tabs>
        <w:suppressAutoHyphens/>
        <w:ind w:left="720"/>
        <w:jc w:val="both"/>
        <w:rPr>
          <w:rFonts w:asciiTheme="minorHAnsi" w:hAnsiTheme="minorHAnsi"/>
          <w:spacing w:val="-3"/>
          <w:szCs w:val="24"/>
        </w:rPr>
      </w:pPr>
      <w:r w:rsidRPr="00154ADC">
        <w:rPr>
          <w:rFonts w:asciiTheme="minorHAnsi" w:hAnsiTheme="minorHAnsi"/>
          <w:szCs w:val="24"/>
        </w:rPr>
        <w:t xml:space="preserve">Please indicate if the Massachusetts Housing Partnership has already been contacted or when such contact is anticipated. </w:t>
      </w:r>
    </w:p>
    <w:p w:rsidR="00DA682B" w:rsidRPr="00154ADC" w:rsidRDefault="00DA682B" w:rsidP="002B0A1F">
      <w:pPr>
        <w:tabs>
          <w:tab w:val="num" w:pos="720"/>
          <w:tab w:val="center" w:pos="4680"/>
        </w:tabs>
        <w:suppressAutoHyphens/>
        <w:ind w:left="720" w:hanging="360"/>
        <w:jc w:val="both"/>
        <w:rPr>
          <w:rFonts w:asciiTheme="minorHAnsi" w:hAnsiTheme="minorHAnsi"/>
          <w:spacing w:val="-3"/>
          <w:szCs w:val="24"/>
        </w:rPr>
      </w:pPr>
    </w:p>
    <w:p w:rsidR="003B573C" w:rsidRDefault="00221FBF" w:rsidP="002B0A1F">
      <w:pPr>
        <w:numPr>
          <w:ilvl w:val="0"/>
          <w:numId w:val="29"/>
        </w:numPr>
        <w:tabs>
          <w:tab w:val="clear" w:pos="1080"/>
          <w:tab w:val="num" w:pos="720"/>
        </w:tabs>
        <w:ind w:left="720"/>
        <w:jc w:val="both"/>
        <w:rPr>
          <w:rFonts w:asciiTheme="minorHAnsi" w:hAnsiTheme="minorHAnsi"/>
          <w:szCs w:val="24"/>
        </w:rPr>
      </w:pPr>
      <w:r w:rsidRPr="00154ADC">
        <w:rPr>
          <w:rFonts w:asciiTheme="minorHAnsi" w:hAnsiTheme="minorHAnsi"/>
          <w:szCs w:val="24"/>
        </w:rPr>
        <w:t xml:space="preserve">Provide a corporate structure chart for both bank holding companies as they currently exist and as they will operate after the proposed transaction. Indicate the relational structure of all corporate entities including all subsidiaries both before and after the transaction. </w:t>
      </w:r>
    </w:p>
    <w:p w:rsidR="003B573C" w:rsidRPr="003B573C" w:rsidRDefault="003B573C" w:rsidP="002B0A1F">
      <w:pPr>
        <w:tabs>
          <w:tab w:val="num" w:pos="720"/>
        </w:tabs>
        <w:ind w:left="720" w:hanging="360"/>
        <w:jc w:val="both"/>
        <w:rPr>
          <w:rFonts w:asciiTheme="minorHAnsi" w:hAnsiTheme="minorHAnsi"/>
          <w:szCs w:val="24"/>
        </w:rPr>
      </w:pPr>
    </w:p>
    <w:p w:rsidR="00F95F00" w:rsidRPr="003B573C" w:rsidRDefault="00221FBF" w:rsidP="002B0A1F">
      <w:pPr>
        <w:numPr>
          <w:ilvl w:val="0"/>
          <w:numId w:val="29"/>
        </w:numPr>
        <w:tabs>
          <w:tab w:val="clear" w:pos="1080"/>
          <w:tab w:val="num" w:pos="720"/>
          <w:tab w:val="center" w:pos="4680"/>
        </w:tabs>
        <w:suppressAutoHyphens/>
        <w:ind w:left="720"/>
        <w:jc w:val="both"/>
        <w:rPr>
          <w:rFonts w:asciiTheme="minorHAnsi" w:hAnsiTheme="minorHAnsi"/>
          <w:szCs w:val="24"/>
        </w:rPr>
      </w:pPr>
      <w:r w:rsidRPr="003B573C">
        <w:rPr>
          <w:rFonts w:asciiTheme="minorHAnsi" w:hAnsiTheme="minorHAnsi"/>
          <w:szCs w:val="24"/>
        </w:rPr>
        <w:t>List the proposed choices for directors and principal officers of the continuing bank holding company.  If no directors and principal officers from the acquired bank holding company will join the continuing bank holding company please comment on why.</w:t>
      </w:r>
      <w:r w:rsidR="00091C66" w:rsidRPr="003B573C">
        <w:rPr>
          <w:rFonts w:asciiTheme="minorHAnsi" w:hAnsiTheme="minorHAnsi"/>
          <w:szCs w:val="24"/>
        </w:rPr>
        <w:t xml:space="preserve"> </w:t>
      </w:r>
    </w:p>
    <w:sectPr w:rsidR="00F95F00" w:rsidRPr="003B573C" w:rsidSect="00BB6767">
      <w:footerReference w:type="default" r:id="rId11"/>
      <w:pgSz w:w="12240" w:h="15840" w:code="1"/>
      <w:pgMar w:top="720" w:right="1008" w:bottom="245" w:left="1008" w:header="0" w:footer="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1F" w:rsidRDefault="002B0A1F" w:rsidP="004C686C">
      <w:r>
        <w:separator/>
      </w:r>
    </w:p>
  </w:endnote>
  <w:endnote w:type="continuationSeparator" w:id="0">
    <w:p w:rsidR="002B0A1F" w:rsidRDefault="002B0A1F" w:rsidP="004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8811A1">
      <w:rPr>
        <w:rFonts w:asciiTheme="minorHAnsi" w:hAnsiTheme="minorHAnsi"/>
        <w:noProof/>
        <w:sz w:val="22"/>
        <w:szCs w:val="22"/>
      </w:rPr>
      <w:t>ii</w:t>
    </w:r>
    <w:r w:rsidRPr="005A725E">
      <w:rPr>
        <w:rFonts w:asciiTheme="minorHAnsi" w:hAnsiTheme="minorHAnsi"/>
        <w:sz w:val="22"/>
        <w:szCs w:val="22"/>
      </w:rPr>
      <w:fldChar w:fldCharType="end"/>
    </w:r>
  </w:p>
  <w:p w:rsidR="002B0A1F" w:rsidRDefault="002B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8811A1">
      <w:rPr>
        <w:rFonts w:asciiTheme="minorHAnsi" w:hAnsiTheme="minorHAnsi"/>
        <w:noProof/>
        <w:sz w:val="22"/>
        <w:szCs w:val="22"/>
      </w:rPr>
      <w:t>2</w:t>
    </w:r>
    <w:r w:rsidRPr="005A725E">
      <w:rPr>
        <w:rFonts w:asciiTheme="minorHAnsi" w:hAnsiTheme="minorHAnsi"/>
        <w:sz w:val="22"/>
        <w:szCs w:val="22"/>
      </w:rPr>
      <w:fldChar w:fldCharType="end"/>
    </w:r>
  </w:p>
  <w:p w:rsidR="002B0A1F" w:rsidRDefault="002B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1F" w:rsidRDefault="002B0A1F" w:rsidP="004C686C">
      <w:r>
        <w:separator/>
      </w:r>
    </w:p>
  </w:footnote>
  <w:footnote w:type="continuationSeparator" w:id="0">
    <w:p w:rsidR="002B0A1F" w:rsidRDefault="002B0A1F" w:rsidP="004C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4E"/>
    <w:multiLevelType w:val="hybridMultilevel"/>
    <w:tmpl w:val="F9D6172A"/>
    <w:lvl w:ilvl="0" w:tplc="FA0082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9087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076E64"/>
    <w:multiLevelType w:val="singleLevel"/>
    <w:tmpl w:val="61F217B8"/>
    <w:lvl w:ilvl="0">
      <w:start w:val="1"/>
      <w:numFmt w:val="decimal"/>
      <w:lvlText w:val="%1."/>
      <w:lvlJc w:val="left"/>
      <w:pPr>
        <w:tabs>
          <w:tab w:val="num" w:pos="1440"/>
        </w:tabs>
        <w:ind w:left="1440" w:hanging="720"/>
      </w:pPr>
      <w:rPr>
        <w:rFonts w:hint="default"/>
      </w:rPr>
    </w:lvl>
  </w:abstractNum>
  <w:abstractNum w:abstractNumId="3" w15:restartNumberingAfterBreak="0">
    <w:nsid w:val="0CAD7D53"/>
    <w:multiLevelType w:val="hybridMultilevel"/>
    <w:tmpl w:val="4CFCD69A"/>
    <w:lvl w:ilvl="0" w:tplc="94A87D1C">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721BD"/>
    <w:multiLevelType w:val="multilevel"/>
    <w:tmpl w:val="9222CBAA"/>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E154D2"/>
    <w:multiLevelType w:val="hybridMultilevel"/>
    <w:tmpl w:val="9222CBAA"/>
    <w:lvl w:ilvl="0" w:tplc="6B16C0D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764B7"/>
    <w:multiLevelType w:val="hybridMultilevel"/>
    <w:tmpl w:val="924CD0B2"/>
    <w:lvl w:ilvl="0" w:tplc="CCB246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26703"/>
    <w:multiLevelType w:val="multilevel"/>
    <w:tmpl w:val="AF9A2C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227119"/>
    <w:multiLevelType w:val="hybridMultilevel"/>
    <w:tmpl w:val="25FED36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681EF4"/>
    <w:multiLevelType w:val="hybridMultilevel"/>
    <w:tmpl w:val="46967B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945B84"/>
    <w:multiLevelType w:val="hybridMultilevel"/>
    <w:tmpl w:val="2B6C27CA"/>
    <w:lvl w:ilvl="0" w:tplc="041025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1087D"/>
    <w:multiLevelType w:val="multilevel"/>
    <w:tmpl w:val="AB2AE8D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026499"/>
    <w:multiLevelType w:val="hybridMultilevel"/>
    <w:tmpl w:val="BE2E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0130"/>
    <w:multiLevelType w:val="hybridMultilevel"/>
    <w:tmpl w:val="9E9EA71E"/>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E48F9"/>
    <w:multiLevelType w:val="multilevel"/>
    <w:tmpl w:val="2630822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840447"/>
    <w:multiLevelType w:val="singleLevel"/>
    <w:tmpl w:val="A88CB1EC"/>
    <w:lvl w:ilvl="0">
      <w:start w:val="2"/>
      <w:numFmt w:val="upperLetter"/>
      <w:lvlText w:val="%1."/>
      <w:lvlJc w:val="left"/>
      <w:pPr>
        <w:tabs>
          <w:tab w:val="num" w:pos="1440"/>
        </w:tabs>
        <w:ind w:left="1440" w:hanging="720"/>
      </w:pPr>
      <w:rPr>
        <w:rFonts w:hint="default"/>
      </w:rPr>
    </w:lvl>
  </w:abstractNum>
  <w:abstractNum w:abstractNumId="16" w15:restartNumberingAfterBreak="0">
    <w:nsid w:val="449F4956"/>
    <w:multiLevelType w:val="multilevel"/>
    <w:tmpl w:val="9E9EA71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5A2F0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84031C"/>
    <w:multiLevelType w:val="hybridMultilevel"/>
    <w:tmpl w:val="2AE2832C"/>
    <w:lvl w:ilvl="0" w:tplc="7CCE7CB4">
      <w:start w:val="1"/>
      <w:numFmt w:val="decimal"/>
      <w:lvlText w:val="%1."/>
      <w:lvlJc w:val="left"/>
      <w:pPr>
        <w:tabs>
          <w:tab w:val="num" w:pos="1080"/>
        </w:tabs>
        <w:ind w:left="1080" w:hanging="360"/>
      </w:pPr>
      <w:rPr>
        <w:rFonts w:hint="default"/>
      </w:rPr>
    </w:lvl>
    <w:lvl w:ilvl="1" w:tplc="DF0ED2A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36B4C"/>
    <w:multiLevelType w:val="singleLevel"/>
    <w:tmpl w:val="3D46299C"/>
    <w:lvl w:ilvl="0">
      <w:start w:val="18"/>
      <w:numFmt w:val="decimal"/>
      <w:lvlText w:val="%1."/>
      <w:lvlJc w:val="left"/>
      <w:pPr>
        <w:tabs>
          <w:tab w:val="num" w:pos="780"/>
        </w:tabs>
        <w:ind w:left="780" w:hanging="510"/>
      </w:pPr>
      <w:rPr>
        <w:rFonts w:hint="default"/>
      </w:rPr>
    </w:lvl>
  </w:abstractNum>
  <w:abstractNum w:abstractNumId="20" w15:restartNumberingAfterBreak="0">
    <w:nsid w:val="56A416B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6AB37D6"/>
    <w:multiLevelType w:val="hybridMultilevel"/>
    <w:tmpl w:val="AF9A2C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132A19"/>
    <w:multiLevelType w:val="multilevel"/>
    <w:tmpl w:val="25FED3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7B46098"/>
    <w:multiLevelType w:val="singleLevel"/>
    <w:tmpl w:val="F1BAFF4C"/>
    <w:lvl w:ilvl="0">
      <w:start w:val="1"/>
      <w:numFmt w:val="upperLetter"/>
      <w:lvlText w:val="%1."/>
      <w:lvlJc w:val="left"/>
      <w:pPr>
        <w:tabs>
          <w:tab w:val="num" w:pos="1434"/>
        </w:tabs>
        <w:ind w:left="1434" w:hanging="570"/>
      </w:pPr>
      <w:rPr>
        <w:rFonts w:hint="default"/>
      </w:rPr>
    </w:lvl>
  </w:abstractNum>
  <w:abstractNum w:abstractNumId="24" w15:restartNumberingAfterBreak="0">
    <w:nsid w:val="61606F08"/>
    <w:multiLevelType w:val="hybridMultilevel"/>
    <w:tmpl w:val="8FD20F6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DA7453"/>
    <w:multiLevelType w:val="hybridMultilevel"/>
    <w:tmpl w:val="760E6720"/>
    <w:lvl w:ilvl="0" w:tplc="0409000F">
      <w:start w:val="2"/>
      <w:numFmt w:val="decimal"/>
      <w:lvlText w:val="%1."/>
      <w:lvlJc w:val="left"/>
      <w:pPr>
        <w:tabs>
          <w:tab w:val="num" w:pos="720"/>
        </w:tabs>
        <w:ind w:left="720" w:hanging="360"/>
      </w:pPr>
      <w:rPr>
        <w:rFonts w:hint="default"/>
      </w:rPr>
    </w:lvl>
    <w:lvl w:ilvl="1" w:tplc="746E26A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975772"/>
    <w:multiLevelType w:val="hybridMultilevel"/>
    <w:tmpl w:val="15C20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126FF"/>
    <w:multiLevelType w:val="singleLevel"/>
    <w:tmpl w:val="0D0CE0D2"/>
    <w:lvl w:ilvl="0">
      <w:start w:val="7"/>
      <w:numFmt w:val="decimal"/>
      <w:lvlText w:val="%1."/>
      <w:lvlJc w:val="left"/>
      <w:pPr>
        <w:tabs>
          <w:tab w:val="num" w:pos="720"/>
        </w:tabs>
        <w:ind w:left="720" w:hanging="660"/>
      </w:pPr>
      <w:rPr>
        <w:rFonts w:hint="default"/>
      </w:rPr>
    </w:lvl>
  </w:abstractNum>
  <w:abstractNum w:abstractNumId="29" w15:restartNumberingAfterBreak="0">
    <w:nsid w:val="74E706B7"/>
    <w:multiLevelType w:val="singleLevel"/>
    <w:tmpl w:val="1496142A"/>
    <w:lvl w:ilvl="0">
      <w:start w:val="2"/>
      <w:numFmt w:val="decimal"/>
      <w:lvlText w:val="%1."/>
      <w:lvlJc w:val="left"/>
      <w:pPr>
        <w:tabs>
          <w:tab w:val="num" w:pos="1080"/>
        </w:tabs>
        <w:ind w:left="1080" w:hanging="360"/>
      </w:pPr>
      <w:rPr>
        <w:rFonts w:hint="default"/>
      </w:rPr>
    </w:lvl>
  </w:abstractNum>
  <w:abstractNum w:abstractNumId="30" w15:restartNumberingAfterBreak="0">
    <w:nsid w:val="75133114"/>
    <w:multiLevelType w:val="hybridMultilevel"/>
    <w:tmpl w:val="26308220"/>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CA3A2D"/>
    <w:multiLevelType w:val="singleLevel"/>
    <w:tmpl w:val="FAA63960"/>
    <w:lvl w:ilvl="0">
      <w:start w:val="1"/>
      <w:numFmt w:val="upperLetter"/>
      <w:lvlText w:val="%1."/>
      <w:lvlJc w:val="left"/>
      <w:pPr>
        <w:tabs>
          <w:tab w:val="num" w:pos="720"/>
        </w:tabs>
        <w:ind w:left="720" w:hanging="720"/>
      </w:pPr>
      <w:rPr>
        <w:rFonts w:hint="default"/>
      </w:rPr>
    </w:lvl>
  </w:abstractNum>
  <w:num w:numId="1">
    <w:abstractNumId w:val="2"/>
  </w:num>
  <w:num w:numId="2">
    <w:abstractNumId w:val="1"/>
  </w:num>
  <w:num w:numId="3">
    <w:abstractNumId w:val="20"/>
  </w:num>
  <w:num w:numId="4">
    <w:abstractNumId w:val="28"/>
  </w:num>
  <w:num w:numId="5">
    <w:abstractNumId w:val="29"/>
  </w:num>
  <w:num w:numId="6">
    <w:abstractNumId w:val="31"/>
  </w:num>
  <w:num w:numId="7">
    <w:abstractNumId w:val="15"/>
  </w:num>
  <w:num w:numId="8">
    <w:abstractNumId w:val="17"/>
  </w:num>
  <w:num w:numId="9">
    <w:abstractNumId w:val="19"/>
  </w:num>
  <w:num w:numId="10">
    <w:abstractNumId w:val="23"/>
  </w:num>
  <w:num w:numId="11">
    <w:abstractNumId w:val="21"/>
  </w:num>
  <w:num w:numId="12">
    <w:abstractNumId w:val="30"/>
  </w:num>
  <w:num w:numId="13">
    <w:abstractNumId w:val="14"/>
  </w:num>
  <w:num w:numId="14">
    <w:abstractNumId w:val="13"/>
  </w:num>
  <w:num w:numId="15">
    <w:abstractNumId w:val="16"/>
  </w:num>
  <w:num w:numId="16">
    <w:abstractNumId w:val="5"/>
  </w:num>
  <w:num w:numId="17">
    <w:abstractNumId w:val="7"/>
  </w:num>
  <w:num w:numId="18">
    <w:abstractNumId w:val="9"/>
  </w:num>
  <w:num w:numId="19">
    <w:abstractNumId w:val="8"/>
  </w:num>
  <w:num w:numId="20">
    <w:abstractNumId w:val="22"/>
  </w:num>
  <w:num w:numId="21">
    <w:abstractNumId w:val="10"/>
  </w:num>
  <w:num w:numId="22">
    <w:abstractNumId w:val="11"/>
  </w:num>
  <w:num w:numId="23">
    <w:abstractNumId w:val="4"/>
  </w:num>
  <w:num w:numId="24">
    <w:abstractNumId w:val="0"/>
  </w:num>
  <w:num w:numId="25">
    <w:abstractNumId w:val="6"/>
  </w:num>
  <w:num w:numId="26">
    <w:abstractNumId w:val="25"/>
  </w:num>
  <w:num w:numId="27">
    <w:abstractNumId w:val="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B6"/>
    <w:rsid w:val="000162D0"/>
    <w:rsid w:val="00027A9B"/>
    <w:rsid w:val="00042FA0"/>
    <w:rsid w:val="00056054"/>
    <w:rsid w:val="000672AA"/>
    <w:rsid w:val="00082EFA"/>
    <w:rsid w:val="00091C66"/>
    <w:rsid w:val="000C2520"/>
    <w:rsid w:val="000C601F"/>
    <w:rsid w:val="000F6F85"/>
    <w:rsid w:val="00115FF4"/>
    <w:rsid w:val="00131D59"/>
    <w:rsid w:val="00147066"/>
    <w:rsid w:val="00154ADC"/>
    <w:rsid w:val="00160169"/>
    <w:rsid w:val="001938AE"/>
    <w:rsid w:val="001B6D91"/>
    <w:rsid w:val="00205ECB"/>
    <w:rsid w:val="002069B0"/>
    <w:rsid w:val="00217E3D"/>
    <w:rsid w:val="00221B1A"/>
    <w:rsid w:val="00221FBF"/>
    <w:rsid w:val="00227C4F"/>
    <w:rsid w:val="00234B65"/>
    <w:rsid w:val="00252DEE"/>
    <w:rsid w:val="00266520"/>
    <w:rsid w:val="00277525"/>
    <w:rsid w:val="002B0A1F"/>
    <w:rsid w:val="002B453B"/>
    <w:rsid w:val="002B46EB"/>
    <w:rsid w:val="002C1ED8"/>
    <w:rsid w:val="002D265A"/>
    <w:rsid w:val="002D7BBB"/>
    <w:rsid w:val="002F41E1"/>
    <w:rsid w:val="002F6E33"/>
    <w:rsid w:val="003044CC"/>
    <w:rsid w:val="003240F0"/>
    <w:rsid w:val="00330C4D"/>
    <w:rsid w:val="00376653"/>
    <w:rsid w:val="0038191C"/>
    <w:rsid w:val="003A561A"/>
    <w:rsid w:val="003B573C"/>
    <w:rsid w:val="003D2255"/>
    <w:rsid w:val="003D4671"/>
    <w:rsid w:val="003E1F1C"/>
    <w:rsid w:val="003E511D"/>
    <w:rsid w:val="004030EC"/>
    <w:rsid w:val="00413D9C"/>
    <w:rsid w:val="0043071B"/>
    <w:rsid w:val="00431DE5"/>
    <w:rsid w:val="00437098"/>
    <w:rsid w:val="004446FB"/>
    <w:rsid w:val="00465408"/>
    <w:rsid w:val="00477179"/>
    <w:rsid w:val="004859DF"/>
    <w:rsid w:val="00490CEA"/>
    <w:rsid w:val="00495159"/>
    <w:rsid w:val="00496BCD"/>
    <w:rsid w:val="004A7654"/>
    <w:rsid w:val="004A7EE8"/>
    <w:rsid w:val="004C4E92"/>
    <w:rsid w:val="004C58AE"/>
    <w:rsid w:val="004C686C"/>
    <w:rsid w:val="004E67FF"/>
    <w:rsid w:val="00515B2C"/>
    <w:rsid w:val="00533B19"/>
    <w:rsid w:val="00562BEC"/>
    <w:rsid w:val="00586871"/>
    <w:rsid w:val="00587BCE"/>
    <w:rsid w:val="005A725E"/>
    <w:rsid w:val="005B3346"/>
    <w:rsid w:val="005B4075"/>
    <w:rsid w:val="006014C8"/>
    <w:rsid w:val="006147B7"/>
    <w:rsid w:val="0063573B"/>
    <w:rsid w:val="0063735F"/>
    <w:rsid w:val="00642AB6"/>
    <w:rsid w:val="00651176"/>
    <w:rsid w:val="006B06CB"/>
    <w:rsid w:val="006C00AB"/>
    <w:rsid w:val="006C09BD"/>
    <w:rsid w:val="006C0AF4"/>
    <w:rsid w:val="006C684D"/>
    <w:rsid w:val="00704E0D"/>
    <w:rsid w:val="00715645"/>
    <w:rsid w:val="00744EA7"/>
    <w:rsid w:val="00746A9B"/>
    <w:rsid w:val="00792580"/>
    <w:rsid w:val="00794F1E"/>
    <w:rsid w:val="007A340A"/>
    <w:rsid w:val="007B1335"/>
    <w:rsid w:val="007B2864"/>
    <w:rsid w:val="007C48D8"/>
    <w:rsid w:val="007D43F7"/>
    <w:rsid w:val="007D7A57"/>
    <w:rsid w:val="00802B66"/>
    <w:rsid w:val="00807AE6"/>
    <w:rsid w:val="00807F79"/>
    <w:rsid w:val="008116A7"/>
    <w:rsid w:val="0081526F"/>
    <w:rsid w:val="00822370"/>
    <w:rsid w:val="00824763"/>
    <w:rsid w:val="00833B47"/>
    <w:rsid w:val="00855322"/>
    <w:rsid w:val="00867AD5"/>
    <w:rsid w:val="008811A1"/>
    <w:rsid w:val="008A76FE"/>
    <w:rsid w:val="008C052A"/>
    <w:rsid w:val="008D0117"/>
    <w:rsid w:val="008E1428"/>
    <w:rsid w:val="00907F77"/>
    <w:rsid w:val="00927E21"/>
    <w:rsid w:val="009442E1"/>
    <w:rsid w:val="0094734A"/>
    <w:rsid w:val="00971459"/>
    <w:rsid w:val="0098703C"/>
    <w:rsid w:val="009A1BD0"/>
    <w:rsid w:val="009A1F68"/>
    <w:rsid w:val="009B51B8"/>
    <w:rsid w:val="009B5564"/>
    <w:rsid w:val="009D1D59"/>
    <w:rsid w:val="009D2692"/>
    <w:rsid w:val="009E074B"/>
    <w:rsid w:val="009E2553"/>
    <w:rsid w:val="009E295F"/>
    <w:rsid w:val="009E3D24"/>
    <w:rsid w:val="009E685C"/>
    <w:rsid w:val="00A03889"/>
    <w:rsid w:val="00A17FA7"/>
    <w:rsid w:val="00A21EB8"/>
    <w:rsid w:val="00A3682D"/>
    <w:rsid w:val="00A41F39"/>
    <w:rsid w:val="00A46593"/>
    <w:rsid w:val="00A504F3"/>
    <w:rsid w:val="00A53DB2"/>
    <w:rsid w:val="00A66768"/>
    <w:rsid w:val="00A66A3E"/>
    <w:rsid w:val="00A67698"/>
    <w:rsid w:val="00A804CF"/>
    <w:rsid w:val="00AB4505"/>
    <w:rsid w:val="00AB6734"/>
    <w:rsid w:val="00AB741D"/>
    <w:rsid w:val="00AB7E92"/>
    <w:rsid w:val="00AC2496"/>
    <w:rsid w:val="00AD087F"/>
    <w:rsid w:val="00AD37E0"/>
    <w:rsid w:val="00AF5319"/>
    <w:rsid w:val="00B02330"/>
    <w:rsid w:val="00B21643"/>
    <w:rsid w:val="00B23FB2"/>
    <w:rsid w:val="00B430BE"/>
    <w:rsid w:val="00B528AA"/>
    <w:rsid w:val="00B63D14"/>
    <w:rsid w:val="00B6499D"/>
    <w:rsid w:val="00B80532"/>
    <w:rsid w:val="00B95919"/>
    <w:rsid w:val="00BB1BB2"/>
    <w:rsid w:val="00BB338A"/>
    <w:rsid w:val="00BB6767"/>
    <w:rsid w:val="00BD02E8"/>
    <w:rsid w:val="00BE222E"/>
    <w:rsid w:val="00BF1F57"/>
    <w:rsid w:val="00BF5E1E"/>
    <w:rsid w:val="00BF7224"/>
    <w:rsid w:val="00C16762"/>
    <w:rsid w:val="00C30767"/>
    <w:rsid w:val="00C323D5"/>
    <w:rsid w:val="00C465A0"/>
    <w:rsid w:val="00C46B29"/>
    <w:rsid w:val="00C56924"/>
    <w:rsid w:val="00C66BDD"/>
    <w:rsid w:val="00CC4207"/>
    <w:rsid w:val="00CD376B"/>
    <w:rsid w:val="00CE54C8"/>
    <w:rsid w:val="00D22274"/>
    <w:rsid w:val="00D40E65"/>
    <w:rsid w:val="00D41CDC"/>
    <w:rsid w:val="00D44F8C"/>
    <w:rsid w:val="00D57A0C"/>
    <w:rsid w:val="00D77C61"/>
    <w:rsid w:val="00D84642"/>
    <w:rsid w:val="00D86ED9"/>
    <w:rsid w:val="00D87148"/>
    <w:rsid w:val="00DA682B"/>
    <w:rsid w:val="00DB594C"/>
    <w:rsid w:val="00DC6712"/>
    <w:rsid w:val="00DF1EF7"/>
    <w:rsid w:val="00E1555D"/>
    <w:rsid w:val="00E310A8"/>
    <w:rsid w:val="00E42BC3"/>
    <w:rsid w:val="00E54299"/>
    <w:rsid w:val="00E550A0"/>
    <w:rsid w:val="00E562BD"/>
    <w:rsid w:val="00E60937"/>
    <w:rsid w:val="00E85292"/>
    <w:rsid w:val="00EA3E34"/>
    <w:rsid w:val="00EB4137"/>
    <w:rsid w:val="00ED4BFC"/>
    <w:rsid w:val="00EF631B"/>
    <w:rsid w:val="00F05EF3"/>
    <w:rsid w:val="00F171B4"/>
    <w:rsid w:val="00F23287"/>
    <w:rsid w:val="00F30C97"/>
    <w:rsid w:val="00F333B6"/>
    <w:rsid w:val="00F34E9A"/>
    <w:rsid w:val="00F359B6"/>
    <w:rsid w:val="00F42ADB"/>
    <w:rsid w:val="00F45A2C"/>
    <w:rsid w:val="00F70750"/>
    <w:rsid w:val="00F87C7B"/>
    <w:rsid w:val="00F95F00"/>
    <w:rsid w:val="00FD438D"/>
    <w:rsid w:val="00FE2595"/>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E6917F7-D0EE-41A0-A0CB-C7D8031D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33"/>
    <w:rPr>
      <w:sz w:val="24"/>
    </w:rPr>
  </w:style>
  <w:style w:type="paragraph" w:styleId="Heading1">
    <w:name w:val="heading 1"/>
    <w:basedOn w:val="Normal"/>
    <w:next w:val="Normal"/>
    <w:qFormat/>
    <w:rsid w:val="00A53DB2"/>
    <w:pPr>
      <w:keepNext/>
      <w:tabs>
        <w:tab w:val="center" w:pos="4680"/>
      </w:tabs>
      <w:suppressAutoHyphens/>
      <w:jc w:val="center"/>
      <w:outlineLvl w:val="0"/>
    </w:pPr>
    <w:rPr>
      <w:spacing w:val="-3"/>
      <w:u w:val="single"/>
    </w:rPr>
  </w:style>
  <w:style w:type="paragraph" w:styleId="Heading2">
    <w:name w:val="heading 2"/>
    <w:basedOn w:val="Normal"/>
    <w:next w:val="Normal"/>
    <w:qFormat/>
    <w:rsid w:val="00A53DB2"/>
    <w:pPr>
      <w:keepNext/>
      <w:jc w:val="center"/>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53DB2"/>
    <w:pPr>
      <w:widowControl w:val="0"/>
      <w:tabs>
        <w:tab w:val="left" w:pos="-720"/>
        <w:tab w:val="left" w:pos="0"/>
      </w:tabs>
      <w:suppressAutoHyphens/>
      <w:ind w:hanging="720"/>
      <w:jc w:val="both"/>
    </w:pPr>
    <w:rPr>
      <w:b/>
      <w:snapToGrid w:val="0"/>
      <w:spacing w:val="-3"/>
    </w:rPr>
  </w:style>
  <w:style w:type="paragraph" w:styleId="BodyText">
    <w:name w:val="Body Text"/>
    <w:basedOn w:val="Normal"/>
    <w:rsid w:val="00A53DB2"/>
    <w:pPr>
      <w:jc w:val="both"/>
    </w:pPr>
    <w:rPr>
      <w:sz w:val="20"/>
    </w:rPr>
  </w:style>
  <w:style w:type="paragraph" w:styleId="BodyTextIndent">
    <w:name w:val="Body Text Indent"/>
    <w:basedOn w:val="Normal"/>
    <w:rsid w:val="00A53DB2"/>
    <w:pPr>
      <w:ind w:left="720"/>
      <w:jc w:val="both"/>
    </w:pPr>
    <w:rPr>
      <w:sz w:val="22"/>
    </w:rPr>
  </w:style>
  <w:style w:type="character" w:styleId="CommentReference">
    <w:name w:val="annotation reference"/>
    <w:basedOn w:val="DefaultParagraphFont"/>
    <w:semiHidden/>
    <w:rsid w:val="00587BCE"/>
    <w:rPr>
      <w:sz w:val="16"/>
      <w:szCs w:val="16"/>
    </w:rPr>
  </w:style>
  <w:style w:type="paragraph" w:styleId="CommentText">
    <w:name w:val="annotation text"/>
    <w:basedOn w:val="Normal"/>
    <w:semiHidden/>
    <w:rsid w:val="00587BCE"/>
    <w:rPr>
      <w:sz w:val="20"/>
    </w:rPr>
  </w:style>
  <w:style w:type="paragraph" w:styleId="CommentSubject">
    <w:name w:val="annotation subject"/>
    <w:basedOn w:val="CommentText"/>
    <w:next w:val="CommentText"/>
    <w:semiHidden/>
    <w:rsid w:val="00587BCE"/>
    <w:rPr>
      <w:b/>
      <w:bCs/>
    </w:rPr>
  </w:style>
  <w:style w:type="paragraph" w:styleId="BalloonText">
    <w:name w:val="Balloon Text"/>
    <w:basedOn w:val="Normal"/>
    <w:link w:val="BalloonTextChar"/>
    <w:uiPriority w:val="99"/>
    <w:semiHidden/>
    <w:rsid w:val="00587BCE"/>
    <w:rPr>
      <w:rFonts w:ascii="Tahoma" w:hAnsi="Tahoma" w:cs="Tahoma"/>
      <w:sz w:val="16"/>
      <w:szCs w:val="16"/>
    </w:rPr>
  </w:style>
  <w:style w:type="paragraph" w:styleId="ListParagraph">
    <w:name w:val="List Paragraph"/>
    <w:basedOn w:val="Normal"/>
    <w:uiPriority w:val="34"/>
    <w:qFormat/>
    <w:rsid w:val="00DA682B"/>
    <w:pPr>
      <w:ind w:left="720"/>
    </w:pPr>
  </w:style>
  <w:style w:type="paragraph" w:styleId="Header">
    <w:name w:val="header"/>
    <w:basedOn w:val="Normal"/>
    <w:link w:val="HeaderChar"/>
    <w:rsid w:val="004C686C"/>
    <w:pPr>
      <w:tabs>
        <w:tab w:val="center" w:pos="4680"/>
        <w:tab w:val="right" w:pos="9360"/>
      </w:tabs>
    </w:pPr>
  </w:style>
  <w:style w:type="character" w:customStyle="1" w:styleId="HeaderChar">
    <w:name w:val="Header Char"/>
    <w:basedOn w:val="DefaultParagraphFont"/>
    <w:link w:val="Header"/>
    <w:uiPriority w:val="99"/>
    <w:rsid w:val="004C686C"/>
    <w:rPr>
      <w:sz w:val="24"/>
    </w:rPr>
  </w:style>
  <w:style w:type="paragraph" w:styleId="Footer">
    <w:name w:val="footer"/>
    <w:basedOn w:val="Normal"/>
    <w:link w:val="FooterChar"/>
    <w:uiPriority w:val="99"/>
    <w:rsid w:val="004C686C"/>
    <w:pPr>
      <w:tabs>
        <w:tab w:val="center" w:pos="4680"/>
        <w:tab w:val="right" w:pos="9360"/>
      </w:tabs>
    </w:pPr>
  </w:style>
  <w:style w:type="character" w:customStyle="1" w:styleId="FooterChar">
    <w:name w:val="Footer Char"/>
    <w:basedOn w:val="DefaultParagraphFont"/>
    <w:link w:val="Footer"/>
    <w:uiPriority w:val="99"/>
    <w:rsid w:val="004C686C"/>
    <w:rPr>
      <w:sz w:val="24"/>
    </w:rPr>
  </w:style>
  <w:style w:type="character" w:customStyle="1" w:styleId="BalloonTextChar">
    <w:name w:val="Balloon Text Char"/>
    <w:basedOn w:val="DefaultParagraphFont"/>
    <w:link w:val="BalloonText"/>
    <w:uiPriority w:val="99"/>
    <w:semiHidden/>
    <w:rsid w:val="0063735F"/>
    <w:rPr>
      <w:rFonts w:ascii="Tahoma" w:hAnsi="Tahoma" w:cs="Tahoma"/>
      <w:sz w:val="16"/>
      <w:szCs w:val="16"/>
    </w:rPr>
  </w:style>
  <w:style w:type="paragraph" w:styleId="Title">
    <w:name w:val="Title"/>
    <w:basedOn w:val="Normal"/>
    <w:next w:val="Normal"/>
    <w:link w:val="TitleChar"/>
    <w:uiPriority w:val="10"/>
    <w:qFormat/>
    <w:rsid w:val="00154ADC"/>
    <w:pPr>
      <w:pBdr>
        <w:bottom w:val="single" w:sz="8" w:space="4" w:color="4F81BD"/>
      </w:pBdr>
      <w:spacing w:after="300"/>
      <w:ind w:left="72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54ADC"/>
    <w:rPr>
      <w:rFonts w:ascii="Cambria" w:eastAsia="Times New Roman" w:hAnsi="Cambria" w:cs="Times New Roman"/>
      <w:color w:val="17365D"/>
      <w:spacing w:val="5"/>
      <w:kern w:val="28"/>
      <w:sz w:val="52"/>
      <w:szCs w:val="52"/>
    </w:rPr>
  </w:style>
  <w:style w:type="character" w:styleId="Hyperlink">
    <w:name w:val="Hyperlink"/>
    <w:basedOn w:val="DefaultParagraphFont"/>
    <w:rsid w:val="00807AE6"/>
    <w:rPr>
      <w:color w:val="0000FF"/>
      <w:u w:val="single"/>
    </w:rPr>
  </w:style>
  <w:style w:type="character" w:styleId="FollowedHyperlink">
    <w:name w:val="FollowedHyperlink"/>
    <w:basedOn w:val="DefaultParagraphFont"/>
    <w:rsid w:val="00807A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499">
      <w:bodyDiv w:val="1"/>
      <w:marLeft w:val="0"/>
      <w:marRight w:val="0"/>
      <w:marTop w:val="0"/>
      <w:marBottom w:val="0"/>
      <w:divBdr>
        <w:top w:val="none" w:sz="0" w:space="0" w:color="auto"/>
        <w:left w:val="none" w:sz="0" w:space="0" w:color="auto"/>
        <w:bottom w:val="none" w:sz="0" w:space="0" w:color="auto"/>
        <w:right w:val="none" w:sz="0" w:space="0" w:color="auto"/>
      </w:divBdr>
    </w:div>
    <w:div w:id="2073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ic.gov/formsdocuments/bma-f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7C1C-8148-47D8-94EC-6040BDF6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4D364C27.dotm</Template>
  <TotalTime>0</TotalTime>
  <Pages>4</Pages>
  <Words>1733</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Division of Banks</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Commonwealth of Massachusetts</dc:creator>
  <cp:lastModifiedBy>Hardiman, Janelle (DOB)</cp:lastModifiedBy>
  <cp:revision>2</cp:revision>
  <cp:lastPrinted>2016-12-07T16:45:00Z</cp:lastPrinted>
  <dcterms:created xsi:type="dcterms:W3CDTF">2017-10-23T15:14:00Z</dcterms:created>
  <dcterms:modified xsi:type="dcterms:W3CDTF">2017-10-23T15:14:00Z</dcterms:modified>
</cp:coreProperties>
</file>