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972" w:type="dxa"/>
        <w:tblLayout w:type="fixed"/>
        <w:tblLook w:val="0000" w:firstRow="0" w:lastRow="0" w:firstColumn="0" w:lastColumn="0" w:noHBand="0" w:noVBand="0"/>
      </w:tblPr>
      <w:tblGrid>
        <w:gridCol w:w="2300"/>
        <w:gridCol w:w="490"/>
        <w:gridCol w:w="6840"/>
        <w:gridCol w:w="1170"/>
      </w:tblGrid>
      <w:tr w:rsidR="00EA5468" w:rsidRPr="00DC7688" w:rsidTr="00AC737F">
        <w:tc>
          <w:tcPr>
            <w:tcW w:w="2300" w:type="dxa"/>
          </w:tcPr>
          <w:p w:rsidR="00EA5468" w:rsidRPr="00DC7688" w:rsidRDefault="00EA5468" w:rsidP="00AC737F">
            <w:pPr>
              <w:pStyle w:val="Header"/>
              <w:tabs>
                <w:tab w:val="clear" w:pos="4320"/>
                <w:tab w:val="clear" w:pos="8640"/>
              </w:tabs>
              <w:rPr>
                <w:color w:val="1740ED"/>
              </w:rPr>
            </w:pPr>
            <w:r>
              <w:rPr>
                <w:noProof/>
                <w:color w:val="1740ED"/>
              </w:rPr>
              <w:drawing>
                <wp:inline distT="0" distB="0" distL="0" distR="0">
                  <wp:extent cx="16859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7330" w:type="dxa"/>
            <w:gridSpan w:val="2"/>
          </w:tcPr>
          <w:p w:rsidR="00EA5468" w:rsidRPr="004C44C2" w:rsidRDefault="00EA5468" w:rsidP="00AC737F">
            <w:pPr>
              <w:jc w:val="center"/>
              <w:rPr>
                <w:i/>
                <w:color w:val="0D198D"/>
                <w:sz w:val="44"/>
              </w:rPr>
            </w:pPr>
            <w:r w:rsidRPr="004C44C2">
              <w:rPr>
                <w:i/>
                <w:color w:val="0D198D"/>
                <w:sz w:val="44"/>
              </w:rPr>
              <w:t>The Commonwealth of Massachusetts</w:t>
            </w:r>
          </w:p>
          <w:p w:rsidR="00EA5468" w:rsidRPr="004C44C2" w:rsidRDefault="00EA5468" w:rsidP="00AC737F">
            <w:pPr>
              <w:jc w:val="center"/>
              <w:rPr>
                <w:i/>
                <w:color w:val="0D198D"/>
                <w:sz w:val="32"/>
              </w:rPr>
            </w:pPr>
            <w:r w:rsidRPr="004C44C2">
              <w:rPr>
                <w:i/>
                <w:color w:val="0D198D"/>
                <w:sz w:val="32"/>
              </w:rPr>
              <w:t>Executive Office of Health and Human Services</w:t>
            </w:r>
          </w:p>
          <w:p w:rsidR="00EA5468" w:rsidRPr="004C44C2" w:rsidRDefault="00EA5468" w:rsidP="00AC737F">
            <w:pPr>
              <w:jc w:val="center"/>
              <w:rPr>
                <w:i/>
                <w:color w:val="0D198D"/>
                <w:sz w:val="32"/>
              </w:rPr>
            </w:pPr>
            <w:r w:rsidRPr="004C44C2">
              <w:rPr>
                <w:i/>
                <w:color w:val="0D198D"/>
                <w:sz w:val="32"/>
              </w:rPr>
              <w:t>Department of Mental Health</w:t>
            </w:r>
          </w:p>
          <w:p w:rsidR="00EA5468" w:rsidRPr="004C44C2" w:rsidRDefault="00EA5468" w:rsidP="00AC737F">
            <w:pPr>
              <w:jc w:val="center"/>
              <w:rPr>
                <w:i/>
                <w:color w:val="0D198D"/>
                <w:sz w:val="32"/>
              </w:rPr>
            </w:pPr>
            <w:r w:rsidRPr="004C44C2">
              <w:rPr>
                <w:i/>
                <w:color w:val="0D198D"/>
                <w:sz w:val="32"/>
              </w:rPr>
              <w:t>25 Staniford Street</w:t>
            </w:r>
          </w:p>
          <w:p w:rsidR="00EA5468" w:rsidRPr="004C44C2" w:rsidRDefault="00EA5468" w:rsidP="00AC737F">
            <w:pPr>
              <w:jc w:val="center"/>
              <w:rPr>
                <w:i/>
                <w:color w:val="0D198D"/>
                <w:sz w:val="32"/>
              </w:rPr>
            </w:pPr>
            <w:r w:rsidRPr="004C44C2">
              <w:rPr>
                <w:i/>
                <w:color w:val="0D198D"/>
                <w:sz w:val="32"/>
              </w:rPr>
              <w:t>Boston, Massachusetts  02114-2575</w:t>
            </w:r>
          </w:p>
        </w:tc>
        <w:tc>
          <w:tcPr>
            <w:tcW w:w="1170" w:type="dxa"/>
          </w:tcPr>
          <w:p w:rsidR="00EA5468" w:rsidRPr="004C44C2" w:rsidRDefault="00EA5468" w:rsidP="00AC737F">
            <w:pPr>
              <w:jc w:val="center"/>
              <w:rPr>
                <w:rFonts w:ascii="Century Schoolbook" w:hAnsi="Century Schoolbook"/>
                <w:color w:val="0D198D"/>
                <w:sz w:val="28"/>
              </w:rPr>
            </w:pPr>
          </w:p>
          <w:p w:rsidR="00EA5468" w:rsidRPr="004C44C2" w:rsidRDefault="00EA5468" w:rsidP="00AC737F">
            <w:pPr>
              <w:jc w:val="center"/>
              <w:rPr>
                <w:rFonts w:ascii="Century Schoolbook" w:hAnsi="Century Schoolbook"/>
                <w:color w:val="0D198D"/>
                <w:sz w:val="28"/>
              </w:rPr>
            </w:pPr>
          </w:p>
        </w:tc>
      </w:tr>
      <w:tr w:rsidR="00EA5468" w:rsidRPr="00DC7688" w:rsidTr="00EA5468">
        <w:trPr>
          <w:cantSplit/>
          <w:trHeight w:val="1935"/>
        </w:trPr>
        <w:tc>
          <w:tcPr>
            <w:tcW w:w="2790" w:type="dxa"/>
            <w:gridSpan w:val="2"/>
          </w:tcPr>
          <w:p w:rsidR="00EA5468" w:rsidRPr="004C44C2" w:rsidRDefault="00EA5468" w:rsidP="00AC737F">
            <w:pPr>
              <w:jc w:val="center"/>
              <w:rPr>
                <w:b/>
                <w:color w:val="0D198D"/>
                <w:sz w:val="16"/>
              </w:rPr>
            </w:pPr>
            <w:r w:rsidRPr="004C44C2">
              <w:rPr>
                <w:b/>
                <w:color w:val="0D198D"/>
                <w:sz w:val="16"/>
              </w:rPr>
              <w:t>CHARLES D. BAKER</w:t>
            </w:r>
          </w:p>
          <w:p w:rsidR="00EA5468" w:rsidRPr="009F07E8" w:rsidRDefault="00EA5468" w:rsidP="00AC737F">
            <w:pPr>
              <w:jc w:val="center"/>
              <w:rPr>
                <w:b/>
                <w:i/>
                <w:color w:val="0D198D"/>
                <w:sz w:val="16"/>
              </w:rPr>
            </w:pPr>
            <w:r w:rsidRPr="009F07E8">
              <w:rPr>
                <w:b/>
                <w:i/>
                <w:color w:val="0D198D"/>
                <w:sz w:val="16"/>
              </w:rPr>
              <w:t>Governor</w:t>
            </w:r>
          </w:p>
          <w:p w:rsidR="00EA5468" w:rsidRPr="004C44C2" w:rsidRDefault="00EA5468" w:rsidP="00EA5468">
            <w:pPr>
              <w:spacing w:before="120"/>
              <w:jc w:val="center"/>
              <w:rPr>
                <w:b/>
                <w:color w:val="0D198D"/>
                <w:sz w:val="16"/>
              </w:rPr>
            </w:pPr>
            <w:r w:rsidRPr="004C44C2">
              <w:rPr>
                <w:b/>
                <w:color w:val="0D198D"/>
                <w:sz w:val="16"/>
              </w:rPr>
              <w:t>KARYN E. POLITO</w:t>
            </w:r>
          </w:p>
          <w:p w:rsidR="00EA5468" w:rsidRPr="009F07E8" w:rsidRDefault="00EA5468" w:rsidP="00AC737F">
            <w:pPr>
              <w:jc w:val="center"/>
              <w:rPr>
                <w:b/>
                <w:i/>
                <w:color w:val="0D198D"/>
                <w:sz w:val="16"/>
              </w:rPr>
            </w:pPr>
            <w:r w:rsidRPr="009F07E8">
              <w:rPr>
                <w:b/>
                <w:i/>
                <w:color w:val="0D198D"/>
                <w:sz w:val="16"/>
              </w:rPr>
              <w:t>Lieutenant Governor</w:t>
            </w:r>
          </w:p>
          <w:p w:rsidR="00EA5468" w:rsidRPr="004C44C2" w:rsidRDefault="00EA5468" w:rsidP="00EA5468">
            <w:pPr>
              <w:pStyle w:val="Heading4"/>
              <w:jc w:val="center"/>
              <w:rPr>
                <w:color w:val="0D198D"/>
              </w:rPr>
            </w:pPr>
            <w:r w:rsidRPr="004C44C2">
              <w:rPr>
                <w:color w:val="0D198D"/>
              </w:rPr>
              <w:t>MARYLOU SUDDERS</w:t>
            </w:r>
          </w:p>
          <w:p w:rsidR="00EA5468" w:rsidRPr="009F07E8" w:rsidRDefault="00EA5468" w:rsidP="00AC737F">
            <w:pPr>
              <w:jc w:val="center"/>
              <w:rPr>
                <w:b/>
                <w:i/>
                <w:color w:val="0D198D"/>
                <w:sz w:val="16"/>
              </w:rPr>
            </w:pPr>
            <w:r w:rsidRPr="009F07E8">
              <w:rPr>
                <w:b/>
                <w:i/>
                <w:color w:val="0D198D"/>
                <w:sz w:val="16"/>
              </w:rPr>
              <w:t>Secretary</w:t>
            </w:r>
          </w:p>
          <w:p w:rsidR="00EA5468" w:rsidRPr="004C44C2" w:rsidRDefault="00120E43" w:rsidP="00EA5468">
            <w:pPr>
              <w:spacing w:before="120"/>
              <w:jc w:val="center"/>
              <w:rPr>
                <w:b/>
                <w:caps/>
                <w:color w:val="0D198D"/>
                <w:sz w:val="16"/>
              </w:rPr>
            </w:pPr>
            <w:r>
              <w:rPr>
                <w:b/>
                <w:caps/>
                <w:color w:val="0D198D"/>
                <w:sz w:val="16"/>
              </w:rPr>
              <w:t>Joan mikula</w:t>
            </w:r>
          </w:p>
          <w:p w:rsidR="00EA5468" w:rsidRPr="009F07E8" w:rsidRDefault="00EA5468" w:rsidP="00EA5468">
            <w:pPr>
              <w:pStyle w:val="Heading8"/>
              <w:rPr>
                <w:color w:val="0D198D"/>
              </w:rPr>
            </w:pPr>
            <w:r w:rsidRPr="009F07E8">
              <w:rPr>
                <w:color w:val="0D198D"/>
              </w:rPr>
              <w:t>Commissioner</w:t>
            </w:r>
          </w:p>
        </w:tc>
        <w:tc>
          <w:tcPr>
            <w:tcW w:w="8010" w:type="dxa"/>
            <w:gridSpan w:val="2"/>
          </w:tcPr>
          <w:p w:rsidR="00EA5468" w:rsidRPr="004C44C2" w:rsidRDefault="00EA5468" w:rsidP="00AC737F">
            <w:pPr>
              <w:jc w:val="right"/>
              <w:rPr>
                <w:b/>
                <w:color w:val="0D198D"/>
              </w:rPr>
            </w:pPr>
          </w:p>
          <w:p w:rsidR="00EA5468" w:rsidRPr="004C44C2" w:rsidRDefault="00EA5468" w:rsidP="00AC737F">
            <w:pPr>
              <w:jc w:val="right"/>
              <w:rPr>
                <w:b/>
                <w:color w:val="0D198D"/>
              </w:rPr>
            </w:pPr>
            <w:r w:rsidRPr="004C44C2">
              <w:rPr>
                <w:b/>
                <w:color w:val="0D198D"/>
              </w:rPr>
              <w:t>(617) 626-8000</w:t>
            </w:r>
          </w:p>
          <w:p w:rsidR="00EA5468" w:rsidRPr="004C44C2" w:rsidRDefault="00EA5468" w:rsidP="00AC737F">
            <w:pPr>
              <w:jc w:val="right"/>
              <w:rPr>
                <w:b/>
                <w:color w:val="0D198D"/>
              </w:rPr>
            </w:pPr>
            <w:r w:rsidRPr="004C44C2">
              <w:rPr>
                <w:b/>
                <w:color w:val="0D198D"/>
              </w:rPr>
              <w:t>www.ma</w:t>
            </w:r>
            <w:r>
              <w:rPr>
                <w:b/>
                <w:color w:val="0D198D"/>
              </w:rPr>
              <w:t>ss</w:t>
            </w:r>
            <w:r w:rsidRPr="004C44C2">
              <w:rPr>
                <w:b/>
                <w:color w:val="0D198D"/>
              </w:rPr>
              <w:t>.</w:t>
            </w:r>
            <w:r>
              <w:rPr>
                <w:b/>
                <w:color w:val="0D198D"/>
              </w:rPr>
              <w:t>gov</w:t>
            </w:r>
            <w:r w:rsidRPr="004C44C2">
              <w:rPr>
                <w:b/>
                <w:color w:val="0D198D"/>
              </w:rPr>
              <w:t>/dmh</w:t>
            </w:r>
          </w:p>
        </w:tc>
      </w:tr>
    </w:tbl>
    <w:p w:rsidR="00EA5468" w:rsidRPr="001A7A16" w:rsidRDefault="00EA5468" w:rsidP="00EA5468">
      <w:pPr>
        <w:rPr>
          <w:rFonts w:ascii="Arial" w:hAnsi="Arial"/>
          <w:sz w:val="24"/>
        </w:rPr>
        <w:sectPr w:rsidR="00EA5468" w:rsidRPr="001A7A16" w:rsidSect="00606912">
          <w:pgSz w:w="12240" w:h="15840"/>
          <w:pgMar w:top="1008" w:right="1440" w:bottom="432" w:left="1440" w:header="720" w:footer="720" w:gutter="0"/>
          <w:cols w:space="720"/>
          <w:noEndnote/>
          <w:titlePg/>
        </w:sectPr>
      </w:pPr>
    </w:p>
    <w:p w:rsidR="00EA5468" w:rsidRDefault="00EA5468" w:rsidP="00EA5468"/>
    <w:p w:rsidR="0020591E" w:rsidRPr="00C95EA5" w:rsidRDefault="0020591E" w:rsidP="0020591E">
      <w:pPr>
        <w:keepNext/>
        <w:ind w:left="720"/>
        <w:jc w:val="center"/>
        <w:outlineLvl w:val="0"/>
        <w:rPr>
          <w:b/>
          <w:sz w:val="22"/>
          <w:szCs w:val="22"/>
          <w:u w:val="single"/>
        </w:rPr>
      </w:pPr>
      <w:r w:rsidRPr="00610DF8">
        <w:rPr>
          <w:b/>
          <w:sz w:val="22"/>
          <w:szCs w:val="22"/>
          <w:u w:val="single"/>
        </w:rPr>
        <w:t xml:space="preserve">NOTICE OF PUBLIC </w:t>
      </w:r>
      <w:r w:rsidRPr="00C95EA5">
        <w:rPr>
          <w:b/>
          <w:sz w:val="22"/>
          <w:szCs w:val="22"/>
          <w:u w:val="single"/>
        </w:rPr>
        <w:t>HEARING</w:t>
      </w:r>
    </w:p>
    <w:p w:rsidR="0020591E" w:rsidRPr="00C95EA5" w:rsidRDefault="0020591E" w:rsidP="00610DF8">
      <w:pPr>
        <w:ind w:left="720"/>
        <w:jc w:val="both"/>
        <w:rPr>
          <w:b/>
          <w:sz w:val="22"/>
          <w:szCs w:val="22"/>
        </w:rPr>
      </w:pPr>
    </w:p>
    <w:p w:rsidR="0020591E" w:rsidRPr="00735EC2" w:rsidRDefault="0020591E" w:rsidP="00782E4D">
      <w:pPr>
        <w:ind w:left="270" w:right="-360"/>
        <w:jc w:val="both"/>
        <w:rPr>
          <w:rFonts w:asciiTheme="minorHAnsi" w:hAnsiTheme="minorHAnsi"/>
          <w:sz w:val="22"/>
          <w:szCs w:val="22"/>
        </w:rPr>
      </w:pPr>
      <w:r w:rsidRPr="00735EC2">
        <w:rPr>
          <w:rFonts w:asciiTheme="minorHAnsi" w:hAnsiTheme="minorHAnsi"/>
          <w:sz w:val="22"/>
          <w:szCs w:val="22"/>
        </w:rPr>
        <w:t xml:space="preserve">Notice is hereby given that the Department of Mental Health is proposing regulations under the authority of M.G.L. c. 19, ss. 1, </w:t>
      </w:r>
      <w:r w:rsidR="00AE381E" w:rsidRPr="00735EC2">
        <w:rPr>
          <w:rFonts w:asciiTheme="minorHAnsi" w:hAnsiTheme="minorHAnsi"/>
          <w:sz w:val="22"/>
          <w:szCs w:val="22"/>
        </w:rPr>
        <w:t xml:space="preserve">12, 16, </w:t>
      </w:r>
      <w:r w:rsidRPr="00735EC2">
        <w:rPr>
          <w:rFonts w:asciiTheme="minorHAnsi" w:hAnsiTheme="minorHAnsi"/>
          <w:sz w:val="22"/>
          <w:szCs w:val="22"/>
        </w:rPr>
        <w:t>18, 19</w:t>
      </w:r>
      <w:r w:rsidR="009E1A18" w:rsidRPr="00735EC2">
        <w:rPr>
          <w:rFonts w:asciiTheme="minorHAnsi" w:hAnsiTheme="minorHAnsi"/>
          <w:sz w:val="22"/>
          <w:szCs w:val="22"/>
        </w:rPr>
        <w:t xml:space="preserve"> and M.G.L. c. 123 § 36</w:t>
      </w:r>
      <w:r w:rsidR="00AE381E" w:rsidRPr="00735EC2">
        <w:rPr>
          <w:rFonts w:asciiTheme="minorHAnsi" w:hAnsiTheme="minorHAnsi"/>
          <w:sz w:val="22"/>
          <w:szCs w:val="22"/>
        </w:rPr>
        <w:t xml:space="preserve">.  </w:t>
      </w:r>
      <w:r w:rsidRPr="00735EC2">
        <w:rPr>
          <w:rFonts w:asciiTheme="minorHAnsi" w:hAnsiTheme="minorHAnsi"/>
          <w:sz w:val="22"/>
          <w:szCs w:val="22"/>
        </w:rPr>
        <w:t>A public hearing will be held for the purpose of receiving written and oral testimony on its proposed actions.  The Department describes the substance of the actions as follows:</w:t>
      </w:r>
    </w:p>
    <w:p w:rsidR="0020591E" w:rsidRPr="00735EC2" w:rsidRDefault="0020591E" w:rsidP="00782E4D">
      <w:pPr>
        <w:ind w:left="270" w:right="-360"/>
        <w:jc w:val="both"/>
        <w:rPr>
          <w:rFonts w:asciiTheme="minorHAnsi" w:hAnsiTheme="minorHAnsi"/>
          <w:sz w:val="22"/>
          <w:szCs w:val="22"/>
        </w:rPr>
      </w:pPr>
    </w:p>
    <w:p w:rsidR="00D05B2C" w:rsidRPr="00735EC2" w:rsidRDefault="00B57A93" w:rsidP="00625F6C">
      <w:pPr>
        <w:ind w:left="270"/>
        <w:jc w:val="both"/>
        <w:rPr>
          <w:rFonts w:asciiTheme="minorHAnsi" w:hAnsiTheme="minorHAnsi"/>
          <w:noProof/>
          <w:sz w:val="22"/>
          <w:szCs w:val="22"/>
        </w:rPr>
      </w:pPr>
      <w:r w:rsidRPr="00735EC2">
        <w:rPr>
          <w:rFonts w:asciiTheme="minorHAnsi" w:hAnsiTheme="minorHAnsi"/>
          <w:b/>
          <w:sz w:val="22"/>
          <w:szCs w:val="22"/>
        </w:rPr>
        <w:t xml:space="preserve">104 </w:t>
      </w:r>
      <w:proofErr w:type="spellStart"/>
      <w:r w:rsidRPr="00735EC2">
        <w:rPr>
          <w:rFonts w:asciiTheme="minorHAnsi" w:hAnsiTheme="minorHAnsi"/>
          <w:b/>
          <w:sz w:val="22"/>
          <w:szCs w:val="22"/>
        </w:rPr>
        <w:t>CMR</w:t>
      </w:r>
      <w:proofErr w:type="spellEnd"/>
      <w:r w:rsidRPr="00735EC2">
        <w:rPr>
          <w:rFonts w:asciiTheme="minorHAnsi" w:hAnsiTheme="minorHAnsi"/>
          <w:b/>
          <w:sz w:val="22"/>
          <w:szCs w:val="22"/>
        </w:rPr>
        <w:t xml:space="preserve"> 27.00 </w:t>
      </w:r>
      <w:hyperlink r:id="rId10" w:history="1">
        <w:r w:rsidRPr="003159FB">
          <w:rPr>
            <w:rStyle w:val="Hyperlink"/>
            <w:rFonts w:asciiTheme="minorHAnsi" w:hAnsiTheme="minorHAnsi"/>
            <w:b/>
            <w:sz w:val="22"/>
            <w:szCs w:val="22"/>
            <w:u w:val="single"/>
          </w:rPr>
          <w:t>Licensing and Operational Standards for Mental Health Facilities</w:t>
        </w:r>
      </w:hyperlink>
      <w:r w:rsidRPr="00735EC2">
        <w:rPr>
          <w:rFonts w:asciiTheme="minorHAnsi" w:hAnsiTheme="minorHAnsi"/>
          <w:b/>
          <w:sz w:val="22"/>
          <w:szCs w:val="22"/>
        </w:rPr>
        <w:t xml:space="preserve">: </w:t>
      </w:r>
      <w:r w:rsidRPr="00735EC2">
        <w:rPr>
          <w:rFonts w:asciiTheme="minorHAnsi" w:hAnsiTheme="minorHAnsi"/>
          <w:sz w:val="22"/>
          <w:szCs w:val="22"/>
        </w:rPr>
        <w:t>This regulation sets forth the licensing and operational standards by which DMH licenses private psychiatric facilities, and pursuant to which it operates DMH inpatient facilities.</w:t>
      </w:r>
      <w:r w:rsidR="009E1A18" w:rsidRPr="00735EC2">
        <w:rPr>
          <w:rFonts w:asciiTheme="minorHAnsi" w:hAnsiTheme="minorHAnsi"/>
          <w:sz w:val="22"/>
          <w:szCs w:val="22"/>
        </w:rPr>
        <w:t xml:space="preserve"> </w:t>
      </w:r>
      <w:r w:rsidRPr="00735EC2">
        <w:rPr>
          <w:rFonts w:asciiTheme="minorHAnsi" w:hAnsiTheme="minorHAnsi"/>
          <w:sz w:val="22"/>
          <w:szCs w:val="22"/>
        </w:rPr>
        <w:t xml:space="preserve">The regulation is amended to create and enforce as a condition of licensure that DMH licensed inpatient psychiatric facilities provide services that meet the needs of the Commonwealth, particularly with respect to specialty populations </w:t>
      </w:r>
      <w:r w:rsidR="00F251FE" w:rsidRPr="00735EC2">
        <w:rPr>
          <w:rFonts w:asciiTheme="minorHAnsi" w:hAnsiTheme="minorHAnsi"/>
          <w:sz w:val="22"/>
          <w:szCs w:val="22"/>
        </w:rPr>
        <w:t xml:space="preserve">currently underserved and </w:t>
      </w:r>
      <w:r w:rsidRPr="00735EC2">
        <w:rPr>
          <w:rFonts w:asciiTheme="minorHAnsi" w:hAnsiTheme="minorHAnsi"/>
          <w:sz w:val="22"/>
          <w:szCs w:val="22"/>
        </w:rPr>
        <w:t>most likely to board in emergency rooms waiting for a p</w:t>
      </w:r>
      <w:r w:rsidR="00D14430" w:rsidRPr="00735EC2">
        <w:rPr>
          <w:rFonts w:asciiTheme="minorHAnsi" w:hAnsiTheme="minorHAnsi"/>
          <w:sz w:val="22"/>
          <w:szCs w:val="22"/>
        </w:rPr>
        <w:t xml:space="preserve">lacement; </w:t>
      </w:r>
      <w:r w:rsidRPr="00735EC2">
        <w:rPr>
          <w:rFonts w:asciiTheme="minorHAnsi" w:hAnsiTheme="minorHAnsi"/>
          <w:sz w:val="22"/>
          <w:szCs w:val="22"/>
        </w:rPr>
        <w:t xml:space="preserve">and that such facilities have plans to assure adequate staffing to </w:t>
      </w:r>
      <w:r w:rsidR="00F251FE" w:rsidRPr="00735EC2">
        <w:rPr>
          <w:rFonts w:asciiTheme="minorHAnsi" w:hAnsiTheme="minorHAnsi"/>
          <w:sz w:val="22"/>
          <w:szCs w:val="22"/>
        </w:rPr>
        <w:t xml:space="preserve">meet the needs of </w:t>
      </w:r>
      <w:r w:rsidRPr="00735EC2">
        <w:rPr>
          <w:rFonts w:asciiTheme="minorHAnsi" w:hAnsiTheme="minorHAnsi"/>
          <w:sz w:val="22"/>
          <w:szCs w:val="22"/>
        </w:rPr>
        <w:t xml:space="preserve">their </w:t>
      </w:r>
      <w:r w:rsidR="00F251FE" w:rsidRPr="00735EC2">
        <w:rPr>
          <w:rFonts w:asciiTheme="minorHAnsi" w:hAnsiTheme="minorHAnsi"/>
          <w:sz w:val="22"/>
          <w:szCs w:val="22"/>
        </w:rPr>
        <w:t xml:space="preserve">current </w:t>
      </w:r>
      <w:r w:rsidR="00D14430" w:rsidRPr="00735EC2">
        <w:rPr>
          <w:rFonts w:asciiTheme="minorHAnsi" w:hAnsiTheme="minorHAnsi"/>
          <w:sz w:val="22"/>
          <w:szCs w:val="22"/>
        </w:rPr>
        <w:t xml:space="preserve">operating </w:t>
      </w:r>
      <w:r w:rsidRPr="00735EC2">
        <w:rPr>
          <w:rFonts w:asciiTheme="minorHAnsi" w:hAnsiTheme="minorHAnsi"/>
          <w:sz w:val="22"/>
          <w:szCs w:val="22"/>
        </w:rPr>
        <w:t xml:space="preserve">capacity. The </w:t>
      </w:r>
      <w:r w:rsidR="00D14430" w:rsidRPr="00735EC2">
        <w:rPr>
          <w:rFonts w:asciiTheme="minorHAnsi" w:hAnsiTheme="minorHAnsi"/>
          <w:sz w:val="22"/>
          <w:szCs w:val="22"/>
        </w:rPr>
        <w:t xml:space="preserve">amendments prohibit facilities from refusing to admit patients who meet commitment criteria under M.G.L. c. 123 § 12(b), for which they are licensed, </w:t>
      </w:r>
      <w:r w:rsidR="00D14430" w:rsidRPr="00735EC2">
        <w:rPr>
          <w:rFonts w:asciiTheme="minorHAnsi" w:hAnsiTheme="minorHAnsi"/>
          <w:noProof/>
          <w:sz w:val="22"/>
          <w:szCs w:val="22"/>
        </w:rPr>
        <w:t xml:space="preserve">while providing admission </w:t>
      </w:r>
      <w:r w:rsidR="00D05B2C" w:rsidRPr="00735EC2">
        <w:rPr>
          <w:rFonts w:asciiTheme="minorHAnsi" w:hAnsiTheme="minorHAnsi"/>
          <w:noProof/>
          <w:sz w:val="22"/>
          <w:szCs w:val="22"/>
        </w:rPr>
        <w:t xml:space="preserve">for a preferred </w:t>
      </w:r>
      <w:r w:rsidR="00D14430" w:rsidRPr="00735EC2">
        <w:rPr>
          <w:rFonts w:asciiTheme="minorHAnsi" w:hAnsiTheme="minorHAnsi"/>
          <w:noProof/>
          <w:sz w:val="22"/>
          <w:szCs w:val="22"/>
        </w:rPr>
        <w:t>specialty population</w:t>
      </w:r>
      <w:r w:rsidR="00303ED1" w:rsidRPr="00303ED1">
        <w:rPr>
          <w:rFonts w:asciiTheme="minorHAnsi" w:hAnsiTheme="minorHAnsi"/>
          <w:noProof/>
          <w:sz w:val="22"/>
          <w:szCs w:val="22"/>
        </w:rPr>
        <w:t xml:space="preserve">, </w:t>
      </w:r>
      <w:r w:rsidR="00303ED1" w:rsidRPr="00625F6C">
        <w:rPr>
          <w:rFonts w:asciiTheme="minorHAnsi" w:hAnsiTheme="minorHAnsi"/>
          <w:noProof/>
          <w:sz w:val="22"/>
          <w:szCs w:val="22"/>
        </w:rPr>
        <w:t>and permitting refusal if the accepting such an admission would cause the facility to operate above its licensed capacity or beyond its capability to care for a specific patient</w:t>
      </w:r>
      <w:r w:rsidR="00D05B2C" w:rsidRPr="00303ED1">
        <w:rPr>
          <w:rFonts w:asciiTheme="minorHAnsi" w:hAnsiTheme="minorHAnsi"/>
          <w:noProof/>
          <w:sz w:val="22"/>
          <w:szCs w:val="22"/>
        </w:rPr>
        <w:t xml:space="preserve">. </w:t>
      </w:r>
      <w:r w:rsidR="00D14430" w:rsidRPr="00303ED1">
        <w:rPr>
          <w:rFonts w:asciiTheme="minorHAnsi" w:hAnsiTheme="minorHAnsi"/>
          <w:noProof/>
          <w:sz w:val="22"/>
          <w:szCs w:val="22"/>
        </w:rPr>
        <w:t xml:space="preserve">Provisions </w:t>
      </w:r>
      <w:r w:rsidR="00F251FE" w:rsidRPr="00303ED1">
        <w:rPr>
          <w:rFonts w:asciiTheme="minorHAnsi" w:hAnsiTheme="minorHAnsi"/>
          <w:noProof/>
          <w:sz w:val="22"/>
          <w:szCs w:val="22"/>
        </w:rPr>
        <w:t xml:space="preserve">are </w:t>
      </w:r>
      <w:r w:rsidR="00D14430" w:rsidRPr="00303ED1">
        <w:rPr>
          <w:rFonts w:asciiTheme="minorHAnsi" w:hAnsiTheme="minorHAnsi"/>
          <w:noProof/>
          <w:sz w:val="22"/>
          <w:szCs w:val="22"/>
        </w:rPr>
        <w:t>updated regarding DMH action in response to licensing deficiencies</w:t>
      </w:r>
      <w:r w:rsidR="00D14430" w:rsidRPr="00735EC2">
        <w:rPr>
          <w:rFonts w:asciiTheme="minorHAnsi" w:hAnsiTheme="minorHAnsi"/>
          <w:noProof/>
          <w:sz w:val="22"/>
          <w:szCs w:val="22"/>
        </w:rPr>
        <w:t>, using language consistent with DPH’s licensing regulations</w:t>
      </w:r>
      <w:r w:rsidR="00D05B2C" w:rsidRPr="00735EC2">
        <w:rPr>
          <w:rFonts w:asciiTheme="minorHAnsi" w:hAnsiTheme="minorHAnsi"/>
          <w:noProof/>
          <w:sz w:val="22"/>
          <w:szCs w:val="22"/>
        </w:rPr>
        <w:t xml:space="preserve">, which will </w:t>
      </w:r>
      <w:r w:rsidR="00D14430" w:rsidRPr="00735EC2">
        <w:rPr>
          <w:rFonts w:asciiTheme="minorHAnsi" w:hAnsiTheme="minorHAnsi"/>
          <w:noProof/>
          <w:sz w:val="22"/>
          <w:szCs w:val="22"/>
        </w:rPr>
        <w:t xml:space="preserve">permit DMH to impose a provisional license, in lieu of license suspension or revocation, on a facility found to be out of compliance with licensing requirements, and charge a renewal fee </w:t>
      </w:r>
      <w:r w:rsidR="00D05B2C" w:rsidRPr="00735EC2">
        <w:rPr>
          <w:rFonts w:asciiTheme="minorHAnsi" w:hAnsiTheme="minorHAnsi"/>
          <w:noProof/>
          <w:sz w:val="22"/>
          <w:szCs w:val="22"/>
        </w:rPr>
        <w:t xml:space="preserve">to have </w:t>
      </w:r>
      <w:r w:rsidR="00D14430" w:rsidRPr="00735EC2">
        <w:rPr>
          <w:rFonts w:asciiTheme="minorHAnsi" w:hAnsiTheme="minorHAnsi"/>
          <w:noProof/>
          <w:sz w:val="22"/>
          <w:szCs w:val="22"/>
        </w:rPr>
        <w:t>its full license restored.</w:t>
      </w:r>
      <w:r w:rsidR="00D05B2C" w:rsidRPr="00735EC2">
        <w:rPr>
          <w:rFonts w:asciiTheme="minorHAnsi" w:hAnsiTheme="minorHAnsi"/>
          <w:noProof/>
          <w:sz w:val="22"/>
          <w:szCs w:val="22"/>
        </w:rPr>
        <w:t xml:space="preserve">  </w:t>
      </w:r>
    </w:p>
    <w:p w:rsidR="007F7106" w:rsidRPr="00735EC2" w:rsidRDefault="007F7106" w:rsidP="00625F6C">
      <w:pPr>
        <w:ind w:left="270" w:right="-360"/>
        <w:jc w:val="both"/>
        <w:rPr>
          <w:rFonts w:asciiTheme="minorHAnsi" w:hAnsiTheme="minorHAnsi"/>
          <w:noProof/>
          <w:sz w:val="22"/>
          <w:szCs w:val="22"/>
        </w:rPr>
      </w:pPr>
    </w:p>
    <w:p w:rsidR="007F7106" w:rsidRPr="00735EC2" w:rsidRDefault="00D05B2C" w:rsidP="00625F6C">
      <w:pPr>
        <w:ind w:left="270" w:right="-360"/>
        <w:jc w:val="both"/>
        <w:rPr>
          <w:rFonts w:asciiTheme="minorHAnsi" w:hAnsiTheme="minorHAnsi"/>
          <w:noProof/>
          <w:sz w:val="22"/>
          <w:szCs w:val="22"/>
        </w:rPr>
      </w:pPr>
      <w:r w:rsidRPr="00735EC2">
        <w:rPr>
          <w:rFonts w:asciiTheme="minorHAnsi" w:hAnsiTheme="minorHAnsi"/>
          <w:noProof/>
          <w:sz w:val="22"/>
          <w:szCs w:val="22"/>
        </w:rPr>
        <w:t xml:space="preserve">Further revisions are as follows: </w:t>
      </w:r>
      <w:r w:rsidR="007F7106" w:rsidRPr="00735EC2">
        <w:rPr>
          <w:rFonts w:asciiTheme="minorHAnsi" w:hAnsiTheme="minorHAnsi"/>
          <w:noProof/>
          <w:sz w:val="22"/>
          <w:szCs w:val="22"/>
        </w:rPr>
        <w:t>Simplifies privacy rules by applying federal HIPAA standards for disclosures for purposes of "treatment, payment and operations"; new language allow</w:t>
      </w:r>
      <w:r w:rsidR="00F251FE" w:rsidRPr="00735EC2">
        <w:rPr>
          <w:rFonts w:asciiTheme="minorHAnsi" w:hAnsiTheme="minorHAnsi"/>
          <w:noProof/>
          <w:sz w:val="22"/>
          <w:szCs w:val="22"/>
        </w:rPr>
        <w:t xml:space="preserve">s </w:t>
      </w:r>
      <w:r w:rsidR="007F7106" w:rsidRPr="00735EC2">
        <w:rPr>
          <w:rFonts w:asciiTheme="minorHAnsi" w:hAnsiTheme="minorHAnsi"/>
          <w:noProof/>
          <w:sz w:val="22"/>
          <w:szCs w:val="22"/>
        </w:rPr>
        <w:t>for alternative technology, such as telemedicine; clarifies current licensing practice regarding DMH action in response to licensing application, plans of correction, staff training, notices to DMH from licensed facilities; adopts language similar to DPH licensing regulations concerning required notifications to DMH; repeals out-dated section on behavior management; updates language regarding authority of guardians to conform with current Uniform Probate Code in effect; reorganization of sections for clarity.</w:t>
      </w:r>
    </w:p>
    <w:p w:rsidR="007F7106" w:rsidRPr="00735EC2" w:rsidRDefault="007F7106" w:rsidP="00625F6C">
      <w:pPr>
        <w:ind w:left="270" w:right="-360"/>
        <w:jc w:val="both"/>
        <w:rPr>
          <w:rFonts w:asciiTheme="minorHAnsi" w:hAnsiTheme="minorHAnsi"/>
          <w:noProof/>
          <w:sz w:val="22"/>
          <w:szCs w:val="22"/>
        </w:rPr>
      </w:pPr>
    </w:p>
    <w:p w:rsidR="009E1A18" w:rsidRPr="00735EC2" w:rsidRDefault="00B465D3" w:rsidP="00625F6C">
      <w:pPr>
        <w:ind w:left="270" w:right="-360"/>
        <w:jc w:val="both"/>
        <w:rPr>
          <w:rFonts w:asciiTheme="minorHAnsi" w:hAnsiTheme="minorHAnsi"/>
          <w:sz w:val="22"/>
          <w:szCs w:val="22"/>
        </w:rPr>
      </w:pPr>
      <w:r w:rsidRPr="00735EC2">
        <w:rPr>
          <w:rFonts w:asciiTheme="minorHAnsi" w:hAnsiTheme="minorHAnsi"/>
          <w:b/>
          <w:sz w:val="22"/>
          <w:szCs w:val="22"/>
        </w:rPr>
        <w:t xml:space="preserve">104 </w:t>
      </w:r>
      <w:proofErr w:type="spellStart"/>
      <w:r w:rsidRPr="00735EC2">
        <w:rPr>
          <w:rFonts w:asciiTheme="minorHAnsi" w:hAnsiTheme="minorHAnsi"/>
          <w:b/>
          <w:sz w:val="22"/>
          <w:szCs w:val="22"/>
        </w:rPr>
        <w:t>CMR</w:t>
      </w:r>
      <w:proofErr w:type="spellEnd"/>
      <w:r w:rsidRPr="00735EC2">
        <w:rPr>
          <w:rFonts w:asciiTheme="minorHAnsi" w:hAnsiTheme="minorHAnsi"/>
          <w:b/>
          <w:sz w:val="22"/>
          <w:szCs w:val="22"/>
        </w:rPr>
        <w:t xml:space="preserve"> 2</w:t>
      </w:r>
      <w:r w:rsidR="00A915DD" w:rsidRPr="00735EC2">
        <w:rPr>
          <w:rFonts w:asciiTheme="minorHAnsi" w:hAnsiTheme="minorHAnsi"/>
          <w:b/>
          <w:sz w:val="22"/>
          <w:szCs w:val="22"/>
        </w:rPr>
        <w:t xml:space="preserve">8.00 </w:t>
      </w:r>
      <w:hyperlink r:id="rId11" w:history="1">
        <w:r w:rsidR="00A915DD" w:rsidRPr="003159FB">
          <w:rPr>
            <w:rStyle w:val="Hyperlink"/>
            <w:rFonts w:asciiTheme="minorHAnsi" w:hAnsiTheme="minorHAnsi"/>
            <w:b/>
            <w:sz w:val="22"/>
            <w:szCs w:val="22"/>
            <w:u w:val="single"/>
          </w:rPr>
          <w:t>Licensing and Operational Standards for Community Services</w:t>
        </w:r>
      </w:hyperlink>
      <w:bookmarkStart w:id="0" w:name="_GoBack"/>
      <w:bookmarkEnd w:id="0"/>
      <w:r w:rsidR="00B57A93" w:rsidRPr="00735EC2">
        <w:rPr>
          <w:rFonts w:asciiTheme="minorHAnsi" w:hAnsiTheme="minorHAnsi"/>
          <w:sz w:val="22"/>
          <w:szCs w:val="22"/>
        </w:rPr>
        <w:t>:</w:t>
      </w:r>
      <w:r w:rsidR="00AF0D90" w:rsidRPr="00735EC2">
        <w:rPr>
          <w:rFonts w:asciiTheme="minorHAnsi" w:hAnsiTheme="minorHAnsi"/>
          <w:sz w:val="22"/>
          <w:szCs w:val="22"/>
        </w:rPr>
        <w:t xml:space="preserve"> </w:t>
      </w:r>
      <w:r w:rsidR="00B57A93" w:rsidRPr="00735EC2">
        <w:rPr>
          <w:rFonts w:asciiTheme="minorHAnsi" w:hAnsiTheme="minorHAnsi"/>
          <w:sz w:val="22"/>
          <w:szCs w:val="22"/>
        </w:rPr>
        <w:t xml:space="preserve">This regulation </w:t>
      </w:r>
      <w:r w:rsidR="002762DC" w:rsidRPr="00735EC2">
        <w:rPr>
          <w:rFonts w:asciiTheme="minorHAnsi" w:hAnsiTheme="minorHAnsi"/>
          <w:sz w:val="22"/>
          <w:szCs w:val="22"/>
        </w:rPr>
        <w:t xml:space="preserve">establishes a </w:t>
      </w:r>
      <w:r w:rsidR="002762DC" w:rsidRPr="00735EC2">
        <w:rPr>
          <w:rFonts w:asciiTheme="minorHAnsi" w:hAnsiTheme="minorHAnsi"/>
          <w:noProof/>
          <w:sz w:val="22"/>
          <w:szCs w:val="22"/>
        </w:rPr>
        <w:t>comprehensive system of community mental health care and  licensed programs that provide residential care and treatment for mental health conditions</w:t>
      </w:r>
      <w:r w:rsidR="009172B4" w:rsidRPr="00735EC2">
        <w:rPr>
          <w:rFonts w:asciiTheme="minorHAnsi" w:hAnsiTheme="minorHAnsi"/>
          <w:noProof/>
          <w:sz w:val="22"/>
          <w:szCs w:val="22"/>
        </w:rPr>
        <w:t>, b</w:t>
      </w:r>
      <w:r w:rsidR="00D60910" w:rsidRPr="00735EC2">
        <w:rPr>
          <w:rFonts w:asciiTheme="minorHAnsi" w:hAnsiTheme="minorHAnsi"/>
          <w:noProof/>
          <w:sz w:val="22"/>
          <w:szCs w:val="22"/>
        </w:rPr>
        <w:t>y</w:t>
      </w:r>
      <w:r w:rsidR="009172B4" w:rsidRPr="00735EC2">
        <w:rPr>
          <w:rFonts w:asciiTheme="minorHAnsi" w:hAnsiTheme="minorHAnsi"/>
          <w:noProof/>
          <w:sz w:val="22"/>
          <w:szCs w:val="22"/>
        </w:rPr>
        <w:t xml:space="preserve"> providing licensing and </w:t>
      </w:r>
      <w:r w:rsidR="002762DC" w:rsidRPr="00735EC2">
        <w:rPr>
          <w:rFonts w:asciiTheme="minorHAnsi" w:hAnsiTheme="minorHAnsi"/>
          <w:noProof/>
          <w:sz w:val="22"/>
          <w:szCs w:val="22"/>
        </w:rPr>
        <w:t>operational standards and procedures for community programs that DMH licenses</w:t>
      </w:r>
      <w:r w:rsidR="009E1A18" w:rsidRPr="00735EC2">
        <w:rPr>
          <w:rFonts w:asciiTheme="minorHAnsi" w:hAnsiTheme="minorHAnsi"/>
          <w:noProof/>
          <w:sz w:val="22"/>
          <w:szCs w:val="22"/>
        </w:rPr>
        <w:t xml:space="preserve">. </w:t>
      </w:r>
      <w:r w:rsidR="002762DC" w:rsidRPr="00735EC2">
        <w:rPr>
          <w:rFonts w:asciiTheme="minorHAnsi" w:hAnsiTheme="minorHAnsi"/>
          <w:noProof/>
          <w:sz w:val="22"/>
          <w:szCs w:val="22"/>
        </w:rPr>
        <w:t>The regulation is amended to</w:t>
      </w:r>
      <w:r w:rsidR="00B57A93" w:rsidRPr="00735EC2">
        <w:rPr>
          <w:rFonts w:asciiTheme="minorHAnsi" w:hAnsiTheme="minorHAnsi"/>
          <w:noProof/>
          <w:sz w:val="22"/>
          <w:szCs w:val="22"/>
        </w:rPr>
        <w:t xml:space="preserve"> simplify application of </w:t>
      </w:r>
      <w:r w:rsidR="009E1A18" w:rsidRPr="00735EC2">
        <w:rPr>
          <w:rFonts w:asciiTheme="minorHAnsi" w:hAnsiTheme="minorHAnsi"/>
          <w:sz w:val="22"/>
          <w:szCs w:val="22"/>
        </w:rPr>
        <w:t xml:space="preserve">privacy rules by applying federal HIPAA standards for disclosures for purposes of "treatment, payment and healthcare operations."  Consistent with the Commissioner’s authority under </w:t>
      </w:r>
      <w:r w:rsidR="00C95EA5" w:rsidRPr="00735EC2">
        <w:rPr>
          <w:rFonts w:asciiTheme="minorHAnsi" w:hAnsiTheme="minorHAnsi"/>
          <w:sz w:val="22"/>
          <w:szCs w:val="22"/>
        </w:rPr>
        <w:t>M.G.</w:t>
      </w:r>
      <w:r w:rsidR="009E1A18" w:rsidRPr="00735EC2">
        <w:rPr>
          <w:rFonts w:asciiTheme="minorHAnsi" w:hAnsiTheme="minorHAnsi"/>
          <w:sz w:val="22"/>
          <w:szCs w:val="22"/>
        </w:rPr>
        <w:t xml:space="preserve">L. c. 123 § 36 to authorize release of records in a consumer’s best interests, these amendments establish the principle that disclosures permitted by </w:t>
      </w:r>
      <w:r w:rsidR="009E1A18" w:rsidRPr="00735EC2">
        <w:rPr>
          <w:rFonts w:asciiTheme="minorHAnsi" w:hAnsiTheme="minorHAnsi"/>
          <w:sz w:val="22"/>
          <w:szCs w:val="22"/>
        </w:rPr>
        <w:lastRenderedPageBreak/>
        <w:t xml:space="preserve">HIPAA for purposes of treatment, payment and healthcare operations, are deemed in the consumer’s best interest.  Language </w:t>
      </w:r>
      <w:r w:rsidR="00D05B2C" w:rsidRPr="00735EC2">
        <w:rPr>
          <w:rFonts w:asciiTheme="minorHAnsi" w:hAnsiTheme="minorHAnsi"/>
          <w:sz w:val="22"/>
          <w:szCs w:val="22"/>
        </w:rPr>
        <w:t xml:space="preserve">is </w:t>
      </w:r>
      <w:r w:rsidR="009E1A18" w:rsidRPr="00735EC2">
        <w:rPr>
          <w:rFonts w:asciiTheme="minorHAnsi" w:hAnsiTheme="minorHAnsi"/>
          <w:sz w:val="22"/>
          <w:szCs w:val="22"/>
        </w:rPr>
        <w:t xml:space="preserve">amended for accuracy and clarity. </w:t>
      </w:r>
    </w:p>
    <w:p w:rsidR="00782E4D" w:rsidRPr="00735EC2" w:rsidRDefault="00782E4D" w:rsidP="00782E4D">
      <w:pPr>
        <w:ind w:left="270" w:right="-360"/>
        <w:jc w:val="center"/>
        <w:rPr>
          <w:rFonts w:asciiTheme="minorHAnsi" w:hAnsiTheme="minorHAnsi"/>
          <w:b/>
          <w:sz w:val="22"/>
          <w:szCs w:val="22"/>
          <w:u w:val="single"/>
        </w:rPr>
      </w:pPr>
    </w:p>
    <w:p w:rsidR="0020591E" w:rsidRPr="00735EC2" w:rsidRDefault="0020591E" w:rsidP="00782E4D">
      <w:pPr>
        <w:ind w:left="270" w:right="-360"/>
        <w:jc w:val="center"/>
        <w:rPr>
          <w:rFonts w:asciiTheme="minorHAnsi" w:hAnsiTheme="minorHAnsi"/>
          <w:b/>
          <w:sz w:val="22"/>
          <w:szCs w:val="22"/>
        </w:rPr>
      </w:pPr>
      <w:r w:rsidRPr="00735EC2">
        <w:rPr>
          <w:rFonts w:asciiTheme="minorHAnsi" w:hAnsiTheme="minorHAnsi"/>
          <w:b/>
          <w:sz w:val="22"/>
          <w:szCs w:val="22"/>
          <w:u w:val="single"/>
        </w:rPr>
        <w:t>TIME AND PLACE OF PUBLIC HEARING</w:t>
      </w:r>
      <w:r w:rsidRPr="00735EC2">
        <w:rPr>
          <w:rFonts w:asciiTheme="minorHAnsi" w:hAnsiTheme="minorHAnsi"/>
          <w:b/>
          <w:sz w:val="22"/>
          <w:szCs w:val="22"/>
        </w:rPr>
        <w:t>:</w:t>
      </w:r>
    </w:p>
    <w:p w:rsidR="0020591E" w:rsidRPr="00735EC2" w:rsidRDefault="00735EC2" w:rsidP="00735EC2">
      <w:pPr>
        <w:tabs>
          <w:tab w:val="center" w:pos="5355"/>
        </w:tabs>
        <w:ind w:left="270" w:right="-360"/>
        <w:rPr>
          <w:rFonts w:asciiTheme="minorHAnsi" w:hAnsiTheme="minorHAnsi"/>
          <w:sz w:val="22"/>
          <w:szCs w:val="22"/>
        </w:rPr>
      </w:pPr>
      <w:r w:rsidRPr="00735EC2">
        <w:rPr>
          <w:rFonts w:asciiTheme="minorHAnsi" w:hAnsiTheme="minorHAnsi"/>
          <w:sz w:val="22"/>
          <w:szCs w:val="22"/>
        </w:rPr>
        <w:tab/>
      </w:r>
      <w:r w:rsidR="00B57A93" w:rsidRPr="00735EC2">
        <w:rPr>
          <w:rFonts w:asciiTheme="minorHAnsi" w:hAnsiTheme="minorHAnsi"/>
          <w:sz w:val="22"/>
          <w:szCs w:val="22"/>
        </w:rPr>
        <w:t xml:space="preserve">November </w:t>
      </w:r>
      <w:r w:rsidR="0084041C" w:rsidRPr="00735EC2">
        <w:rPr>
          <w:rFonts w:asciiTheme="minorHAnsi" w:hAnsiTheme="minorHAnsi"/>
          <w:sz w:val="22"/>
          <w:szCs w:val="22"/>
        </w:rPr>
        <w:t>28</w:t>
      </w:r>
      <w:r w:rsidR="00E470E9" w:rsidRPr="00735EC2">
        <w:rPr>
          <w:rFonts w:asciiTheme="minorHAnsi" w:hAnsiTheme="minorHAnsi"/>
          <w:sz w:val="22"/>
          <w:szCs w:val="22"/>
        </w:rPr>
        <w:t>, 201</w:t>
      </w:r>
      <w:r w:rsidR="00B57A93" w:rsidRPr="00735EC2">
        <w:rPr>
          <w:rFonts w:asciiTheme="minorHAnsi" w:hAnsiTheme="minorHAnsi"/>
          <w:sz w:val="22"/>
          <w:szCs w:val="22"/>
        </w:rPr>
        <w:t>7</w:t>
      </w:r>
      <w:r w:rsidR="0020591E" w:rsidRPr="00735EC2">
        <w:rPr>
          <w:rFonts w:asciiTheme="minorHAnsi" w:hAnsiTheme="minorHAnsi"/>
          <w:sz w:val="22"/>
          <w:szCs w:val="22"/>
        </w:rPr>
        <w:t xml:space="preserve"> </w:t>
      </w:r>
      <w:r w:rsidR="00610DF8" w:rsidRPr="00735EC2">
        <w:rPr>
          <w:rFonts w:asciiTheme="minorHAnsi" w:hAnsiTheme="minorHAnsi"/>
          <w:sz w:val="22"/>
          <w:szCs w:val="22"/>
        </w:rPr>
        <w:t xml:space="preserve">at </w:t>
      </w:r>
      <w:r w:rsidR="0020591E" w:rsidRPr="00735EC2">
        <w:rPr>
          <w:rFonts w:asciiTheme="minorHAnsi" w:hAnsiTheme="minorHAnsi"/>
          <w:sz w:val="22"/>
          <w:szCs w:val="22"/>
        </w:rPr>
        <w:t xml:space="preserve">2:00 – </w:t>
      </w:r>
      <w:r w:rsidR="008128C8" w:rsidRPr="00735EC2">
        <w:rPr>
          <w:rFonts w:asciiTheme="minorHAnsi" w:hAnsiTheme="minorHAnsi"/>
          <w:sz w:val="22"/>
          <w:szCs w:val="22"/>
        </w:rPr>
        <w:t>4:00</w:t>
      </w:r>
      <w:r w:rsidR="0020591E" w:rsidRPr="00735EC2">
        <w:rPr>
          <w:rFonts w:asciiTheme="minorHAnsi" w:hAnsiTheme="minorHAnsi"/>
          <w:sz w:val="22"/>
          <w:szCs w:val="22"/>
        </w:rPr>
        <w:t xml:space="preserve"> pm</w:t>
      </w:r>
    </w:p>
    <w:p w:rsidR="0020591E" w:rsidRPr="00735EC2" w:rsidRDefault="0020591E" w:rsidP="00782E4D">
      <w:pPr>
        <w:ind w:left="270" w:right="-360"/>
        <w:jc w:val="center"/>
        <w:rPr>
          <w:rFonts w:asciiTheme="minorHAnsi" w:hAnsiTheme="minorHAnsi"/>
          <w:sz w:val="22"/>
          <w:szCs w:val="22"/>
        </w:rPr>
      </w:pPr>
      <w:r w:rsidRPr="00735EC2">
        <w:rPr>
          <w:rFonts w:asciiTheme="minorHAnsi" w:hAnsiTheme="minorHAnsi"/>
          <w:sz w:val="22"/>
          <w:szCs w:val="22"/>
        </w:rPr>
        <w:t>DMH Legal Office</w:t>
      </w:r>
    </w:p>
    <w:p w:rsidR="008128C8" w:rsidRPr="00735EC2" w:rsidRDefault="008128C8" w:rsidP="00782E4D">
      <w:pPr>
        <w:ind w:left="270" w:right="-360"/>
        <w:jc w:val="center"/>
        <w:rPr>
          <w:rFonts w:asciiTheme="minorHAnsi" w:hAnsiTheme="minorHAnsi"/>
          <w:sz w:val="22"/>
          <w:szCs w:val="22"/>
        </w:rPr>
      </w:pPr>
      <w:r w:rsidRPr="00735EC2">
        <w:rPr>
          <w:rFonts w:asciiTheme="minorHAnsi" w:hAnsiTheme="minorHAnsi"/>
          <w:sz w:val="22"/>
          <w:szCs w:val="22"/>
        </w:rPr>
        <w:t>Boston Room</w:t>
      </w:r>
    </w:p>
    <w:p w:rsidR="0020591E" w:rsidRPr="00735EC2" w:rsidRDefault="0020591E" w:rsidP="00782E4D">
      <w:pPr>
        <w:ind w:left="270" w:right="-360"/>
        <w:jc w:val="center"/>
        <w:rPr>
          <w:rFonts w:asciiTheme="minorHAnsi" w:hAnsiTheme="minorHAnsi"/>
          <w:sz w:val="22"/>
          <w:szCs w:val="22"/>
        </w:rPr>
      </w:pPr>
      <w:r w:rsidRPr="00735EC2">
        <w:rPr>
          <w:rFonts w:asciiTheme="minorHAnsi" w:hAnsiTheme="minorHAnsi"/>
          <w:sz w:val="22"/>
          <w:szCs w:val="22"/>
        </w:rPr>
        <w:t xml:space="preserve">25 </w:t>
      </w:r>
      <w:proofErr w:type="spellStart"/>
      <w:r w:rsidRPr="00735EC2">
        <w:rPr>
          <w:rFonts w:asciiTheme="minorHAnsi" w:hAnsiTheme="minorHAnsi"/>
          <w:sz w:val="22"/>
          <w:szCs w:val="22"/>
        </w:rPr>
        <w:t>Staniford</w:t>
      </w:r>
      <w:proofErr w:type="spellEnd"/>
      <w:r w:rsidRPr="00735EC2">
        <w:rPr>
          <w:rFonts w:asciiTheme="minorHAnsi" w:hAnsiTheme="minorHAnsi"/>
          <w:sz w:val="22"/>
          <w:szCs w:val="22"/>
        </w:rPr>
        <w:t xml:space="preserve"> Street</w:t>
      </w:r>
    </w:p>
    <w:p w:rsidR="0020591E" w:rsidRPr="00735EC2" w:rsidRDefault="0020591E" w:rsidP="00782E4D">
      <w:pPr>
        <w:ind w:left="270" w:right="-360"/>
        <w:jc w:val="center"/>
        <w:rPr>
          <w:rFonts w:asciiTheme="minorHAnsi" w:hAnsiTheme="minorHAnsi"/>
          <w:b/>
          <w:sz w:val="22"/>
          <w:szCs w:val="22"/>
        </w:rPr>
      </w:pPr>
      <w:r w:rsidRPr="00735EC2">
        <w:rPr>
          <w:rFonts w:asciiTheme="minorHAnsi" w:hAnsiTheme="minorHAnsi"/>
          <w:sz w:val="22"/>
          <w:szCs w:val="22"/>
        </w:rPr>
        <w:t>Boston, MA 02114</w:t>
      </w:r>
    </w:p>
    <w:tbl>
      <w:tblPr>
        <w:tblW w:w="0" w:type="auto"/>
        <w:tblLook w:val="01E0" w:firstRow="1" w:lastRow="1" w:firstColumn="1" w:lastColumn="1" w:noHBand="0" w:noVBand="0"/>
      </w:tblPr>
      <w:tblGrid>
        <w:gridCol w:w="2988"/>
        <w:gridCol w:w="5868"/>
      </w:tblGrid>
      <w:tr w:rsidR="0020591E" w:rsidRPr="00735EC2" w:rsidTr="00CC1447">
        <w:tc>
          <w:tcPr>
            <w:tcW w:w="2988" w:type="dxa"/>
          </w:tcPr>
          <w:p w:rsidR="0020591E" w:rsidRPr="00735EC2" w:rsidRDefault="0020591E" w:rsidP="00782E4D">
            <w:pPr>
              <w:ind w:left="270" w:right="-360"/>
              <w:jc w:val="both"/>
              <w:rPr>
                <w:rFonts w:asciiTheme="minorHAnsi" w:hAnsiTheme="minorHAnsi"/>
                <w:b/>
                <w:sz w:val="22"/>
                <w:szCs w:val="22"/>
              </w:rPr>
            </w:pPr>
          </w:p>
        </w:tc>
        <w:tc>
          <w:tcPr>
            <w:tcW w:w="5868" w:type="dxa"/>
          </w:tcPr>
          <w:p w:rsidR="0020591E" w:rsidRPr="00735EC2" w:rsidRDefault="0020591E" w:rsidP="00782E4D">
            <w:pPr>
              <w:ind w:left="270" w:right="-360"/>
              <w:jc w:val="both"/>
              <w:rPr>
                <w:rFonts w:asciiTheme="minorHAnsi" w:hAnsiTheme="minorHAnsi"/>
                <w:sz w:val="22"/>
                <w:szCs w:val="22"/>
              </w:rPr>
            </w:pPr>
          </w:p>
        </w:tc>
      </w:tr>
    </w:tbl>
    <w:p w:rsidR="00A915DD" w:rsidRPr="00735EC2" w:rsidRDefault="00A915DD" w:rsidP="00782E4D">
      <w:pPr>
        <w:ind w:left="270" w:right="-360"/>
        <w:jc w:val="both"/>
        <w:rPr>
          <w:rFonts w:asciiTheme="minorHAnsi" w:hAnsiTheme="minorHAnsi"/>
          <w:sz w:val="22"/>
          <w:szCs w:val="22"/>
        </w:rPr>
      </w:pPr>
      <w:r w:rsidRPr="00735EC2">
        <w:rPr>
          <w:rFonts w:asciiTheme="minorHAnsi" w:hAnsiTheme="minorHAnsi"/>
          <w:b/>
          <w:sz w:val="22"/>
          <w:szCs w:val="22"/>
        </w:rPr>
        <w:t>METHOD OF COMMENT:</w:t>
      </w:r>
      <w:r w:rsidRPr="00735EC2">
        <w:rPr>
          <w:rFonts w:asciiTheme="minorHAnsi" w:hAnsiTheme="minorHAnsi"/>
          <w:sz w:val="22"/>
          <w:szCs w:val="22"/>
        </w:rPr>
        <w:t xml:space="preserve">  Written comments may </w:t>
      </w:r>
      <w:r w:rsidR="008128C8" w:rsidRPr="00735EC2">
        <w:rPr>
          <w:rFonts w:asciiTheme="minorHAnsi" w:hAnsiTheme="minorHAnsi"/>
          <w:sz w:val="22"/>
          <w:szCs w:val="22"/>
        </w:rPr>
        <w:t xml:space="preserve">be </w:t>
      </w:r>
      <w:r w:rsidRPr="00735EC2">
        <w:rPr>
          <w:rFonts w:asciiTheme="minorHAnsi" w:hAnsiTheme="minorHAnsi"/>
          <w:sz w:val="22"/>
          <w:szCs w:val="22"/>
        </w:rPr>
        <w:t xml:space="preserve">mailed to the Office of the General Counsel, Department of Mental Health, 25 Staniford Street, Boston, MA  02114; or submitted to e-mail address: </w:t>
      </w:r>
      <w:hyperlink r:id="rId12" w:history="1">
        <w:r w:rsidRPr="00735EC2">
          <w:rPr>
            <w:rFonts w:asciiTheme="minorHAnsi" w:hAnsiTheme="minorHAnsi"/>
            <w:color w:val="000000"/>
            <w:sz w:val="22"/>
            <w:szCs w:val="22"/>
            <w:u w:val="single"/>
          </w:rPr>
          <w:t>DMH-regulations@state.ma.us</w:t>
        </w:r>
      </w:hyperlink>
      <w:r w:rsidRPr="00735EC2">
        <w:rPr>
          <w:rFonts w:asciiTheme="minorHAnsi" w:hAnsiTheme="minorHAnsi"/>
          <w:color w:val="000000"/>
          <w:sz w:val="22"/>
          <w:szCs w:val="22"/>
          <w:u w:val="single"/>
        </w:rPr>
        <w:t xml:space="preserve"> </w:t>
      </w:r>
      <w:r w:rsidRPr="00735EC2">
        <w:rPr>
          <w:rFonts w:asciiTheme="minorHAnsi" w:hAnsiTheme="minorHAnsi"/>
          <w:color w:val="000000"/>
          <w:sz w:val="22"/>
          <w:szCs w:val="22"/>
        </w:rPr>
        <w:t xml:space="preserve"> </w:t>
      </w:r>
      <w:r w:rsidRPr="00735EC2">
        <w:rPr>
          <w:rFonts w:asciiTheme="minorHAnsi" w:hAnsiTheme="minorHAnsi"/>
          <w:sz w:val="22"/>
          <w:szCs w:val="22"/>
          <w:u w:val="single"/>
        </w:rPr>
        <w:t xml:space="preserve">NO LATER THAN </w:t>
      </w:r>
      <w:r w:rsidR="00B57A93" w:rsidRPr="00735EC2">
        <w:rPr>
          <w:rFonts w:asciiTheme="minorHAnsi" w:hAnsiTheme="minorHAnsi"/>
          <w:sz w:val="22"/>
          <w:szCs w:val="22"/>
          <w:u w:val="single"/>
        </w:rPr>
        <w:t xml:space="preserve">NOVEMBER </w:t>
      </w:r>
      <w:r w:rsidR="0084041C" w:rsidRPr="00735EC2">
        <w:rPr>
          <w:rFonts w:asciiTheme="minorHAnsi" w:hAnsiTheme="minorHAnsi"/>
          <w:sz w:val="22"/>
          <w:szCs w:val="22"/>
          <w:u w:val="single"/>
        </w:rPr>
        <w:t>28</w:t>
      </w:r>
      <w:r w:rsidRPr="00735EC2">
        <w:rPr>
          <w:rFonts w:asciiTheme="minorHAnsi" w:hAnsiTheme="minorHAnsi"/>
          <w:sz w:val="22"/>
          <w:szCs w:val="22"/>
          <w:u w:val="single"/>
        </w:rPr>
        <w:t>, 201</w:t>
      </w:r>
      <w:r w:rsidR="00B57A93" w:rsidRPr="00735EC2">
        <w:rPr>
          <w:rFonts w:asciiTheme="minorHAnsi" w:hAnsiTheme="minorHAnsi"/>
          <w:sz w:val="22"/>
          <w:szCs w:val="22"/>
          <w:u w:val="single"/>
        </w:rPr>
        <w:t>7</w:t>
      </w:r>
      <w:r w:rsidRPr="00735EC2">
        <w:rPr>
          <w:rFonts w:asciiTheme="minorHAnsi" w:hAnsiTheme="minorHAnsi"/>
          <w:sz w:val="22"/>
          <w:szCs w:val="22"/>
        </w:rPr>
        <w:t>.  Comment Period ends at 5:00 P.M. on</w:t>
      </w:r>
      <w:r w:rsidR="00B57A93" w:rsidRPr="00735EC2">
        <w:rPr>
          <w:rFonts w:asciiTheme="minorHAnsi" w:hAnsiTheme="minorHAnsi"/>
          <w:sz w:val="22"/>
          <w:szCs w:val="22"/>
        </w:rPr>
        <w:t xml:space="preserve"> November </w:t>
      </w:r>
      <w:r w:rsidR="0084041C" w:rsidRPr="00735EC2">
        <w:rPr>
          <w:rFonts w:asciiTheme="minorHAnsi" w:hAnsiTheme="minorHAnsi"/>
          <w:sz w:val="22"/>
          <w:szCs w:val="22"/>
        </w:rPr>
        <w:t>28</w:t>
      </w:r>
      <w:r w:rsidR="00B57A93" w:rsidRPr="00735EC2">
        <w:rPr>
          <w:rFonts w:asciiTheme="minorHAnsi" w:hAnsiTheme="minorHAnsi"/>
          <w:sz w:val="22"/>
          <w:szCs w:val="22"/>
        </w:rPr>
        <w:t>, 2017.</w:t>
      </w:r>
      <w:r w:rsidRPr="00735EC2">
        <w:rPr>
          <w:rFonts w:asciiTheme="minorHAnsi" w:hAnsiTheme="minorHAnsi"/>
          <w:sz w:val="22"/>
          <w:szCs w:val="22"/>
        </w:rPr>
        <w:t xml:space="preserve"> </w:t>
      </w:r>
    </w:p>
    <w:p w:rsidR="00A915DD" w:rsidRPr="00735EC2" w:rsidRDefault="00A915DD" w:rsidP="00782E4D">
      <w:pPr>
        <w:ind w:left="270" w:right="-360"/>
        <w:jc w:val="both"/>
        <w:rPr>
          <w:rFonts w:asciiTheme="minorHAnsi" w:hAnsiTheme="minorHAnsi"/>
          <w:sz w:val="22"/>
          <w:szCs w:val="22"/>
        </w:rPr>
      </w:pPr>
    </w:p>
    <w:p w:rsidR="00A915DD" w:rsidRPr="00735EC2" w:rsidRDefault="00A915DD" w:rsidP="00782E4D">
      <w:pPr>
        <w:ind w:left="270" w:right="-360"/>
        <w:jc w:val="both"/>
        <w:rPr>
          <w:rFonts w:asciiTheme="minorHAnsi" w:hAnsiTheme="minorHAnsi"/>
          <w:sz w:val="22"/>
          <w:szCs w:val="22"/>
        </w:rPr>
      </w:pPr>
      <w:r w:rsidRPr="00735EC2">
        <w:rPr>
          <w:rFonts w:asciiTheme="minorHAnsi" w:hAnsiTheme="minorHAnsi"/>
          <w:b/>
          <w:sz w:val="22"/>
          <w:szCs w:val="22"/>
        </w:rPr>
        <w:t xml:space="preserve">ACCOMMODATION:  </w:t>
      </w:r>
      <w:r w:rsidRPr="00735EC2">
        <w:rPr>
          <w:rFonts w:asciiTheme="minorHAnsi" w:hAnsiTheme="minorHAnsi"/>
          <w:sz w:val="22"/>
          <w:szCs w:val="22"/>
        </w:rPr>
        <w:t>If you plan to attend the public hearing and wish to request the accommodation of a sign language or other interpreter, contact DMH Legal at least 1</w:t>
      </w:r>
      <w:r w:rsidR="00AF0D90" w:rsidRPr="00735EC2">
        <w:rPr>
          <w:rFonts w:asciiTheme="minorHAnsi" w:hAnsiTheme="minorHAnsi"/>
          <w:sz w:val="22"/>
          <w:szCs w:val="22"/>
        </w:rPr>
        <w:t>4</w:t>
      </w:r>
      <w:r w:rsidRPr="00735EC2">
        <w:rPr>
          <w:rFonts w:asciiTheme="minorHAnsi" w:hAnsiTheme="minorHAnsi"/>
          <w:sz w:val="22"/>
          <w:szCs w:val="22"/>
        </w:rPr>
        <w:t xml:space="preserve"> days in advance of the hearing date at (617) 626-8236.   </w:t>
      </w:r>
    </w:p>
    <w:p w:rsidR="00A915DD" w:rsidRPr="00735EC2" w:rsidRDefault="00A915DD" w:rsidP="00782E4D">
      <w:pPr>
        <w:ind w:left="270" w:right="-360"/>
        <w:jc w:val="both"/>
        <w:rPr>
          <w:rFonts w:asciiTheme="minorHAnsi" w:hAnsiTheme="minorHAnsi"/>
          <w:sz w:val="22"/>
          <w:szCs w:val="22"/>
        </w:rPr>
      </w:pPr>
    </w:p>
    <w:p w:rsidR="00A915DD" w:rsidRPr="00735EC2" w:rsidRDefault="00A915DD" w:rsidP="00782E4D">
      <w:pPr>
        <w:ind w:left="270" w:right="-360"/>
        <w:jc w:val="both"/>
        <w:rPr>
          <w:rFonts w:asciiTheme="minorHAnsi" w:hAnsiTheme="minorHAnsi"/>
          <w:color w:val="000000"/>
          <w:sz w:val="22"/>
          <w:szCs w:val="22"/>
        </w:rPr>
      </w:pPr>
      <w:r w:rsidRPr="00735EC2">
        <w:rPr>
          <w:rFonts w:asciiTheme="minorHAnsi" w:hAnsiTheme="minorHAnsi"/>
          <w:b/>
          <w:sz w:val="22"/>
          <w:szCs w:val="22"/>
        </w:rPr>
        <w:t xml:space="preserve">INFORMATION: </w:t>
      </w:r>
      <w:r w:rsidRPr="00735EC2">
        <w:rPr>
          <w:rFonts w:asciiTheme="minorHAnsi" w:hAnsiTheme="minorHAnsi"/>
          <w:sz w:val="22"/>
          <w:szCs w:val="22"/>
        </w:rPr>
        <w:t xml:space="preserve">Copies of the proposed regulations may be obtained from the Department of Mental Health Legal Office, 25 Staniford Street, Boston, MA  02114, and may also be found on the Department’s Internet site at </w:t>
      </w:r>
      <w:hyperlink r:id="rId13" w:tgtFrame="_blank" w:history="1">
        <w:r w:rsidRPr="00735EC2">
          <w:rPr>
            <w:rStyle w:val="Hyperlink"/>
            <w:rFonts w:asciiTheme="minorHAnsi" w:hAnsiTheme="minorHAnsi"/>
            <w:sz w:val="22"/>
            <w:szCs w:val="22"/>
          </w:rPr>
          <w:t>http://www.mass.gov/eohhs/gov/laws-regs/dmh</w:t>
        </w:r>
      </w:hyperlink>
      <w:r w:rsidRPr="00735EC2">
        <w:rPr>
          <w:rFonts w:asciiTheme="minorHAnsi" w:hAnsiTheme="minorHAnsi"/>
          <w:color w:val="000000"/>
          <w:sz w:val="22"/>
          <w:szCs w:val="22"/>
        </w:rPr>
        <w:t>.</w:t>
      </w:r>
    </w:p>
    <w:p w:rsidR="00A915DD" w:rsidRPr="00735EC2" w:rsidRDefault="00A915DD" w:rsidP="00782E4D">
      <w:pPr>
        <w:ind w:left="270" w:right="-360"/>
        <w:jc w:val="both"/>
        <w:rPr>
          <w:rFonts w:asciiTheme="minorHAnsi" w:hAnsiTheme="minorHAnsi"/>
          <w:sz w:val="22"/>
          <w:szCs w:val="22"/>
        </w:rPr>
      </w:pPr>
    </w:p>
    <w:p w:rsidR="00A915DD" w:rsidRPr="00735EC2" w:rsidRDefault="00A915DD" w:rsidP="00782E4D">
      <w:pPr>
        <w:ind w:left="270" w:right="-360"/>
        <w:jc w:val="center"/>
        <w:rPr>
          <w:rFonts w:asciiTheme="minorHAnsi" w:hAnsiTheme="minorHAnsi"/>
          <w:sz w:val="22"/>
          <w:szCs w:val="22"/>
        </w:rPr>
      </w:pPr>
      <w:r w:rsidRPr="00735EC2">
        <w:rPr>
          <w:rFonts w:asciiTheme="minorHAnsi" w:hAnsiTheme="minorHAnsi"/>
          <w:sz w:val="22"/>
          <w:szCs w:val="22"/>
        </w:rPr>
        <w:t>By Order of the Department of Mental Health</w:t>
      </w:r>
    </w:p>
    <w:p w:rsidR="00A915DD" w:rsidRPr="00735EC2" w:rsidRDefault="00A915DD" w:rsidP="00782E4D">
      <w:pPr>
        <w:ind w:left="270" w:right="-360"/>
        <w:jc w:val="center"/>
        <w:rPr>
          <w:rFonts w:asciiTheme="minorHAnsi" w:hAnsiTheme="minorHAnsi"/>
          <w:sz w:val="22"/>
          <w:szCs w:val="22"/>
        </w:rPr>
      </w:pPr>
      <w:r w:rsidRPr="00735EC2">
        <w:rPr>
          <w:rFonts w:asciiTheme="minorHAnsi" w:hAnsiTheme="minorHAnsi"/>
          <w:sz w:val="22"/>
          <w:szCs w:val="22"/>
        </w:rPr>
        <w:t>Joan Mikula, Commissioner</w:t>
      </w:r>
    </w:p>
    <w:p w:rsidR="00B57A93" w:rsidRPr="00735EC2" w:rsidRDefault="00B57A93" w:rsidP="00782E4D">
      <w:pPr>
        <w:ind w:left="-360" w:right="-360"/>
        <w:jc w:val="center"/>
        <w:rPr>
          <w:rFonts w:asciiTheme="minorHAnsi" w:hAnsiTheme="minorHAnsi"/>
          <w:sz w:val="22"/>
          <w:szCs w:val="22"/>
        </w:rPr>
      </w:pPr>
      <w:r w:rsidRPr="00735EC2">
        <w:rPr>
          <w:rFonts w:asciiTheme="minorHAnsi" w:hAnsiTheme="minorHAnsi"/>
          <w:sz w:val="22"/>
          <w:szCs w:val="22"/>
        </w:rPr>
        <w:t>October 18, 2017</w:t>
      </w:r>
    </w:p>
    <w:sectPr w:rsidR="00B57A93" w:rsidRPr="00735EC2" w:rsidSect="00610DF8">
      <w:type w:val="continuous"/>
      <w:pgSz w:w="12240" w:h="15840"/>
      <w:pgMar w:top="1440" w:right="144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CA" w:rsidRDefault="00036DCA" w:rsidP="00EA5468">
      <w:r>
        <w:separator/>
      </w:r>
    </w:p>
  </w:endnote>
  <w:endnote w:type="continuationSeparator" w:id="0">
    <w:p w:rsidR="00036DCA" w:rsidRDefault="00036DCA"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CA" w:rsidRDefault="00036DCA" w:rsidP="00EA5468">
      <w:r>
        <w:separator/>
      </w:r>
    </w:p>
  </w:footnote>
  <w:footnote w:type="continuationSeparator" w:id="0">
    <w:p w:rsidR="00036DCA" w:rsidRDefault="00036DCA" w:rsidP="00EA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0A5B"/>
    <w:multiLevelType w:val="hybridMultilevel"/>
    <w:tmpl w:val="D3A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A5468"/>
    <w:rsid w:val="00036DCA"/>
    <w:rsid w:val="00071097"/>
    <w:rsid w:val="000E0A1B"/>
    <w:rsid w:val="00120E43"/>
    <w:rsid w:val="0020591E"/>
    <w:rsid w:val="002762DC"/>
    <w:rsid w:val="00294A89"/>
    <w:rsid w:val="00303ED1"/>
    <w:rsid w:val="00307293"/>
    <w:rsid w:val="003159FB"/>
    <w:rsid w:val="005566A2"/>
    <w:rsid w:val="005E5C87"/>
    <w:rsid w:val="005F5C81"/>
    <w:rsid w:val="00606912"/>
    <w:rsid w:val="00610DF8"/>
    <w:rsid w:val="00625F6C"/>
    <w:rsid w:val="00660F57"/>
    <w:rsid w:val="006C3FA5"/>
    <w:rsid w:val="006E7E67"/>
    <w:rsid w:val="00735EC2"/>
    <w:rsid w:val="00782E4D"/>
    <w:rsid w:val="007B3121"/>
    <w:rsid w:val="007F7106"/>
    <w:rsid w:val="008128C8"/>
    <w:rsid w:val="0084041C"/>
    <w:rsid w:val="009172B4"/>
    <w:rsid w:val="009A2311"/>
    <w:rsid w:val="009E1A18"/>
    <w:rsid w:val="009F07E8"/>
    <w:rsid w:val="00A839D4"/>
    <w:rsid w:val="00A915DD"/>
    <w:rsid w:val="00AE381E"/>
    <w:rsid w:val="00AF0D90"/>
    <w:rsid w:val="00B465D3"/>
    <w:rsid w:val="00B57A93"/>
    <w:rsid w:val="00C95EA5"/>
    <w:rsid w:val="00D01F0D"/>
    <w:rsid w:val="00D05B2C"/>
    <w:rsid w:val="00D14430"/>
    <w:rsid w:val="00D16DDB"/>
    <w:rsid w:val="00D33A7D"/>
    <w:rsid w:val="00D60910"/>
    <w:rsid w:val="00D9469F"/>
    <w:rsid w:val="00E470E9"/>
    <w:rsid w:val="00EA5468"/>
    <w:rsid w:val="00F22505"/>
    <w:rsid w:val="00F251FE"/>
    <w:rsid w:val="00F959F8"/>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468"/>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rsid w:val="00EA5468"/>
    <w:pPr>
      <w:tabs>
        <w:tab w:val="center" w:pos="4320"/>
        <w:tab w:val="right" w:pos="8640"/>
      </w:tabs>
    </w:pPr>
  </w:style>
  <w:style w:type="character" w:customStyle="1" w:styleId="FooterChar">
    <w:name w:val="Footer Char"/>
    <w:basedOn w:val="DefaultParagraphFont"/>
    <w:link w:val="Footer"/>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character" w:styleId="Hyperlink">
    <w:name w:val="Hyperlink"/>
    <w:basedOn w:val="DefaultParagraphFont"/>
    <w:uiPriority w:val="99"/>
    <w:unhideWhenUsed/>
    <w:rsid w:val="00A915DD"/>
    <w:rPr>
      <w:strike w:val="0"/>
      <w:dstrike w:val="0"/>
      <w:color w:val="0000FF"/>
      <w:u w:val="none"/>
      <w:effect w:val="none"/>
    </w:rPr>
  </w:style>
  <w:style w:type="paragraph" w:styleId="PlainText">
    <w:name w:val="Plain Text"/>
    <w:basedOn w:val="Normal"/>
    <w:link w:val="PlainTextChar"/>
    <w:uiPriority w:val="99"/>
    <w:unhideWhenUsed/>
    <w:rsid w:val="00B57A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57A93"/>
    <w:rPr>
      <w:rFonts w:ascii="Calibri" w:eastAsiaTheme="minorHAnsi" w:hAnsi="Calibri" w:cstheme="minorBidi"/>
      <w:sz w:val="22"/>
      <w:szCs w:val="21"/>
    </w:rPr>
  </w:style>
  <w:style w:type="paragraph" w:styleId="ListParagraph">
    <w:name w:val="List Paragraph"/>
    <w:basedOn w:val="Normal"/>
    <w:uiPriority w:val="34"/>
    <w:qFormat/>
    <w:rsid w:val="007F7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468"/>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rsid w:val="00EA5468"/>
    <w:pPr>
      <w:tabs>
        <w:tab w:val="center" w:pos="4320"/>
        <w:tab w:val="right" w:pos="8640"/>
      </w:tabs>
    </w:pPr>
  </w:style>
  <w:style w:type="character" w:customStyle="1" w:styleId="FooterChar">
    <w:name w:val="Footer Char"/>
    <w:basedOn w:val="DefaultParagraphFont"/>
    <w:link w:val="Footer"/>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character" w:styleId="Hyperlink">
    <w:name w:val="Hyperlink"/>
    <w:basedOn w:val="DefaultParagraphFont"/>
    <w:uiPriority w:val="99"/>
    <w:unhideWhenUsed/>
    <w:rsid w:val="00A915DD"/>
    <w:rPr>
      <w:strike w:val="0"/>
      <w:dstrike w:val="0"/>
      <w:color w:val="0000FF"/>
      <w:u w:val="none"/>
      <w:effect w:val="none"/>
    </w:rPr>
  </w:style>
  <w:style w:type="paragraph" w:styleId="PlainText">
    <w:name w:val="Plain Text"/>
    <w:basedOn w:val="Normal"/>
    <w:link w:val="PlainTextChar"/>
    <w:uiPriority w:val="99"/>
    <w:unhideWhenUsed/>
    <w:rsid w:val="00B57A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57A93"/>
    <w:rPr>
      <w:rFonts w:ascii="Calibri" w:eastAsiaTheme="minorHAnsi" w:hAnsi="Calibri" w:cstheme="minorBidi"/>
      <w:sz w:val="22"/>
      <w:szCs w:val="21"/>
    </w:rPr>
  </w:style>
  <w:style w:type="paragraph" w:styleId="ListParagraph">
    <w:name w:val="List Paragraph"/>
    <w:basedOn w:val="Normal"/>
    <w:uiPriority w:val="34"/>
    <w:qFormat/>
    <w:rsid w:val="007F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t=96ecakyab.0.0.rue4mocab.0&amp;id=preview&amp;r=3&amp;p=http%3A%2F%2Fwww.mass.gov%2Feohhs%2Fgov%2Flaws-regs%2Fdmh%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H-regulations@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files/documents/2017/10/27/104-cmr-28-00-licensing-redline-10-18-1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10/27/104-cmr-27-00-licensing-redline-10-18-17.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B0B6-7EA2-46E9-B818-14B80D6D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Avis (DMH)</dc:creator>
  <cp:lastModifiedBy> </cp:lastModifiedBy>
  <cp:revision>3</cp:revision>
  <cp:lastPrinted>2017-10-16T19:03:00Z</cp:lastPrinted>
  <dcterms:created xsi:type="dcterms:W3CDTF">2017-10-26T20:18:00Z</dcterms:created>
  <dcterms:modified xsi:type="dcterms:W3CDTF">2017-10-27T14:16:00Z</dcterms:modified>
</cp:coreProperties>
</file>