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F5" w:rsidRPr="00D85852" w:rsidRDefault="00D85852" w:rsidP="00B043F2">
      <w:pPr>
        <w:spacing w:after="0" w:line="240" w:lineRule="auto"/>
        <w:ind w:right="-234"/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-485775</wp:posOffset>
            </wp:positionV>
            <wp:extent cx="7734300" cy="1847850"/>
            <wp:effectExtent l="19050" t="0" r="0" b="0"/>
            <wp:wrapSquare wrapText="bothSides"/>
            <wp:docPr id="2" name="Picture 2" descr="C:\Users\Swets\AppData\Local\Microsoft\Windows\Temporary Internet Files\Content.IE5\UHOZDKAO\MRC_Masthea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ets\AppData\Local\Microsoft\Windows\Temporary Internet Files\Content.IE5\UHOZDKAO\MRC_Masthead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852" w:rsidRPr="00984AAC" w:rsidRDefault="007126B6" w:rsidP="00984AAC">
      <w:pPr>
        <w:spacing w:after="0" w:line="360" w:lineRule="auto"/>
        <w:ind w:left="-360" w:right="-230"/>
        <w:jc w:val="center"/>
        <w:rPr>
          <w:rStyle w:val="Strong"/>
          <w:rFonts w:ascii="Cambria" w:hAnsi="Cambria"/>
          <w:color w:val="244061" w:themeColor="accent1" w:themeShade="80"/>
          <w:sz w:val="40"/>
          <w:szCs w:val="40"/>
        </w:rPr>
      </w:pPr>
      <w:bookmarkStart w:id="0" w:name="_GoBack"/>
      <w:r>
        <w:rPr>
          <w:b/>
          <w:bCs/>
          <w:noProof/>
          <w:color w:val="403152" w:themeColor="accent4" w:themeShade="8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2pt;margin-top:22.25pt;width:573pt;height:.05pt;z-index:251659264" o:connectortype="straight" strokecolor="#365f91 [2404]" strokeweight="1.25pt"/>
        </w:pict>
      </w:r>
      <w:r w:rsidR="003028DC" w:rsidRPr="00984AAC">
        <w:rPr>
          <w:rFonts w:asciiTheme="majorHAnsi" w:hAnsiTheme="majorHAnsi"/>
          <w:b/>
          <w:color w:val="244061" w:themeColor="accent1" w:themeShade="80"/>
          <w:sz w:val="40"/>
          <w:szCs w:val="40"/>
        </w:rPr>
        <w:t>Competitive Integrated Employment Services</w:t>
      </w:r>
      <w:r w:rsidR="003028DC" w:rsidRPr="00984AAC">
        <w:rPr>
          <w:b/>
          <w:color w:val="244061" w:themeColor="accent1" w:themeShade="80"/>
          <w:sz w:val="40"/>
          <w:szCs w:val="40"/>
        </w:rPr>
        <w:t xml:space="preserve"> </w:t>
      </w:r>
      <w:r w:rsidR="009927FC" w:rsidRPr="00984AAC">
        <w:rPr>
          <w:rStyle w:val="Strong"/>
          <w:rFonts w:ascii="Cambria" w:hAnsi="Cambria"/>
          <w:color w:val="244061" w:themeColor="accent1" w:themeShade="80"/>
          <w:sz w:val="40"/>
          <w:szCs w:val="40"/>
        </w:rPr>
        <w:t>(</w:t>
      </w:r>
      <w:r w:rsidR="00ED787A" w:rsidRPr="00984AAC">
        <w:rPr>
          <w:rStyle w:val="Strong"/>
          <w:rFonts w:ascii="Cambria" w:hAnsi="Cambria"/>
          <w:color w:val="244061" w:themeColor="accent1" w:themeShade="80"/>
          <w:sz w:val="40"/>
          <w:szCs w:val="40"/>
        </w:rPr>
        <w:t>CIES</w:t>
      </w:r>
      <w:r w:rsidR="009927FC" w:rsidRPr="00984AAC">
        <w:rPr>
          <w:rStyle w:val="Strong"/>
          <w:rFonts w:ascii="Cambria" w:hAnsi="Cambria"/>
          <w:color w:val="244061" w:themeColor="accent1" w:themeShade="80"/>
          <w:sz w:val="40"/>
          <w:szCs w:val="40"/>
        </w:rPr>
        <w:t>)</w:t>
      </w:r>
      <w:r w:rsidR="00730CE7" w:rsidRPr="00984AAC">
        <w:rPr>
          <w:rStyle w:val="Strong"/>
          <w:rFonts w:ascii="Cambria" w:hAnsi="Cambria"/>
          <w:color w:val="244061" w:themeColor="accent1" w:themeShade="80"/>
          <w:sz w:val="40"/>
          <w:szCs w:val="40"/>
        </w:rPr>
        <w:t xml:space="preserve"> </w:t>
      </w:r>
      <w:r w:rsidR="008D0322" w:rsidRPr="00984AAC">
        <w:rPr>
          <w:rStyle w:val="Strong"/>
          <w:rFonts w:ascii="Cambria" w:hAnsi="Cambria"/>
          <w:color w:val="244061" w:themeColor="accent1" w:themeShade="80"/>
          <w:sz w:val="40"/>
          <w:szCs w:val="40"/>
        </w:rPr>
        <w:t>S</w:t>
      </w:r>
      <w:r w:rsidR="00730CE7" w:rsidRPr="00984AAC">
        <w:rPr>
          <w:rStyle w:val="Strong"/>
          <w:rFonts w:ascii="Cambria" w:hAnsi="Cambria"/>
          <w:color w:val="244061" w:themeColor="accent1" w:themeShade="80"/>
          <w:sz w:val="40"/>
          <w:szCs w:val="40"/>
        </w:rPr>
        <w:t>FY</w:t>
      </w:r>
      <w:r w:rsidR="00730CE7" w:rsidRPr="00984AAC">
        <w:rPr>
          <w:rFonts w:asciiTheme="majorHAnsi" w:hAnsiTheme="majorHAnsi"/>
          <w:b/>
          <w:color w:val="244061" w:themeColor="accent1" w:themeShade="80"/>
          <w:sz w:val="40"/>
          <w:szCs w:val="40"/>
        </w:rPr>
        <w:t>201</w:t>
      </w:r>
      <w:r w:rsidR="00513BDD">
        <w:rPr>
          <w:rFonts w:asciiTheme="majorHAnsi" w:hAnsiTheme="majorHAnsi"/>
          <w:b/>
          <w:color w:val="244061" w:themeColor="accent1" w:themeShade="80"/>
          <w:sz w:val="40"/>
          <w:szCs w:val="40"/>
        </w:rPr>
        <w:t>7</w:t>
      </w:r>
    </w:p>
    <w:bookmarkEnd w:id="0"/>
    <w:p w:rsidR="00DA3FF8" w:rsidRPr="005D3998" w:rsidRDefault="007126B6" w:rsidP="00DA3FF8">
      <w:pPr>
        <w:tabs>
          <w:tab w:val="left" w:pos="-450"/>
        </w:tabs>
        <w:spacing w:after="0"/>
        <w:ind w:left="-270" w:right="-90"/>
        <w:rPr>
          <w:rStyle w:val="Strong"/>
          <w:rFonts w:ascii="Cambria" w:hAnsi="Cambria"/>
          <w:color w:val="244061" w:themeColor="accent1" w:themeShade="80"/>
          <w:sz w:val="24"/>
          <w:szCs w:val="24"/>
        </w:rPr>
      </w:pPr>
      <w:r>
        <w:rPr>
          <w:rStyle w:val="Strong"/>
          <w:color w:val="403152" w:themeColor="accent4" w:themeShade="80"/>
          <w:lang w:eastAsia="zh-TW"/>
        </w:rPr>
        <w:pict>
          <v:rect id="_x0000_s1037" style="position:absolute;left:0;text-align:left;margin-left:404.5pt;margin-top:199.85pt;width:189.15pt;height:529.15pt;flip:x;z-index:251658240;mso-wrap-distance-top:7.2pt;mso-wrap-distance-bottom:7.2pt;mso-position-horizontal-relative:page;mso-position-vertical-relative:page;mso-height-relative:margin" o:allowincell="f" fillcolor="#dbe5f1 [660]" stroked="f" strokecolor="#548dd4 [1951]" strokeweight="1.5pt">
            <v:shadow color="#f79646 [3209]" opacity=".5" offset="-15pt,0" offset2="-18pt,12pt"/>
            <v:textbox style="mso-next-textbox:#_x0000_s1037" inset="21.6pt,7.2pt,14.4pt,7.2pt">
              <w:txbxContent>
                <w:p w:rsidR="00CA6D42" w:rsidRPr="005D3998" w:rsidRDefault="00CA6D42" w:rsidP="009B0311">
                  <w:pPr>
                    <w:tabs>
                      <w:tab w:val="left" w:pos="-450"/>
                    </w:tabs>
                    <w:spacing w:after="0"/>
                    <w:ind w:left="-180" w:right="-286"/>
                    <w:rPr>
                      <w:rFonts w:ascii="Cambria" w:hAnsi="Cambria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</w:pPr>
                  <w:r w:rsidRPr="005D3998">
                    <w:rPr>
                      <w:rFonts w:ascii="Cambria" w:hAnsi="Cambria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>Program Design</w:t>
                  </w:r>
                </w:p>
                <w:p w:rsidR="00CA6D42" w:rsidRPr="00E21574" w:rsidRDefault="00CA6D42" w:rsidP="009B0311">
                  <w:pPr>
                    <w:tabs>
                      <w:tab w:val="left" w:pos="-450"/>
                    </w:tabs>
                    <w:spacing w:after="0" w:line="240" w:lineRule="auto"/>
                    <w:ind w:left="-180" w:right="-286"/>
                    <w:contextualSpacing/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</w:pPr>
                  <w:r w:rsidRPr="00E21574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The CIES program </w:t>
                  </w:r>
                  <w:r w:rsidR="000C7F5A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is made up of </w:t>
                  </w:r>
                  <w:r w:rsidR="000C7F5A" w:rsidRPr="00E21574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six component services </w:t>
                  </w:r>
                  <w:r w:rsidR="000C7F5A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that assist consumers in</w:t>
                  </w:r>
                  <w:r w:rsidRPr="00E21574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0C7F5A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achieving </w:t>
                  </w:r>
                  <w:r w:rsidRPr="00E21574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competitive employment. Consumers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 enter or exit </w:t>
                  </w:r>
                  <w:r w:rsidR="000C7F5A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>component services based on need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. The </w:t>
                  </w:r>
                  <w:r w:rsidR="000C7F5A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key 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measures of success for the program are the number of </w:t>
                  </w:r>
                  <w:r w:rsidRPr="00E21574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consumers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 placed in jobs for 30 days or more, called Job Placements, and the number of </w:t>
                  </w:r>
                  <w:r w:rsidRPr="00E21574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consumers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 employed beyond 90 days, called Successful Employment Outcomes (SEOs).</w:t>
                  </w:r>
                </w:p>
                <w:p w:rsidR="00CA6D42" w:rsidRPr="00E21574" w:rsidRDefault="00CA6D42" w:rsidP="009B0311">
                  <w:pPr>
                    <w:tabs>
                      <w:tab w:val="left" w:pos="-450"/>
                    </w:tabs>
                    <w:spacing w:after="0" w:line="240" w:lineRule="auto"/>
                    <w:ind w:left="-180" w:right="-286"/>
                    <w:contextualSpacing/>
                    <w:rPr>
                      <w:rFonts w:asciiTheme="majorHAnsi" w:hAnsiTheme="majorHAnsi"/>
                      <w:color w:val="244061" w:themeColor="accent1" w:themeShade="80"/>
                      <w:sz w:val="16"/>
                      <w:szCs w:val="16"/>
                    </w:rPr>
                  </w:pPr>
                </w:p>
                <w:p w:rsidR="00CA6D42" w:rsidRPr="00E21574" w:rsidRDefault="00CA6D42" w:rsidP="009B0311">
                  <w:pPr>
                    <w:spacing w:after="0" w:line="240" w:lineRule="auto"/>
                    <w:ind w:left="-180" w:right="-286"/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</w:pP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The State contracts with Qualified Community Rehabilitation Providers (CRPs) to deliver </w:t>
                  </w:r>
                  <w:r w:rsidR="000C7F5A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the 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CIES services. Providers are paid on a performance basis during the initiation and completion phases of services. Using a data management and billing system called EIM (Enterprise Invoice Management), the </w:t>
                  </w:r>
                  <w:r w:rsidR="000C7F5A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MRC 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>CIES team tracks enrollm</w:t>
                  </w:r>
                  <w:r w:rsidR="0067349D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ent, expenditure, and outcomes. </w:t>
                  </w:r>
                  <w:r w:rsidRPr="00E21574">
                    <w:rPr>
                      <w:rFonts w:asciiTheme="majorHAnsi" w:hAnsiTheme="majorHAnsi"/>
                      <w:color w:val="244061" w:themeColor="accent1" w:themeShade="80"/>
                      <w:sz w:val="21"/>
                      <w:szCs w:val="21"/>
                    </w:rPr>
                    <w:t xml:space="preserve">Data from the EIM system allows detailed analysis of provider performance and program results. </w:t>
                  </w:r>
                </w:p>
                <w:p w:rsidR="00CA6D42" w:rsidRPr="00E21574" w:rsidRDefault="00CA6D42" w:rsidP="009B0311">
                  <w:pPr>
                    <w:spacing w:after="0" w:line="240" w:lineRule="auto"/>
                    <w:ind w:left="-180" w:right="-286"/>
                    <w:rPr>
                      <w:rFonts w:asciiTheme="majorHAnsi" w:hAnsiTheme="majorHAnsi"/>
                      <w:color w:val="244061" w:themeColor="accent1" w:themeShade="80"/>
                      <w:sz w:val="16"/>
                      <w:szCs w:val="16"/>
                    </w:rPr>
                  </w:pPr>
                </w:p>
                <w:p w:rsidR="00CA6D42" w:rsidRPr="00CF62FD" w:rsidRDefault="00CA6D42" w:rsidP="009B0311">
                  <w:pPr>
                    <w:spacing w:after="0" w:line="240" w:lineRule="auto"/>
                    <w:ind w:left="-180" w:right="-286"/>
                    <w:rPr>
                      <w:rFonts w:ascii="Cambria" w:hAnsi="Cambria"/>
                      <w:b/>
                      <w:color w:val="244061" w:themeColor="accent1" w:themeShade="80"/>
                      <w:sz w:val="21"/>
                      <w:szCs w:val="21"/>
                    </w:rPr>
                  </w:pPr>
                  <w:r w:rsidRPr="00CF62FD">
                    <w:rPr>
                      <w:rFonts w:ascii="Cambria" w:hAnsi="Cambria"/>
                      <w:b/>
                      <w:color w:val="244061" w:themeColor="accent1" w:themeShade="80"/>
                      <w:sz w:val="21"/>
                      <w:szCs w:val="21"/>
                    </w:rPr>
                    <w:t>High Level Results</w:t>
                  </w:r>
                </w:p>
                <w:p w:rsidR="00CA6D42" w:rsidRPr="009459DA" w:rsidRDefault="00CF62FD" w:rsidP="009B0311">
                  <w:pPr>
                    <w:spacing w:after="0" w:line="240" w:lineRule="auto"/>
                    <w:ind w:left="-180" w:right="-286"/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</w:pPr>
                  <w:r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MRC 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CIES providers have consistently expended about 60% of resources on </w:t>
                  </w:r>
                  <w:r w:rsidR="000C7F5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the 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Job Development and Placement</w:t>
                  </w:r>
                  <w:r w:rsidR="000C7F5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component</w:t>
                  </w:r>
                  <w:r w:rsidR="00652DDB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.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9459D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A total of 1,164</w:t>
                  </w:r>
                  <w:r w:rsidR="00F97C29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consumers placed in </w:t>
                  </w:r>
                  <w:r w:rsidR="00652DDB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a job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as a percentage of </w:t>
                  </w:r>
                  <w:r w:rsidR="000C7F5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all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0C7F5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consumers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served has steadily increased</w:t>
                  </w:r>
                  <w:r w:rsidR="00C97391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in recent years</w:t>
                  </w:r>
                  <w:r w:rsidR="009105D7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. 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In </w:t>
                  </w:r>
                  <w:r w:rsidR="00E94FA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S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FY</w:t>
                  </w:r>
                  <w:r w:rsidR="004752B9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7E081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201</w:t>
                  </w:r>
                  <w:r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7</w:t>
                  </w:r>
                  <w:r w:rsidR="00CA3389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,</w:t>
                  </w:r>
                  <w:r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84</w:t>
                  </w:r>
                  <w:r w:rsidR="009459D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%</w:t>
                  </w:r>
                  <w:r w:rsidR="00C97391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of all </w:t>
                  </w:r>
                  <w:r w:rsidR="004752B9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CIES </w:t>
                  </w:r>
                  <w:r w:rsidR="00C97391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placements, or </w:t>
                  </w:r>
                  <w:r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928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E94FA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individuals</w:t>
                  </w:r>
                  <w:r w:rsidR="00C97391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,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reached </w:t>
                  </w:r>
                  <w:r w:rsidR="00E94FA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successful 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employment</w:t>
                  </w:r>
                  <w:r w:rsidR="00BF0D8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outcomes</w:t>
                  </w:r>
                  <w:r w:rsidR="007E081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. These consumers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</w:t>
                  </w:r>
                  <w:r w:rsidR="007E081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achieved combined </w:t>
                  </w:r>
                  <w:r w:rsidR="00CA6D42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annual earnings of </w:t>
                  </w:r>
                  <w:r w:rsidR="007E0810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>approximately</w:t>
                  </w:r>
                  <w:r w:rsidR="009459DA" w:rsidRPr="00CF62FD">
                    <w:rPr>
                      <w:rFonts w:ascii="Cambria" w:hAnsi="Cambria"/>
                      <w:color w:val="244061" w:themeColor="accent1" w:themeShade="80"/>
                      <w:sz w:val="21"/>
                      <w:szCs w:val="21"/>
                    </w:rPr>
                    <w:t xml:space="preserve"> $10 million</w:t>
                  </w:r>
                </w:p>
              </w:txbxContent>
            </v:textbox>
            <w10:wrap type="square" anchorx="page" anchory="page"/>
          </v:rect>
        </w:pict>
      </w:r>
      <w:r w:rsidR="00DA3FF8" w:rsidRPr="005D3998">
        <w:rPr>
          <w:rStyle w:val="Strong"/>
          <w:rFonts w:ascii="Cambria" w:hAnsi="Cambria"/>
          <w:color w:val="244061" w:themeColor="accent1" w:themeShade="80"/>
          <w:sz w:val="24"/>
          <w:szCs w:val="24"/>
        </w:rPr>
        <w:t>Program Description</w:t>
      </w:r>
    </w:p>
    <w:p w:rsidR="005667FB" w:rsidRPr="00A47F35" w:rsidRDefault="00DA3FF8" w:rsidP="00A47F35">
      <w:pPr>
        <w:tabs>
          <w:tab w:val="left" w:pos="-450"/>
        </w:tabs>
        <w:spacing w:after="0" w:line="269" w:lineRule="auto"/>
        <w:ind w:left="-274" w:right="-86"/>
        <w:rPr>
          <w:rFonts w:asciiTheme="majorHAnsi" w:hAnsiTheme="majorHAnsi"/>
          <w:color w:val="0F243E" w:themeColor="text2" w:themeShade="80"/>
        </w:rPr>
      </w:pPr>
      <w:r w:rsidRPr="00A47F35">
        <w:rPr>
          <w:rFonts w:asciiTheme="majorHAnsi" w:hAnsiTheme="majorHAnsi" w:cs="Times New Roman"/>
          <w:color w:val="0F243E" w:themeColor="text2" w:themeShade="80"/>
        </w:rPr>
        <w:t xml:space="preserve">The </w:t>
      </w:r>
      <w:r w:rsidR="00A47F35" w:rsidRPr="00A47F35">
        <w:rPr>
          <w:rFonts w:asciiTheme="majorHAnsi" w:hAnsiTheme="majorHAnsi" w:cs="Times New Roman"/>
          <w:color w:val="0F243E" w:themeColor="text2" w:themeShade="80"/>
        </w:rPr>
        <w:t xml:space="preserve">MRC </w:t>
      </w:r>
      <w:r w:rsidRPr="00A47F35">
        <w:rPr>
          <w:rFonts w:asciiTheme="majorHAnsi" w:hAnsiTheme="majorHAnsi" w:cs="Times New Roman"/>
          <w:color w:val="0F243E" w:themeColor="text2" w:themeShade="80"/>
        </w:rPr>
        <w:t xml:space="preserve">Competitive Integrated Employment Services (CIES) </w:t>
      </w:r>
      <w:r w:rsidR="00D07757" w:rsidRPr="00A47F35">
        <w:rPr>
          <w:rFonts w:asciiTheme="majorHAnsi" w:hAnsiTheme="majorHAnsi" w:cs="Times New Roman"/>
          <w:color w:val="0F243E" w:themeColor="text2" w:themeShade="80"/>
        </w:rPr>
        <w:t xml:space="preserve">program </w:t>
      </w:r>
      <w:r w:rsidR="00706179" w:rsidRPr="00A47F35">
        <w:rPr>
          <w:rFonts w:asciiTheme="majorHAnsi" w:hAnsiTheme="majorHAnsi" w:cs="Arial"/>
          <w:color w:val="0F243E" w:themeColor="text2" w:themeShade="80"/>
        </w:rPr>
        <w:t xml:space="preserve">provides </w:t>
      </w:r>
      <w:r w:rsidR="00A47F35" w:rsidRPr="00A47F35">
        <w:rPr>
          <w:rFonts w:asciiTheme="majorHAnsi" w:hAnsiTheme="majorHAnsi" w:cs="Arial"/>
          <w:color w:val="0F243E" w:themeColor="text2" w:themeShade="80"/>
        </w:rPr>
        <w:t xml:space="preserve">assessment, skills training, job placement, </w:t>
      </w:r>
      <w:r w:rsidR="00CE2A49">
        <w:rPr>
          <w:rFonts w:asciiTheme="majorHAnsi" w:hAnsiTheme="majorHAnsi" w:cs="Arial"/>
          <w:color w:val="0F243E" w:themeColor="text2" w:themeShade="80"/>
        </w:rPr>
        <w:t xml:space="preserve">initial supports, interim supports, </w:t>
      </w:r>
      <w:r w:rsidR="00A47F35" w:rsidRPr="00A47F35">
        <w:rPr>
          <w:rFonts w:asciiTheme="majorHAnsi" w:hAnsiTheme="majorHAnsi" w:cs="Arial"/>
          <w:color w:val="0F243E" w:themeColor="text2" w:themeShade="80"/>
        </w:rPr>
        <w:t>and ongoing support services to assist consumers in their efforts to choose, obtain, and maintain competitive employment in an integrated work setting</w:t>
      </w:r>
      <w:r w:rsidRPr="00A47F35">
        <w:rPr>
          <w:rFonts w:asciiTheme="majorHAnsi" w:hAnsiTheme="majorHAnsi" w:cs="Arial"/>
          <w:color w:val="0F243E" w:themeColor="text2" w:themeShade="80"/>
        </w:rPr>
        <w:t xml:space="preserve">. </w:t>
      </w:r>
      <w:r w:rsidR="00A47F35" w:rsidRPr="00A47F35">
        <w:rPr>
          <w:rFonts w:asciiTheme="majorHAnsi" w:hAnsiTheme="majorHAnsi"/>
          <w:color w:val="0F243E" w:themeColor="text2" w:themeShade="80"/>
        </w:rPr>
        <w:t xml:space="preserve">Through the </w:t>
      </w:r>
      <w:r w:rsidR="000C7F5A">
        <w:rPr>
          <w:rFonts w:asciiTheme="majorHAnsi" w:hAnsiTheme="majorHAnsi"/>
          <w:color w:val="0F243E" w:themeColor="text2" w:themeShade="80"/>
        </w:rPr>
        <w:t xml:space="preserve">six </w:t>
      </w:r>
      <w:r w:rsidR="00A47F35">
        <w:rPr>
          <w:rFonts w:asciiTheme="majorHAnsi" w:hAnsiTheme="majorHAnsi"/>
          <w:color w:val="0F243E" w:themeColor="text2" w:themeShade="80"/>
        </w:rPr>
        <w:t>CIES</w:t>
      </w:r>
      <w:r w:rsidR="00A47F35" w:rsidRPr="00A47F35">
        <w:rPr>
          <w:rFonts w:asciiTheme="majorHAnsi" w:hAnsiTheme="majorHAnsi"/>
          <w:color w:val="0F243E" w:themeColor="text2" w:themeShade="80"/>
        </w:rPr>
        <w:t xml:space="preserve"> </w:t>
      </w:r>
      <w:r w:rsidR="0020643D">
        <w:rPr>
          <w:rFonts w:asciiTheme="majorHAnsi" w:hAnsiTheme="majorHAnsi"/>
          <w:color w:val="0F243E" w:themeColor="text2" w:themeShade="80"/>
        </w:rPr>
        <w:t xml:space="preserve">service </w:t>
      </w:r>
      <w:r w:rsidR="00A47F35" w:rsidRPr="00A47F35">
        <w:rPr>
          <w:rFonts w:asciiTheme="majorHAnsi" w:hAnsiTheme="majorHAnsi"/>
          <w:color w:val="0F243E" w:themeColor="text2" w:themeShade="80"/>
        </w:rPr>
        <w:t xml:space="preserve">components, consumers are able to receive the individualized services and supports they need to achieve and maintain successful employment opportunities throughout the Commonwealth of Massachusetts. </w:t>
      </w:r>
      <w:r w:rsidR="00D65CC3" w:rsidRPr="00A47F35">
        <w:rPr>
          <w:rFonts w:asciiTheme="majorHAnsi" w:hAnsiTheme="majorHAnsi"/>
          <w:color w:val="0F243E" w:themeColor="text2" w:themeShade="80"/>
        </w:rPr>
        <w:t>CIES s</w:t>
      </w:r>
      <w:r w:rsidR="004A7219" w:rsidRPr="00A47F35">
        <w:rPr>
          <w:rFonts w:asciiTheme="majorHAnsi" w:hAnsiTheme="majorHAnsi"/>
          <w:color w:val="0F243E" w:themeColor="text2" w:themeShade="80"/>
        </w:rPr>
        <w:t xml:space="preserve">ervices </w:t>
      </w:r>
      <w:r w:rsidR="001E16FA" w:rsidRPr="00A47F35">
        <w:rPr>
          <w:rFonts w:asciiTheme="majorHAnsi" w:hAnsiTheme="majorHAnsi"/>
          <w:color w:val="0F243E" w:themeColor="text2" w:themeShade="80"/>
        </w:rPr>
        <w:t>may</w:t>
      </w:r>
      <w:r w:rsidR="001A22F3" w:rsidRPr="00A47F35">
        <w:rPr>
          <w:rFonts w:asciiTheme="majorHAnsi" w:hAnsiTheme="majorHAnsi"/>
          <w:color w:val="0F243E" w:themeColor="text2" w:themeShade="80"/>
        </w:rPr>
        <w:t xml:space="preserve"> </w:t>
      </w:r>
      <w:r w:rsidR="004A7219" w:rsidRPr="00A47F35">
        <w:rPr>
          <w:rFonts w:asciiTheme="majorHAnsi" w:hAnsiTheme="majorHAnsi"/>
          <w:color w:val="0F243E" w:themeColor="text2" w:themeShade="80"/>
        </w:rPr>
        <w:t xml:space="preserve">carry over </w:t>
      </w:r>
      <w:r w:rsidR="00B44295" w:rsidRPr="00A47F35">
        <w:rPr>
          <w:rFonts w:asciiTheme="majorHAnsi" w:hAnsiTheme="majorHAnsi"/>
          <w:color w:val="0F243E" w:themeColor="text2" w:themeShade="80"/>
        </w:rPr>
        <w:t>from year to year</w:t>
      </w:r>
      <w:r w:rsidR="00223D29" w:rsidRPr="00A47F35">
        <w:rPr>
          <w:rFonts w:asciiTheme="majorHAnsi" w:hAnsiTheme="majorHAnsi"/>
          <w:color w:val="0F243E" w:themeColor="text2" w:themeShade="80"/>
        </w:rPr>
        <w:t>.</w:t>
      </w:r>
      <w:r w:rsidR="00C770A8" w:rsidRPr="00A47F35">
        <w:rPr>
          <w:rFonts w:asciiTheme="majorHAnsi" w:hAnsiTheme="majorHAnsi"/>
          <w:color w:val="0F243E" w:themeColor="text2" w:themeShade="80"/>
        </w:rPr>
        <w:t xml:space="preserve"> </w:t>
      </w:r>
    </w:p>
    <w:p w:rsidR="004752B9" w:rsidRPr="004752B9" w:rsidRDefault="004752B9" w:rsidP="00C770A8">
      <w:pPr>
        <w:tabs>
          <w:tab w:val="left" w:pos="-450"/>
        </w:tabs>
        <w:spacing w:after="120"/>
        <w:ind w:left="-274" w:right="-86"/>
        <w:rPr>
          <w:rFonts w:ascii="Cambria" w:hAnsi="Cambria"/>
          <w:color w:val="0F243E" w:themeColor="text2" w:themeShade="80"/>
          <w:sz w:val="2"/>
          <w:szCs w:val="2"/>
        </w:rPr>
      </w:pPr>
    </w:p>
    <w:p w:rsidR="00652DDB" w:rsidRPr="005D3998" w:rsidRDefault="005667FB" w:rsidP="00652DDB">
      <w:pPr>
        <w:tabs>
          <w:tab w:val="left" w:pos="-450"/>
        </w:tabs>
        <w:spacing w:after="0" w:line="240" w:lineRule="auto"/>
        <w:ind w:left="-274" w:right="-86"/>
        <w:rPr>
          <w:rFonts w:ascii="Cambria" w:hAnsi="Cambria"/>
          <w:b/>
          <w:bCs/>
          <w:color w:val="244061" w:themeColor="accent1" w:themeShade="80"/>
          <w:sz w:val="24"/>
          <w:szCs w:val="24"/>
        </w:rPr>
      </w:pPr>
      <w:r w:rsidRPr="005D3998">
        <w:rPr>
          <w:rFonts w:ascii="Cambria" w:hAnsi="Cambria"/>
          <w:b/>
          <w:bCs/>
          <w:color w:val="244061" w:themeColor="accent1" w:themeShade="80"/>
          <w:sz w:val="24"/>
          <w:szCs w:val="24"/>
        </w:rPr>
        <w:t>CIES Component</w:t>
      </w:r>
      <w:r w:rsidR="002319E5" w:rsidRPr="005D3998">
        <w:rPr>
          <w:rFonts w:ascii="Cambria" w:hAnsi="Cambria"/>
          <w:b/>
          <w:bCs/>
          <w:color w:val="244061" w:themeColor="accent1" w:themeShade="80"/>
          <w:sz w:val="24"/>
          <w:szCs w:val="24"/>
        </w:rPr>
        <w:t>s</w:t>
      </w:r>
      <w:r w:rsidR="00421268" w:rsidRPr="005D3998">
        <w:rPr>
          <w:rFonts w:ascii="Cambria" w:hAnsi="Cambria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C4734D" w:rsidRPr="001D687C" w:rsidRDefault="00C4734D" w:rsidP="00C4734D">
      <w:pPr>
        <w:tabs>
          <w:tab w:val="left" w:pos="-450"/>
        </w:tabs>
        <w:spacing w:after="0" w:line="240" w:lineRule="auto"/>
        <w:ind w:right="-86"/>
        <w:rPr>
          <w:rFonts w:ascii="Cambria" w:hAnsi="Cambria"/>
          <w:b/>
          <w:color w:val="244061" w:themeColor="accent1" w:themeShade="80"/>
          <w:sz w:val="8"/>
          <w:szCs w:val="8"/>
        </w:rPr>
      </w:pPr>
    </w:p>
    <w:p w:rsidR="00E82363" w:rsidRDefault="001D687C" w:rsidP="009B0311">
      <w:pPr>
        <w:tabs>
          <w:tab w:val="left" w:pos="-450"/>
        </w:tabs>
        <w:spacing w:after="0" w:line="240" w:lineRule="auto"/>
        <w:ind w:left="-274" w:right="-86" w:hanging="86"/>
        <w:rPr>
          <w:rFonts w:ascii="Cambria" w:hAnsi="Cambria"/>
          <w:b/>
          <w:color w:val="244061" w:themeColor="accent1" w:themeShade="80"/>
        </w:rPr>
      </w:pPr>
      <w:r>
        <w:rPr>
          <w:rFonts w:ascii="Cambria" w:hAnsi="Cambria"/>
          <w:b/>
          <w:noProof/>
          <w:color w:val="244061" w:themeColor="accent1" w:themeShade="80"/>
        </w:rPr>
        <w:drawing>
          <wp:inline distT="0" distB="0" distL="0" distR="0">
            <wp:extent cx="4923790" cy="1381125"/>
            <wp:effectExtent l="0" t="0" r="0" b="0"/>
            <wp:docPr id="26" name="Picture 26" descr="U:\CIES\CIES fact sheet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IES\CIES fact sheet\Pictur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34"/>
                    <a:stretch/>
                  </pic:blipFill>
                  <pic:spPr bwMode="auto">
                    <a:xfrm>
                      <a:off x="0" y="0"/>
                      <a:ext cx="4931421" cy="138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0E7" w:rsidRPr="00131251" w:rsidRDefault="006070E7" w:rsidP="00652DDB">
      <w:pPr>
        <w:tabs>
          <w:tab w:val="left" w:pos="-450"/>
        </w:tabs>
        <w:spacing w:after="0" w:line="240" w:lineRule="auto"/>
        <w:ind w:left="-274" w:right="-86"/>
        <w:rPr>
          <w:rFonts w:ascii="Cambria" w:hAnsi="Cambria"/>
          <w:b/>
          <w:color w:val="244061" w:themeColor="accent1" w:themeShade="80"/>
          <w:sz w:val="4"/>
          <w:szCs w:val="4"/>
        </w:rPr>
      </w:pPr>
    </w:p>
    <w:p w:rsidR="005667FB" w:rsidRPr="005D3998" w:rsidRDefault="00406F6D" w:rsidP="009B0311">
      <w:pPr>
        <w:tabs>
          <w:tab w:val="left" w:pos="-450"/>
        </w:tabs>
        <w:spacing w:after="0" w:line="240" w:lineRule="auto"/>
        <w:ind w:left="-270" w:right="-86"/>
        <w:rPr>
          <w:rFonts w:ascii="Cambria" w:hAnsi="Cambria"/>
          <w:b/>
          <w:bCs/>
          <w:color w:val="244061" w:themeColor="accent1" w:themeShade="80"/>
          <w:sz w:val="24"/>
          <w:szCs w:val="24"/>
        </w:rPr>
      </w:pP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CIES </w:t>
      </w:r>
      <w:r w:rsidR="00915224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Placements and Successful Employment Outcomes (SEO</w:t>
      </w:r>
      <w:r w:rsidR="00B213D9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s</w:t>
      </w:r>
      <w:r w:rsidR="00915224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)</w:t>
      </w:r>
    </w:p>
    <w:p w:rsidR="00915224" w:rsidRPr="009B2A6A" w:rsidRDefault="00915224" w:rsidP="00167F2B">
      <w:pPr>
        <w:spacing w:after="0" w:line="240" w:lineRule="auto"/>
        <w:ind w:left="-270"/>
        <w:rPr>
          <w:rFonts w:ascii="Cambria" w:hAnsi="Cambria"/>
          <w:b/>
          <w:color w:val="244061" w:themeColor="accent1" w:themeShade="80"/>
          <w:sz w:val="8"/>
          <w:szCs w:val="8"/>
        </w:rPr>
      </w:pPr>
    </w:p>
    <w:tbl>
      <w:tblPr>
        <w:tblStyle w:val="TableGrid"/>
        <w:tblW w:w="0" w:type="auto"/>
        <w:tblInd w:w="-162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268"/>
        <w:gridCol w:w="1260"/>
        <w:gridCol w:w="1260"/>
        <w:gridCol w:w="1143"/>
        <w:gridCol w:w="1190"/>
      </w:tblGrid>
      <w:tr w:rsidR="00E97505" w:rsidTr="009B0311">
        <w:trPr>
          <w:trHeight w:val="312"/>
        </w:trPr>
        <w:tc>
          <w:tcPr>
            <w:tcW w:w="22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:rsidR="00E97505" w:rsidRPr="0071558B" w:rsidRDefault="00E97505" w:rsidP="00E97505">
            <w:pPr>
              <w:jc w:val="center"/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</w:pPr>
            <w:r w:rsidRPr="0071558B"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>Outcome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:rsidR="00E97505" w:rsidRPr="0071558B" w:rsidRDefault="00E97505" w:rsidP="00E97505">
            <w:pPr>
              <w:jc w:val="center"/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 xml:space="preserve">SFY </w:t>
            </w:r>
            <w:r w:rsidR="00CF62FD"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:rsidR="00E97505" w:rsidRPr="0071558B" w:rsidRDefault="00E97505" w:rsidP="00E97505">
            <w:pPr>
              <w:jc w:val="center"/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 xml:space="preserve">SFY </w:t>
            </w:r>
            <w:r w:rsidR="00CF62FD"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>2015</w:t>
            </w:r>
          </w:p>
        </w:tc>
        <w:tc>
          <w:tcPr>
            <w:tcW w:w="11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:rsidR="00E97505" w:rsidRPr="0071558B" w:rsidRDefault="00E97505" w:rsidP="00E97505">
            <w:pPr>
              <w:jc w:val="center"/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 xml:space="preserve">SFY </w:t>
            </w:r>
            <w:r w:rsidR="00CF62FD"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>2016</w:t>
            </w:r>
          </w:p>
        </w:tc>
        <w:tc>
          <w:tcPr>
            <w:tcW w:w="11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:rsidR="00E97505" w:rsidRPr="0071558B" w:rsidRDefault="00E97505" w:rsidP="00E97505">
            <w:pPr>
              <w:jc w:val="center"/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 xml:space="preserve">SFY </w:t>
            </w:r>
            <w:r w:rsidRPr="0071558B"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>201</w:t>
            </w:r>
            <w:r w:rsidR="00CF62FD">
              <w:rPr>
                <w:rFonts w:ascii="Cambria" w:hAnsi="Cambria"/>
                <w:b/>
                <w:color w:val="0F243E" w:themeColor="text2" w:themeShade="80"/>
                <w:sz w:val="20"/>
                <w:szCs w:val="20"/>
              </w:rPr>
              <w:t>7</w:t>
            </w:r>
          </w:p>
        </w:tc>
      </w:tr>
      <w:tr w:rsidR="00F143F9" w:rsidRPr="00FF6471" w:rsidTr="009B0311">
        <w:trPr>
          <w:trHeight w:val="331"/>
        </w:trPr>
        <w:tc>
          <w:tcPr>
            <w:tcW w:w="22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71558B" w:rsidRDefault="00F143F9" w:rsidP="00F143F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1558B"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  <w:t>Total Served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B0797A" w:rsidRDefault="00CF62FD" w:rsidP="00F143F9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3,179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A42EE4" w:rsidRDefault="00CF62FD" w:rsidP="00F143F9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3,618</w:t>
            </w:r>
          </w:p>
        </w:tc>
        <w:tc>
          <w:tcPr>
            <w:tcW w:w="11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3C22A9" w:rsidRDefault="00CF62FD" w:rsidP="00F143F9">
            <w:pPr>
              <w:jc w:val="center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3,444</w:t>
            </w:r>
          </w:p>
        </w:tc>
        <w:tc>
          <w:tcPr>
            <w:tcW w:w="11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3C22A9" w:rsidRDefault="00CF62FD" w:rsidP="00F143F9">
            <w:pPr>
              <w:jc w:val="center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3,722</w:t>
            </w:r>
          </w:p>
        </w:tc>
      </w:tr>
      <w:tr w:rsidR="00F143F9" w:rsidRPr="00FF6471" w:rsidTr="009B0311">
        <w:trPr>
          <w:trHeight w:val="331"/>
        </w:trPr>
        <w:tc>
          <w:tcPr>
            <w:tcW w:w="22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71558B" w:rsidRDefault="00F143F9" w:rsidP="00F143F9">
            <w:pPr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</w:pPr>
            <w:r w:rsidRPr="0071558B"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  <w:t>Placements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B0797A" w:rsidRDefault="00CF62FD" w:rsidP="00F143F9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951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A42EE4" w:rsidRDefault="00CF62FD" w:rsidP="00F143F9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1,161</w:t>
            </w:r>
            <w:r w:rsidR="00F143F9" w:rsidRPr="00A42EE4"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3C22A9" w:rsidRDefault="00CF62FD" w:rsidP="00F143F9">
            <w:pPr>
              <w:jc w:val="center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1,164</w:t>
            </w:r>
          </w:p>
        </w:tc>
        <w:tc>
          <w:tcPr>
            <w:tcW w:w="11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143F9" w:rsidRPr="003C22A9" w:rsidRDefault="00CF62FD" w:rsidP="00F143F9">
            <w:pPr>
              <w:jc w:val="center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1,106</w:t>
            </w:r>
          </w:p>
        </w:tc>
      </w:tr>
      <w:tr w:rsidR="009459DA" w:rsidRPr="00FF6471" w:rsidTr="009B0311">
        <w:trPr>
          <w:trHeight w:val="331"/>
        </w:trPr>
        <w:tc>
          <w:tcPr>
            <w:tcW w:w="22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59DA" w:rsidRPr="0071558B" w:rsidRDefault="009459DA" w:rsidP="00F143F9">
            <w:pPr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</w:pPr>
            <w:r w:rsidRPr="0071558B"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  <w:t>SEOs</w:t>
            </w:r>
            <w:r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as % of P</w:t>
            </w:r>
            <w:r w:rsidRPr="00351A90"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l</w:t>
            </w: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a</w:t>
            </w:r>
            <w:r w:rsidRPr="00351A90"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c</w:t>
            </w: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e</w:t>
            </w:r>
            <w:r w:rsidRPr="00351A90"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m</w:t>
            </w: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ents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59DA" w:rsidRPr="00B0797A" w:rsidRDefault="00CF62FD" w:rsidP="00F143F9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81%</w:t>
            </w:r>
            <w:r w:rsidR="009459DA" w:rsidRPr="00B0797A"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59DA" w:rsidRPr="00A42EE4" w:rsidRDefault="00CF62FD" w:rsidP="00F143F9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77</w:t>
            </w:r>
            <w:r w:rsidR="009459DA" w:rsidRPr="00A42EE4"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 xml:space="preserve">% </w:t>
            </w:r>
          </w:p>
        </w:tc>
        <w:tc>
          <w:tcPr>
            <w:tcW w:w="11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59DA" w:rsidRPr="003C22A9" w:rsidRDefault="00CF62FD" w:rsidP="00F143F9">
            <w:pPr>
              <w:jc w:val="center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91%</w:t>
            </w:r>
          </w:p>
        </w:tc>
        <w:tc>
          <w:tcPr>
            <w:tcW w:w="11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459DA" w:rsidRDefault="00CF62FD" w:rsidP="00F143F9">
            <w:pPr>
              <w:jc w:val="center"/>
              <w:rPr>
                <w:rFonts w:asciiTheme="majorHAnsi" w:hAnsiTheme="majorHAnsi"/>
                <w:color w:val="1F497D" w:themeColor="text2"/>
                <w:sz w:val="18"/>
                <w:szCs w:val="18"/>
              </w:rPr>
            </w:pPr>
            <w:r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84</w:t>
            </w:r>
            <w:r w:rsidR="009459DA">
              <w:rPr>
                <w:rFonts w:asciiTheme="majorHAnsi" w:hAnsiTheme="majorHAnsi"/>
                <w:color w:val="1F497D" w:themeColor="text2"/>
                <w:sz w:val="18"/>
                <w:szCs w:val="18"/>
              </w:rPr>
              <w:t>%</w:t>
            </w:r>
          </w:p>
        </w:tc>
      </w:tr>
    </w:tbl>
    <w:p w:rsidR="004752B9" w:rsidRPr="004752B9" w:rsidRDefault="004752B9" w:rsidP="00896037">
      <w:pPr>
        <w:tabs>
          <w:tab w:val="left" w:pos="6030"/>
          <w:tab w:val="left" w:pos="6300"/>
          <w:tab w:val="left" w:pos="6480"/>
          <w:tab w:val="left" w:pos="6750"/>
          <w:tab w:val="left" w:pos="6840"/>
        </w:tabs>
        <w:spacing w:after="0" w:line="240" w:lineRule="auto"/>
        <w:ind w:right="4320"/>
        <w:contextualSpacing/>
        <w:rPr>
          <w:rFonts w:asciiTheme="majorHAnsi" w:hAnsiTheme="majorHAnsi" w:cstheme="minorHAnsi"/>
          <w:color w:val="244061" w:themeColor="accent1" w:themeShade="80"/>
          <w:sz w:val="8"/>
          <w:szCs w:val="8"/>
        </w:rPr>
      </w:pPr>
    </w:p>
    <w:p w:rsidR="00E21574" w:rsidRPr="009459DA" w:rsidRDefault="006070E7" w:rsidP="00896037">
      <w:pPr>
        <w:tabs>
          <w:tab w:val="left" w:pos="6030"/>
          <w:tab w:val="left" w:pos="6300"/>
          <w:tab w:val="left" w:pos="6480"/>
          <w:tab w:val="left" w:pos="6750"/>
          <w:tab w:val="left" w:pos="6840"/>
        </w:tabs>
        <w:spacing w:after="0" w:line="240" w:lineRule="auto"/>
        <w:ind w:left="-270" w:right="4320"/>
        <w:contextualSpacing/>
        <w:rPr>
          <w:rFonts w:asciiTheme="majorHAnsi" w:hAnsiTheme="majorHAnsi" w:cstheme="minorHAnsi"/>
          <w:color w:val="244061" w:themeColor="accent1" w:themeShade="80"/>
        </w:rPr>
      </w:pPr>
      <w:r w:rsidRPr="00CF62FD">
        <w:rPr>
          <w:rFonts w:asciiTheme="majorHAnsi" w:hAnsiTheme="majorHAnsi" w:cstheme="minorHAnsi"/>
          <w:color w:val="244061" w:themeColor="accent1" w:themeShade="80"/>
        </w:rPr>
        <w:t>T</w:t>
      </w:r>
      <w:r w:rsidR="00556D5D" w:rsidRPr="00CF62FD">
        <w:rPr>
          <w:rFonts w:asciiTheme="majorHAnsi" w:hAnsiTheme="majorHAnsi" w:cstheme="minorHAnsi"/>
          <w:color w:val="244061" w:themeColor="accent1" w:themeShade="80"/>
        </w:rPr>
        <w:t xml:space="preserve">he percentage of placements and successful employment outcomes </w:t>
      </w:r>
      <w:r w:rsidR="00AB36C5" w:rsidRPr="00CF62FD">
        <w:rPr>
          <w:rFonts w:asciiTheme="majorHAnsi" w:hAnsiTheme="majorHAnsi" w:cstheme="minorHAnsi"/>
          <w:color w:val="244061" w:themeColor="accent1" w:themeShade="80"/>
        </w:rPr>
        <w:t xml:space="preserve">(SEOs) </w:t>
      </w:r>
      <w:r w:rsidR="003C3D9C" w:rsidRPr="00CF62FD">
        <w:rPr>
          <w:rFonts w:asciiTheme="majorHAnsi" w:hAnsiTheme="majorHAnsi" w:cstheme="minorHAnsi"/>
          <w:color w:val="244061" w:themeColor="accent1" w:themeShade="80"/>
        </w:rPr>
        <w:t>as a percentage of</w:t>
      </w:r>
      <w:r w:rsidR="00556D5D" w:rsidRPr="00CF62FD">
        <w:rPr>
          <w:rFonts w:asciiTheme="majorHAnsi" w:hAnsiTheme="majorHAnsi" w:cstheme="minorHAnsi"/>
          <w:color w:val="244061" w:themeColor="accent1" w:themeShade="80"/>
        </w:rPr>
        <w:t xml:space="preserve"> </w:t>
      </w:r>
      <w:r w:rsidR="00E74BD4" w:rsidRPr="00CF62FD">
        <w:rPr>
          <w:rFonts w:asciiTheme="majorHAnsi" w:hAnsiTheme="majorHAnsi" w:cstheme="minorHAnsi"/>
          <w:color w:val="244061" w:themeColor="accent1" w:themeShade="80"/>
        </w:rPr>
        <w:t xml:space="preserve">the </w:t>
      </w:r>
      <w:r w:rsidR="00B1141B" w:rsidRPr="00CF62FD">
        <w:rPr>
          <w:rFonts w:asciiTheme="majorHAnsi" w:hAnsiTheme="majorHAnsi" w:cstheme="minorHAnsi"/>
          <w:color w:val="244061" w:themeColor="accent1" w:themeShade="80"/>
        </w:rPr>
        <w:t xml:space="preserve">total </w:t>
      </w:r>
      <w:r w:rsidR="003C3D9C" w:rsidRPr="00CF62FD">
        <w:rPr>
          <w:rFonts w:asciiTheme="majorHAnsi" w:hAnsiTheme="majorHAnsi" w:cstheme="minorHAnsi"/>
          <w:color w:val="244061" w:themeColor="accent1" w:themeShade="80"/>
        </w:rPr>
        <w:t xml:space="preserve">number of consumers </w:t>
      </w:r>
      <w:r w:rsidR="00B1141B" w:rsidRPr="00CF62FD">
        <w:rPr>
          <w:rFonts w:asciiTheme="majorHAnsi" w:hAnsiTheme="majorHAnsi" w:cstheme="minorHAnsi"/>
          <w:color w:val="244061" w:themeColor="accent1" w:themeShade="80"/>
        </w:rPr>
        <w:t xml:space="preserve">served </w:t>
      </w:r>
      <w:r w:rsidR="005C3742" w:rsidRPr="00CF62FD">
        <w:rPr>
          <w:rFonts w:asciiTheme="majorHAnsi" w:hAnsiTheme="majorHAnsi" w:cstheme="minorHAnsi"/>
          <w:color w:val="244061" w:themeColor="accent1" w:themeShade="80"/>
        </w:rPr>
        <w:t xml:space="preserve">has </w:t>
      </w:r>
      <w:r w:rsidR="009D4FA8" w:rsidRPr="00CF62FD">
        <w:rPr>
          <w:rFonts w:asciiTheme="majorHAnsi" w:hAnsiTheme="majorHAnsi" w:cstheme="minorHAnsi"/>
          <w:color w:val="244061" w:themeColor="accent1" w:themeShade="80"/>
        </w:rPr>
        <w:t>increased</w:t>
      </w:r>
      <w:r w:rsidR="00D61FBE" w:rsidRPr="00CF62FD">
        <w:rPr>
          <w:rFonts w:asciiTheme="majorHAnsi" w:hAnsiTheme="majorHAnsi" w:cstheme="minorHAnsi"/>
          <w:color w:val="244061" w:themeColor="accent1" w:themeShade="80"/>
        </w:rPr>
        <w:t xml:space="preserve"> overall</w:t>
      </w:r>
      <w:r w:rsidR="009D4FA8" w:rsidRPr="00CF62FD">
        <w:rPr>
          <w:rFonts w:asciiTheme="majorHAnsi" w:hAnsiTheme="majorHAnsi" w:cstheme="minorHAnsi"/>
          <w:color w:val="244061" w:themeColor="accent1" w:themeShade="80"/>
        </w:rPr>
        <w:t xml:space="preserve">, </w:t>
      </w:r>
      <w:r w:rsidR="00021343" w:rsidRPr="00CF62FD">
        <w:rPr>
          <w:rFonts w:asciiTheme="majorHAnsi" w:hAnsiTheme="majorHAnsi" w:cstheme="minorHAnsi"/>
          <w:color w:val="244061" w:themeColor="accent1" w:themeShade="80"/>
        </w:rPr>
        <w:t>demonstrating</w:t>
      </w:r>
      <w:r w:rsidR="009D4FA8" w:rsidRPr="00CF62FD">
        <w:rPr>
          <w:rFonts w:asciiTheme="majorHAnsi" w:hAnsiTheme="majorHAnsi" w:cstheme="minorHAnsi"/>
          <w:color w:val="244061" w:themeColor="accent1" w:themeShade="80"/>
        </w:rPr>
        <w:t xml:space="preserve"> </w:t>
      </w:r>
      <w:r w:rsidR="00021343" w:rsidRPr="00CF62FD">
        <w:rPr>
          <w:rFonts w:asciiTheme="majorHAnsi" w:hAnsiTheme="majorHAnsi" w:cstheme="minorHAnsi"/>
          <w:color w:val="244061" w:themeColor="accent1" w:themeShade="80"/>
        </w:rPr>
        <w:t>performance</w:t>
      </w:r>
      <w:r w:rsidR="00AB36C5" w:rsidRPr="00CF62FD">
        <w:rPr>
          <w:rFonts w:asciiTheme="majorHAnsi" w:hAnsiTheme="majorHAnsi" w:cstheme="minorHAnsi"/>
          <w:color w:val="244061" w:themeColor="accent1" w:themeShade="80"/>
        </w:rPr>
        <w:t xml:space="preserve"> gains</w:t>
      </w:r>
      <w:r w:rsidR="0071000C" w:rsidRPr="00CF62FD">
        <w:rPr>
          <w:rFonts w:asciiTheme="majorHAnsi" w:hAnsiTheme="majorHAnsi" w:cstheme="minorHAnsi"/>
          <w:color w:val="244061" w:themeColor="accent1" w:themeShade="80"/>
        </w:rPr>
        <w:t>.</w:t>
      </w:r>
      <w:r w:rsidR="00270ED1" w:rsidRPr="00CF62FD">
        <w:rPr>
          <w:rFonts w:asciiTheme="majorHAnsi" w:hAnsiTheme="majorHAnsi" w:cstheme="minorHAnsi"/>
          <w:color w:val="244061" w:themeColor="accent1" w:themeShade="80"/>
        </w:rPr>
        <w:t xml:space="preserve"> </w:t>
      </w:r>
      <w:r w:rsidR="00D61FBE" w:rsidRPr="00CF62FD">
        <w:rPr>
          <w:rFonts w:asciiTheme="majorHAnsi" w:hAnsiTheme="majorHAnsi" w:cstheme="minorHAnsi"/>
          <w:color w:val="244061" w:themeColor="accent1" w:themeShade="80"/>
        </w:rPr>
        <w:t>Between</w:t>
      </w:r>
      <w:r w:rsidR="005F708E" w:rsidRPr="00CF62FD">
        <w:rPr>
          <w:rFonts w:asciiTheme="majorHAnsi" w:hAnsiTheme="majorHAnsi" w:cstheme="minorHAnsi"/>
          <w:color w:val="244061" w:themeColor="accent1" w:themeShade="80"/>
        </w:rPr>
        <w:t xml:space="preserve"> </w:t>
      </w:r>
      <w:r w:rsidR="00CF62FD" w:rsidRPr="00CF62FD">
        <w:rPr>
          <w:rFonts w:asciiTheme="majorHAnsi" w:hAnsiTheme="majorHAnsi" w:cstheme="minorHAnsi"/>
          <w:color w:val="244061" w:themeColor="accent1" w:themeShade="80"/>
        </w:rPr>
        <w:t>FY</w:t>
      </w:r>
      <w:r w:rsidR="0067349D" w:rsidRPr="00CF62FD">
        <w:rPr>
          <w:rFonts w:asciiTheme="majorHAnsi" w:hAnsiTheme="majorHAnsi" w:cstheme="minorHAnsi"/>
          <w:color w:val="244061" w:themeColor="accent1" w:themeShade="80"/>
        </w:rPr>
        <w:t>20</w:t>
      </w:r>
      <w:r w:rsidR="005F708E" w:rsidRPr="00CF62FD">
        <w:rPr>
          <w:rFonts w:asciiTheme="majorHAnsi" w:hAnsiTheme="majorHAnsi" w:cstheme="minorHAnsi"/>
          <w:color w:val="244061" w:themeColor="accent1" w:themeShade="80"/>
        </w:rPr>
        <w:t>1</w:t>
      </w:r>
      <w:r w:rsidR="00CF62FD" w:rsidRPr="00CF62FD">
        <w:rPr>
          <w:rFonts w:asciiTheme="majorHAnsi" w:hAnsiTheme="majorHAnsi" w:cstheme="minorHAnsi"/>
          <w:color w:val="244061" w:themeColor="accent1" w:themeShade="80"/>
        </w:rPr>
        <w:t>4</w:t>
      </w:r>
      <w:r w:rsidR="0067349D" w:rsidRPr="00CF62FD">
        <w:rPr>
          <w:rFonts w:asciiTheme="majorHAnsi" w:hAnsiTheme="majorHAnsi" w:cstheme="minorHAnsi"/>
          <w:color w:val="244061" w:themeColor="accent1" w:themeShade="80"/>
        </w:rPr>
        <w:t xml:space="preserve"> and 20</w:t>
      </w:r>
      <w:r w:rsidR="00CF62FD" w:rsidRPr="00CF62FD">
        <w:rPr>
          <w:rFonts w:asciiTheme="majorHAnsi" w:hAnsiTheme="majorHAnsi" w:cstheme="minorHAnsi"/>
          <w:color w:val="244061" w:themeColor="accent1" w:themeShade="80"/>
        </w:rPr>
        <w:t>17 there was a 16</w:t>
      </w:r>
      <w:r w:rsidR="009459DA" w:rsidRPr="00CF62FD">
        <w:rPr>
          <w:rFonts w:asciiTheme="majorHAnsi" w:hAnsiTheme="majorHAnsi" w:cstheme="minorHAnsi"/>
          <w:color w:val="244061" w:themeColor="accent1" w:themeShade="80"/>
        </w:rPr>
        <w:t>% increase in</w:t>
      </w:r>
      <w:r w:rsidR="00B72F2A" w:rsidRPr="00CF62FD">
        <w:rPr>
          <w:rFonts w:asciiTheme="majorHAnsi" w:hAnsiTheme="majorHAnsi" w:cstheme="minorHAnsi"/>
          <w:color w:val="244061" w:themeColor="accent1" w:themeShade="80"/>
        </w:rPr>
        <w:t xml:space="preserve"> </w:t>
      </w:r>
      <w:r w:rsidR="00AB36C5" w:rsidRPr="00CF62FD">
        <w:rPr>
          <w:rFonts w:asciiTheme="majorHAnsi" w:hAnsiTheme="majorHAnsi" w:cstheme="minorHAnsi"/>
          <w:color w:val="244061" w:themeColor="accent1" w:themeShade="80"/>
        </w:rPr>
        <w:t xml:space="preserve">consumer </w:t>
      </w:r>
      <w:r w:rsidR="00B809E4" w:rsidRPr="00CF62FD">
        <w:rPr>
          <w:rFonts w:asciiTheme="majorHAnsi" w:hAnsiTheme="majorHAnsi" w:cstheme="minorHAnsi"/>
          <w:color w:val="244061" w:themeColor="accent1" w:themeShade="80"/>
        </w:rPr>
        <w:t>p</w:t>
      </w:r>
      <w:r w:rsidR="00261D06" w:rsidRPr="00CF62FD">
        <w:rPr>
          <w:rFonts w:asciiTheme="majorHAnsi" w:hAnsiTheme="majorHAnsi" w:cstheme="minorHAnsi"/>
          <w:color w:val="244061" w:themeColor="accent1" w:themeShade="80"/>
        </w:rPr>
        <w:t>lacements</w:t>
      </w:r>
      <w:r w:rsidR="0067349D" w:rsidRPr="00CF62FD">
        <w:rPr>
          <w:rFonts w:asciiTheme="majorHAnsi" w:hAnsiTheme="majorHAnsi" w:cstheme="minorHAnsi"/>
          <w:color w:val="244061" w:themeColor="accent1" w:themeShade="80"/>
        </w:rPr>
        <w:t xml:space="preserve"> </w:t>
      </w:r>
      <w:r w:rsidR="009459DA" w:rsidRPr="00CF62FD">
        <w:rPr>
          <w:rFonts w:asciiTheme="majorHAnsi" w:hAnsiTheme="majorHAnsi" w:cstheme="minorHAnsi"/>
          <w:color w:val="244061" w:themeColor="accent1" w:themeShade="80"/>
        </w:rPr>
        <w:t xml:space="preserve">which resulted </w:t>
      </w:r>
      <w:r w:rsidR="005F708E" w:rsidRPr="00CF62FD">
        <w:rPr>
          <w:rFonts w:asciiTheme="majorHAnsi" w:hAnsiTheme="majorHAnsi" w:cstheme="minorHAnsi"/>
          <w:color w:val="244061" w:themeColor="accent1" w:themeShade="80"/>
        </w:rPr>
        <w:t xml:space="preserve">in </w:t>
      </w:r>
      <w:r w:rsidR="00B809E4" w:rsidRPr="00CF62FD">
        <w:rPr>
          <w:rFonts w:asciiTheme="majorHAnsi" w:hAnsiTheme="majorHAnsi" w:cstheme="minorHAnsi"/>
          <w:color w:val="244061" w:themeColor="accent1" w:themeShade="80"/>
        </w:rPr>
        <w:t>s</w:t>
      </w:r>
      <w:r w:rsidR="0071000C" w:rsidRPr="00CF62FD">
        <w:rPr>
          <w:rFonts w:asciiTheme="majorHAnsi" w:hAnsiTheme="majorHAnsi" w:cstheme="minorHAnsi"/>
          <w:color w:val="244061" w:themeColor="accent1" w:themeShade="80"/>
        </w:rPr>
        <w:t xml:space="preserve">uccessful </w:t>
      </w:r>
      <w:r w:rsidR="00B809E4" w:rsidRPr="00CF62FD">
        <w:rPr>
          <w:rFonts w:asciiTheme="majorHAnsi" w:hAnsiTheme="majorHAnsi" w:cstheme="minorHAnsi"/>
          <w:color w:val="244061" w:themeColor="accent1" w:themeShade="80"/>
        </w:rPr>
        <w:t>e</w:t>
      </w:r>
      <w:r w:rsidR="0071000C" w:rsidRPr="00CF62FD">
        <w:rPr>
          <w:rFonts w:asciiTheme="majorHAnsi" w:hAnsiTheme="majorHAnsi" w:cstheme="minorHAnsi"/>
          <w:color w:val="244061" w:themeColor="accent1" w:themeShade="80"/>
        </w:rPr>
        <w:t xml:space="preserve">mployment </w:t>
      </w:r>
      <w:r w:rsidR="00B809E4" w:rsidRPr="00CF62FD">
        <w:rPr>
          <w:rFonts w:asciiTheme="majorHAnsi" w:hAnsiTheme="majorHAnsi" w:cstheme="minorHAnsi"/>
          <w:color w:val="244061" w:themeColor="accent1" w:themeShade="80"/>
        </w:rPr>
        <w:t>o</w:t>
      </w:r>
      <w:r w:rsidR="009459DA" w:rsidRPr="00CF62FD">
        <w:rPr>
          <w:rFonts w:asciiTheme="majorHAnsi" w:hAnsiTheme="majorHAnsi" w:cstheme="minorHAnsi"/>
          <w:color w:val="244061" w:themeColor="accent1" w:themeShade="80"/>
        </w:rPr>
        <w:t xml:space="preserve">utcomes. </w:t>
      </w:r>
      <w:r w:rsidR="0070719E" w:rsidRPr="00CF62FD">
        <w:rPr>
          <w:rFonts w:asciiTheme="majorHAnsi" w:hAnsiTheme="majorHAnsi" w:cstheme="minorHAnsi"/>
          <w:color w:val="244061" w:themeColor="accent1" w:themeShade="80"/>
        </w:rPr>
        <w:t xml:space="preserve">MRC also saw a </w:t>
      </w:r>
      <w:r w:rsidR="00CF62FD" w:rsidRPr="00CF62FD">
        <w:rPr>
          <w:rFonts w:asciiTheme="majorHAnsi" w:hAnsiTheme="majorHAnsi" w:cstheme="minorHAnsi"/>
          <w:color w:val="244061" w:themeColor="accent1" w:themeShade="80"/>
        </w:rPr>
        <w:t>21</w:t>
      </w:r>
      <w:r w:rsidR="00896037" w:rsidRPr="00CF62FD">
        <w:rPr>
          <w:rFonts w:asciiTheme="majorHAnsi" w:hAnsiTheme="majorHAnsi" w:cstheme="minorHAnsi"/>
          <w:color w:val="244061" w:themeColor="accent1" w:themeShade="80"/>
        </w:rPr>
        <w:t>% increase in su</w:t>
      </w:r>
      <w:r w:rsidR="00CF62FD" w:rsidRPr="00CF62FD">
        <w:rPr>
          <w:rFonts w:asciiTheme="majorHAnsi" w:hAnsiTheme="majorHAnsi" w:cstheme="minorHAnsi"/>
          <w:color w:val="244061" w:themeColor="accent1" w:themeShade="80"/>
        </w:rPr>
        <w:t>ccessful employment outcomes between FY2014 and FY2017.</w:t>
      </w:r>
    </w:p>
    <w:p w:rsidR="009459DA" w:rsidRPr="009459DA" w:rsidRDefault="009459DA" w:rsidP="009459DA">
      <w:pPr>
        <w:tabs>
          <w:tab w:val="left" w:pos="6030"/>
          <w:tab w:val="left" w:pos="6300"/>
          <w:tab w:val="left" w:pos="6480"/>
          <w:tab w:val="left" w:pos="6750"/>
          <w:tab w:val="left" w:pos="6840"/>
        </w:tabs>
        <w:spacing w:after="0" w:line="240" w:lineRule="auto"/>
        <w:ind w:left="-274" w:right="4320"/>
        <w:contextualSpacing/>
        <w:rPr>
          <w:rFonts w:ascii="Cambria" w:hAnsi="Cambria"/>
          <w:b/>
          <w:color w:val="244061" w:themeColor="accent1" w:themeShade="80"/>
          <w:sz w:val="24"/>
          <w:szCs w:val="24"/>
        </w:rPr>
      </w:pPr>
    </w:p>
    <w:p w:rsidR="00896037" w:rsidRPr="009459DA" w:rsidRDefault="00CF62FD" w:rsidP="009459DA">
      <w:pPr>
        <w:tabs>
          <w:tab w:val="left" w:pos="6030"/>
          <w:tab w:val="left" w:pos="6300"/>
          <w:tab w:val="left" w:pos="6480"/>
          <w:tab w:val="left" w:pos="6750"/>
          <w:tab w:val="left" w:pos="6840"/>
        </w:tabs>
        <w:spacing w:after="0" w:line="240" w:lineRule="auto"/>
        <w:ind w:left="-274" w:right="4320"/>
        <w:contextualSpacing/>
        <w:rPr>
          <w:rFonts w:ascii="Cambria" w:hAnsi="Cambria"/>
          <w:b/>
          <w:color w:val="244061" w:themeColor="accent1" w:themeShade="80"/>
        </w:rPr>
      </w:pPr>
      <w:r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SFY 2017 </w:t>
      </w:r>
      <w:r w:rsidR="009459DA" w:rsidRPr="009459DA">
        <w:rPr>
          <w:rFonts w:ascii="Cambria" w:hAnsi="Cambria"/>
          <w:b/>
          <w:color w:val="244061" w:themeColor="accent1" w:themeShade="80"/>
          <w:sz w:val="24"/>
          <w:szCs w:val="24"/>
        </w:rPr>
        <w:t>CIES Budget</w:t>
      </w:r>
    </w:p>
    <w:tbl>
      <w:tblPr>
        <w:tblStyle w:val="TableGridLight"/>
        <w:tblpPr w:leftFromText="180" w:rightFromText="180" w:vertAnchor="text" w:horzAnchor="margin" w:tblpX="-144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2430"/>
      </w:tblGrid>
      <w:tr w:rsidR="009B0311" w:rsidRPr="009459DA" w:rsidTr="009B0311">
        <w:trPr>
          <w:trHeight w:val="350"/>
        </w:trPr>
        <w:tc>
          <w:tcPr>
            <w:tcW w:w="460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9B0311" w:rsidRPr="009459DA" w:rsidRDefault="009B0311" w:rsidP="003C22A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244061" w:themeColor="accent1" w:themeShade="80"/>
                <w:sz w:val="20"/>
                <w:szCs w:val="20"/>
              </w:rPr>
            </w:pPr>
            <w:r w:rsidRPr="009459DA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>SFY 201</w:t>
            </w:r>
            <w:r w:rsidR="00CF62FD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>7</w:t>
            </w:r>
            <w:r w:rsidR="003C22A9" w:rsidRPr="009459DA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Pr="009459DA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 xml:space="preserve">CIES Budget  </w:t>
            </w:r>
            <w:r w:rsidRPr="009459DA">
              <w:rPr>
                <w:rFonts w:ascii="Cambria" w:hAnsi="Cambria"/>
                <w:color w:val="244061" w:themeColor="accent1" w:themeShade="80"/>
                <w:sz w:val="20"/>
                <w:szCs w:val="20"/>
              </w:rPr>
              <w:t>(total obligated)</w:t>
            </w:r>
          </w:p>
        </w:tc>
        <w:tc>
          <w:tcPr>
            <w:tcW w:w="24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B0311" w:rsidRPr="009459DA" w:rsidRDefault="009B0311" w:rsidP="009B031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365F91" w:themeColor="accent1" w:themeShade="BF"/>
              </w:rPr>
            </w:pPr>
            <w:r w:rsidRPr="009459DA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 xml:space="preserve">        </w:t>
            </w:r>
            <w:r w:rsidR="003C22A9" w:rsidRPr="009459DA">
              <w:rPr>
                <w:rFonts w:asciiTheme="majorHAnsi" w:hAnsiTheme="majorHAnsi"/>
                <w:color w:val="365F91" w:themeColor="accent1" w:themeShade="BF"/>
              </w:rPr>
              <w:t>$</w:t>
            </w:r>
            <w:r w:rsidR="00D9081B" w:rsidRPr="009459DA">
              <w:rPr>
                <w:rFonts w:asciiTheme="majorHAnsi" w:hAnsiTheme="majorHAnsi"/>
                <w:color w:val="365F91" w:themeColor="accent1" w:themeShade="BF"/>
              </w:rPr>
              <w:t>9</w:t>
            </w:r>
            <w:r w:rsidR="00CF62FD">
              <w:rPr>
                <w:rFonts w:asciiTheme="majorHAnsi" w:hAnsiTheme="majorHAnsi"/>
                <w:color w:val="365F91" w:themeColor="accent1" w:themeShade="BF"/>
              </w:rPr>
              <w:t>.29</w:t>
            </w:r>
            <w:r w:rsidR="00D9081B" w:rsidRPr="009459DA">
              <w:rPr>
                <w:rFonts w:asciiTheme="majorHAnsi" w:hAnsiTheme="majorHAnsi"/>
                <w:color w:val="365F91" w:themeColor="accent1" w:themeShade="BF"/>
              </w:rPr>
              <w:t xml:space="preserve"> </w:t>
            </w:r>
            <w:r w:rsidRPr="009459DA">
              <w:rPr>
                <w:rFonts w:asciiTheme="majorHAnsi" w:hAnsiTheme="majorHAnsi"/>
                <w:color w:val="365F91" w:themeColor="accent1" w:themeShade="BF"/>
              </w:rPr>
              <w:t>million</w:t>
            </w:r>
          </w:p>
        </w:tc>
      </w:tr>
      <w:tr w:rsidR="009B0311" w:rsidRPr="009459DA" w:rsidTr="009B0311">
        <w:trPr>
          <w:trHeight w:val="350"/>
        </w:trPr>
        <w:tc>
          <w:tcPr>
            <w:tcW w:w="460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9B0311" w:rsidRPr="009459DA" w:rsidRDefault="009B0311" w:rsidP="003670A5">
            <w:pPr>
              <w:rPr>
                <w:rFonts w:asciiTheme="majorHAnsi" w:hAnsiTheme="majorHAnsi"/>
                <w:b/>
                <w:color w:val="244061" w:themeColor="accent1" w:themeShade="80"/>
                <w:sz w:val="20"/>
                <w:szCs w:val="20"/>
              </w:rPr>
            </w:pPr>
            <w:r w:rsidRPr="009459DA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>SFY 201</w:t>
            </w:r>
            <w:r w:rsidR="00CF62FD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>7</w:t>
            </w:r>
            <w:r w:rsidRPr="009459DA">
              <w:rPr>
                <w:rFonts w:ascii="Cambria" w:hAnsi="Cambria"/>
                <w:b/>
                <w:color w:val="244061" w:themeColor="accent1" w:themeShade="80"/>
                <w:sz w:val="20"/>
                <w:szCs w:val="20"/>
              </w:rPr>
              <w:t xml:space="preserve"> CIES State Funded Ongoing Supports</w:t>
            </w:r>
          </w:p>
        </w:tc>
        <w:tc>
          <w:tcPr>
            <w:tcW w:w="24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B0311" w:rsidRPr="009459DA" w:rsidRDefault="009B0311" w:rsidP="009B0311">
            <w:pPr>
              <w:rPr>
                <w:rFonts w:asciiTheme="majorHAnsi" w:hAnsiTheme="majorHAnsi"/>
                <w:color w:val="365F91" w:themeColor="accent1" w:themeShade="BF"/>
              </w:rPr>
            </w:pPr>
            <w:r w:rsidRPr="009459DA">
              <w:rPr>
                <w:rFonts w:asciiTheme="majorHAnsi" w:hAnsiTheme="majorHAnsi"/>
                <w:b/>
                <w:color w:val="365F91" w:themeColor="accent1" w:themeShade="BF"/>
                <w:sz w:val="20"/>
                <w:szCs w:val="20"/>
              </w:rPr>
              <w:t xml:space="preserve">       </w:t>
            </w:r>
            <w:r w:rsidR="00F57856" w:rsidRPr="009459DA">
              <w:rPr>
                <w:rFonts w:asciiTheme="majorHAnsi" w:hAnsiTheme="majorHAnsi"/>
                <w:color w:val="365F91" w:themeColor="accent1" w:themeShade="BF"/>
              </w:rPr>
              <w:t>$</w:t>
            </w:r>
            <w:r w:rsidR="009459DA" w:rsidRPr="009459DA">
              <w:rPr>
                <w:rFonts w:asciiTheme="majorHAnsi" w:hAnsiTheme="majorHAnsi"/>
                <w:color w:val="365F91" w:themeColor="accent1" w:themeShade="BF"/>
              </w:rPr>
              <w:t>1.67</w:t>
            </w:r>
            <w:r w:rsidR="00F57856" w:rsidRPr="009459DA">
              <w:rPr>
                <w:rFonts w:asciiTheme="majorHAnsi" w:hAnsiTheme="majorHAnsi"/>
                <w:color w:val="365F91" w:themeColor="accent1" w:themeShade="BF"/>
              </w:rPr>
              <w:t xml:space="preserve"> </w:t>
            </w:r>
            <w:r w:rsidRPr="009459DA">
              <w:rPr>
                <w:rFonts w:asciiTheme="majorHAnsi" w:hAnsiTheme="majorHAnsi"/>
                <w:color w:val="365F91" w:themeColor="accent1" w:themeShade="BF"/>
              </w:rPr>
              <w:t>million</w:t>
            </w:r>
          </w:p>
        </w:tc>
      </w:tr>
    </w:tbl>
    <w:p w:rsidR="00B57443" w:rsidRPr="009459DA" w:rsidRDefault="006E5227" w:rsidP="009459DA">
      <w:pPr>
        <w:tabs>
          <w:tab w:val="left" w:pos="6030"/>
          <w:tab w:val="left" w:pos="6300"/>
          <w:tab w:val="left" w:pos="6480"/>
          <w:tab w:val="left" w:pos="6750"/>
          <w:tab w:val="left" w:pos="6840"/>
        </w:tabs>
        <w:spacing w:after="0" w:line="240" w:lineRule="auto"/>
        <w:ind w:left="-274" w:right="4320"/>
        <w:contextualSpacing/>
        <w:rPr>
          <w:rFonts w:ascii="Cambria" w:hAnsi="Cambria"/>
          <w:b/>
          <w:color w:val="244061" w:themeColor="accent1" w:themeShade="80"/>
          <w:sz w:val="4"/>
          <w:szCs w:val="4"/>
        </w:rPr>
      </w:pPr>
      <w:r w:rsidRPr="009459DA">
        <w:rPr>
          <w:rFonts w:ascii="Cambria" w:hAnsi="Cambria"/>
          <w:b/>
          <w:color w:val="244061" w:themeColor="accent1" w:themeShade="80"/>
        </w:rPr>
        <w:t xml:space="preserve"> </w:t>
      </w:r>
    </w:p>
    <w:p w:rsidR="00CF62FD" w:rsidRDefault="00CF62FD" w:rsidP="0070719E">
      <w:pPr>
        <w:tabs>
          <w:tab w:val="left" w:pos="-450"/>
        </w:tabs>
        <w:spacing w:after="0" w:line="240" w:lineRule="auto"/>
        <w:ind w:left="-90" w:right="-86"/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</w:pPr>
    </w:p>
    <w:p w:rsidR="00CF62FD" w:rsidRDefault="00CF62FD" w:rsidP="0070719E">
      <w:pPr>
        <w:tabs>
          <w:tab w:val="left" w:pos="-450"/>
        </w:tabs>
        <w:spacing w:after="0" w:line="240" w:lineRule="auto"/>
        <w:ind w:left="-90" w:right="-86"/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</w:pPr>
    </w:p>
    <w:p w:rsidR="007530F5" w:rsidRPr="005D3998" w:rsidRDefault="0070719E" w:rsidP="0070719E">
      <w:pPr>
        <w:tabs>
          <w:tab w:val="left" w:pos="-450"/>
        </w:tabs>
        <w:spacing w:after="0" w:line="240" w:lineRule="auto"/>
        <w:ind w:left="-90" w:right="-86"/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</w:pPr>
      <w:r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C</w:t>
      </w:r>
      <w:r w:rsidR="00CF62FD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IES</w:t>
      </w:r>
      <w:r w:rsidR="006511E0" w:rsidRPr="007F6642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 xml:space="preserve"> </w:t>
      </w:r>
      <w:r w:rsidR="007530F5" w:rsidRPr="007F6642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Job Placement</w:t>
      </w:r>
      <w:r w:rsidR="006511E0" w:rsidRPr="007F6642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s</w:t>
      </w:r>
      <w:r w:rsidR="007530F5" w:rsidRPr="007F6642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 xml:space="preserve"> by</w:t>
      </w:r>
      <w:r w:rsidR="007530F5" w:rsidRPr="007F6642">
        <w:rPr>
          <w:rFonts w:asciiTheme="majorHAnsi" w:hAnsiTheme="majorHAnsi" w:cs="Arial"/>
          <w:b/>
          <w:color w:val="244061" w:themeColor="accent1" w:themeShade="80"/>
          <w:sz w:val="24"/>
          <w:szCs w:val="24"/>
        </w:rPr>
        <w:t xml:space="preserve"> </w:t>
      </w:r>
      <w:r w:rsidR="007515F6" w:rsidRPr="007F6642">
        <w:rPr>
          <w:rFonts w:asciiTheme="majorHAnsi" w:hAnsiTheme="majorHAnsi" w:cs="Arial"/>
          <w:b/>
          <w:color w:val="244061" w:themeColor="accent1" w:themeShade="80"/>
          <w:sz w:val="24"/>
          <w:szCs w:val="24"/>
        </w:rPr>
        <w:t xml:space="preserve">the </w:t>
      </w:r>
      <w:r w:rsidR="007530F5" w:rsidRPr="007F6642">
        <w:rPr>
          <w:rFonts w:asciiTheme="majorHAnsi" w:hAnsiTheme="majorHAnsi" w:cs="Arial"/>
          <w:b/>
          <w:color w:val="244061" w:themeColor="accent1" w:themeShade="80"/>
          <w:sz w:val="24"/>
          <w:szCs w:val="24"/>
        </w:rPr>
        <w:t>North American Industry Classification System</w:t>
      </w:r>
      <w:r w:rsidR="007530F5" w:rsidRPr="007F6642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="007530F5" w:rsidRPr="007F6642">
        <w:rPr>
          <w:rFonts w:asciiTheme="majorHAnsi" w:hAnsiTheme="majorHAnsi" w:cs="Arial"/>
          <w:b/>
          <w:color w:val="244061" w:themeColor="accent1" w:themeShade="80"/>
          <w:sz w:val="24"/>
          <w:szCs w:val="24"/>
        </w:rPr>
        <w:t>(</w:t>
      </w:r>
      <w:r w:rsidR="00CE2A49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NAI</w:t>
      </w:r>
      <w:r w:rsidR="007530F5" w:rsidRPr="007F6642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C</w:t>
      </w:r>
      <w:r w:rsidR="00CE2A49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S</w:t>
      </w:r>
      <w:r w:rsidR="007530F5" w:rsidRPr="007F6642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>)</w:t>
      </w:r>
      <w:r w:rsidR="007530F5" w:rsidRPr="005D3998">
        <w:rPr>
          <w:rFonts w:asciiTheme="majorHAnsi" w:hAnsiTheme="majorHAnsi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7530F5" w:rsidRPr="00B754B7" w:rsidRDefault="007530F5" w:rsidP="007530F5">
      <w:pPr>
        <w:tabs>
          <w:tab w:val="left" w:pos="-450"/>
        </w:tabs>
        <w:spacing w:after="0" w:line="240" w:lineRule="auto"/>
        <w:ind w:left="-86" w:right="-86"/>
        <w:rPr>
          <w:rFonts w:asciiTheme="majorHAnsi" w:hAnsiTheme="majorHAnsi"/>
          <w:b/>
          <w:bCs/>
          <w:color w:val="0F243E" w:themeColor="text2" w:themeShade="80"/>
          <w:sz w:val="8"/>
          <w:szCs w:val="8"/>
        </w:rPr>
      </w:pPr>
    </w:p>
    <w:p w:rsidR="007530F5" w:rsidRPr="00B05E6F" w:rsidRDefault="0046183E" w:rsidP="00DF22F7">
      <w:pPr>
        <w:spacing w:after="0" w:line="240" w:lineRule="auto"/>
        <w:ind w:left="-86"/>
        <w:contextualSpacing/>
        <w:rPr>
          <w:rFonts w:asciiTheme="majorHAnsi" w:hAnsiTheme="majorHAnsi"/>
          <w:color w:val="244061" w:themeColor="accent1" w:themeShade="80"/>
          <w:sz w:val="20"/>
          <w:szCs w:val="20"/>
        </w:rPr>
      </w:pPr>
      <w:r w:rsidRPr="00B05E6F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CIES consumers are placed in a wide variety of </w:t>
      </w:r>
      <w:r w:rsidR="00940169" w:rsidRPr="00B05E6F">
        <w:rPr>
          <w:rFonts w:asciiTheme="majorHAnsi" w:hAnsiTheme="majorHAnsi"/>
          <w:color w:val="244061" w:themeColor="accent1" w:themeShade="80"/>
          <w:sz w:val="20"/>
          <w:szCs w:val="20"/>
        </w:rPr>
        <w:t>occupations</w:t>
      </w:r>
      <w:r w:rsidRPr="00B05E6F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 across </w:t>
      </w:r>
      <w:r w:rsidR="00CA6D42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Massachusetts. </w:t>
      </w:r>
      <w:r w:rsidRPr="00CA3389">
        <w:rPr>
          <w:rFonts w:asciiTheme="majorHAnsi" w:hAnsiTheme="majorHAnsi"/>
          <w:color w:val="244061" w:themeColor="accent1" w:themeShade="80"/>
          <w:sz w:val="20"/>
          <w:szCs w:val="20"/>
        </w:rPr>
        <w:t>Retail T</w:t>
      </w:r>
      <w:r w:rsidR="007530F5" w:rsidRPr="00CA3389">
        <w:rPr>
          <w:rFonts w:asciiTheme="majorHAnsi" w:hAnsiTheme="majorHAnsi"/>
          <w:color w:val="244061" w:themeColor="accent1" w:themeShade="80"/>
          <w:sz w:val="20"/>
          <w:szCs w:val="20"/>
        </w:rPr>
        <w:t>rade</w:t>
      </w:r>
      <w:r w:rsidR="006511E0">
        <w:rPr>
          <w:rFonts w:asciiTheme="majorHAnsi" w:hAnsiTheme="majorHAnsi"/>
          <w:color w:val="244061" w:themeColor="accent1" w:themeShade="80"/>
          <w:sz w:val="20"/>
          <w:szCs w:val="20"/>
        </w:rPr>
        <w:t>, followed</w:t>
      </w:r>
      <w:r w:rsidR="007530F5" w:rsidRPr="00CA3389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 </w:t>
      </w:r>
      <w:r w:rsidR="006511E0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by </w:t>
      </w:r>
      <w:r w:rsidR="007530F5" w:rsidRPr="00CA3389">
        <w:rPr>
          <w:rFonts w:asciiTheme="majorHAnsi" w:hAnsiTheme="majorHAnsi"/>
          <w:color w:val="244061" w:themeColor="accent1" w:themeShade="80"/>
          <w:sz w:val="20"/>
          <w:szCs w:val="20"/>
        </w:rPr>
        <w:t>Accommodation &amp;</w:t>
      </w:r>
      <w:r w:rsidR="00EA59B1" w:rsidRPr="00CA3389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 </w:t>
      </w:r>
      <w:r w:rsidR="007530F5" w:rsidRPr="00CA3389">
        <w:rPr>
          <w:rFonts w:asciiTheme="majorHAnsi" w:hAnsiTheme="majorHAnsi"/>
          <w:color w:val="244061" w:themeColor="accent1" w:themeShade="80"/>
          <w:sz w:val="20"/>
          <w:szCs w:val="20"/>
        </w:rPr>
        <w:t>Food Services</w:t>
      </w:r>
      <w:r w:rsidR="007F6642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, and Health Care </w:t>
      </w:r>
      <w:r w:rsidR="007530F5" w:rsidRPr="00CA3389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topped the </w:t>
      </w:r>
      <w:r w:rsidR="007F6642">
        <w:rPr>
          <w:rFonts w:asciiTheme="majorHAnsi" w:hAnsiTheme="majorHAnsi"/>
          <w:color w:val="244061" w:themeColor="accent1" w:themeShade="80"/>
          <w:sz w:val="20"/>
          <w:szCs w:val="20"/>
        </w:rPr>
        <w:t xml:space="preserve">list of industries/occupations where CIES consumers </w:t>
      </w:r>
      <w:r w:rsidR="007530F5" w:rsidRPr="00B05E6F">
        <w:rPr>
          <w:rFonts w:asciiTheme="majorHAnsi" w:hAnsiTheme="majorHAnsi"/>
          <w:color w:val="244061" w:themeColor="accent1" w:themeShade="80"/>
          <w:sz w:val="20"/>
          <w:szCs w:val="20"/>
        </w:rPr>
        <w:t>were placed</w:t>
      </w:r>
      <w:r w:rsidR="007530F5" w:rsidRPr="004142D9">
        <w:rPr>
          <w:rFonts w:asciiTheme="majorHAnsi" w:hAnsiTheme="majorHAnsi"/>
          <w:color w:val="244061" w:themeColor="accent1" w:themeShade="80"/>
          <w:sz w:val="20"/>
          <w:szCs w:val="20"/>
        </w:rPr>
        <w:t>.</w:t>
      </w:r>
    </w:p>
    <w:p w:rsidR="00DF22F7" w:rsidRPr="00DF22F7" w:rsidRDefault="00DF22F7" w:rsidP="00DF22F7">
      <w:pPr>
        <w:spacing w:after="120" w:line="240" w:lineRule="auto"/>
        <w:ind w:left="-86"/>
        <w:contextualSpacing/>
        <w:rPr>
          <w:rStyle w:val="Strong"/>
          <w:rFonts w:asciiTheme="majorHAnsi" w:hAnsiTheme="majorHAnsi"/>
          <w:b w:val="0"/>
          <w:bCs w:val="0"/>
          <w:color w:val="365F91" w:themeColor="accent1" w:themeShade="BF"/>
          <w:sz w:val="6"/>
          <w:szCs w:val="6"/>
        </w:rPr>
      </w:pPr>
    </w:p>
    <w:p w:rsidR="003E5138" w:rsidRPr="0046183E" w:rsidRDefault="007F6642" w:rsidP="00F02A10">
      <w:pPr>
        <w:tabs>
          <w:tab w:val="left" w:pos="-450"/>
        </w:tabs>
        <w:spacing w:after="0"/>
        <w:ind w:left="450"/>
        <w:rPr>
          <w:b/>
          <w:bCs/>
          <w:color w:val="403152" w:themeColor="accent4" w:themeShade="80"/>
          <w:sz w:val="24"/>
          <w:szCs w:val="24"/>
        </w:rPr>
      </w:pPr>
      <w:r w:rsidRPr="003E5138">
        <w:rPr>
          <w:b/>
          <w:bCs/>
          <w:noProof/>
          <w:color w:val="403152" w:themeColor="accent4" w:themeShade="80"/>
          <w:sz w:val="24"/>
          <w:szCs w:val="24"/>
        </w:rPr>
        <w:drawing>
          <wp:inline distT="0" distB="0" distL="0" distR="0" wp14:anchorId="37497669" wp14:editId="185058CA">
            <wp:extent cx="6470650" cy="26574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163E" w:rsidRPr="005F163E" w:rsidRDefault="005F163E" w:rsidP="00B754B7">
      <w:pPr>
        <w:spacing w:after="0" w:line="240" w:lineRule="auto"/>
        <w:ind w:left="-90" w:right="90"/>
        <w:rPr>
          <w:rFonts w:ascii="Cambria" w:hAnsi="Cambria"/>
          <w:b/>
          <w:color w:val="244061" w:themeColor="accent1" w:themeShade="80"/>
          <w:sz w:val="6"/>
          <w:szCs w:val="6"/>
        </w:rPr>
      </w:pPr>
    </w:p>
    <w:p w:rsidR="0020586D" w:rsidRPr="00E11FE2" w:rsidRDefault="0020586D" w:rsidP="00B754B7">
      <w:pPr>
        <w:spacing w:after="0" w:line="240" w:lineRule="auto"/>
        <w:ind w:left="-90" w:right="90"/>
        <w:rPr>
          <w:rFonts w:ascii="Cambria" w:hAnsi="Cambria"/>
          <w:b/>
          <w:color w:val="244061" w:themeColor="accent1" w:themeShade="80"/>
        </w:rPr>
      </w:pP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CIES Wage</w:t>
      </w:r>
      <w:r w:rsidR="00A4382E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 Outcomes</w:t>
      </w:r>
      <w:r w:rsidR="00A4382E" w:rsidRPr="00E11FE2">
        <w:rPr>
          <w:rFonts w:ascii="Cambria" w:hAnsi="Cambria"/>
          <w:b/>
          <w:color w:val="244061" w:themeColor="accent1" w:themeShade="80"/>
        </w:rPr>
        <w:t xml:space="preserve"> </w:t>
      </w:r>
      <w:r w:rsidR="004D1020" w:rsidRPr="00CE2A49">
        <w:rPr>
          <w:rFonts w:ascii="Cambria" w:hAnsi="Cambria"/>
          <w:b/>
          <w:color w:val="244061" w:themeColor="accent1" w:themeShade="80"/>
        </w:rPr>
        <w:t>(</w:t>
      </w:r>
      <w:r w:rsidR="0067349D" w:rsidRPr="00CE2A49">
        <w:rPr>
          <w:rFonts w:ascii="Cambria" w:hAnsi="Cambria"/>
          <w:b/>
          <w:color w:val="244061" w:themeColor="accent1" w:themeShade="80"/>
        </w:rPr>
        <w:t>S</w:t>
      </w:r>
      <w:r w:rsidR="00A4382E" w:rsidRPr="00CE2A49">
        <w:rPr>
          <w:rFonts w:ascii="Cambria" w:hAnsi="Cambria"/>
          <w:b/>
          <w:color w:val="244061" w:themeColor="accent1" w:themeShade="80"/>
        </w:rPr>
        <w:t>FY</w:t>
      </w:r>
      <w:r w:rsidR="0067349D" w:rsidRPr="00CE2A49">
        <w:rPr>
          <w:rFonts w:ascii="Cambria" w:hAnsi="Cambria"/>
          <w:b/>
          <w:color w:val="244061" w:themeColor="accent1" w:themeShade="80"/>
        </w:rPr>
        <w:t xml:space="preserve"> </w:t>
      </w:r>
      <w:r w:rsidR="00A4382E" w:rsidRPr="00CE2A49">
        <w:rPr>
          <w:rFonts w:ascii="Cambria" w:hAnsi="Cambria"/>
          <w:b/>
          <w:color w:val="244061" w:themeColor="accent1" w:themeShade="80"/>
        </w:rPr>
        <w:t>201</w:t>
      </w:r>
      <w:r w:rsidR="00CF62FD">
        <w:rPr>
          <w:rFonts w:ascii="Cambria" w:hAnsi="Cambria"/>
          <w:b/>
          <w:color w:val="244061" w:themeColor="accent1" w:themeShade="80"/>
        </w:rPr>
        <w:t>7</w:t>
      </w:r>
      <w:r w:rsidR="004D1020" w:rsidRPr="00CE2A49">
        <w:rPr>
          <w:rFonts w:ascii="Cambria" w:hAnsi="Cambria"/>
          <w:b/>
          <w:color w:val="244061" w:themeColor="accent1" w:themeShade="80"/>
        </w:rPr>
        <w:t>)</w:t>
      </w:r>
      <w:r w:rsidR="00BC7E93">
        <w:rPr>
          <w:rFonts w:ascii="Cambria" w:hAnsi="Cambria"/>
          <w:b/>
          <w:color w:val="244061" w:themeColor="accent1" w:themeShade="80"/>
        </w:rPr>
        <w:t xml:space="preserve"> </w:t>
      </w:r>
    </w:p>
    <w:p w:rsidR="0020586D" w:rsidRPr="00A4382E" w:rsidRDefault="0020586D" w:rsidP="00A4382E">
      <w:pPr>
        <w:spacing w:after="0" w:line="240" w:lineRule="auto"/>
        <w:rPr>
          <w:rFonts w:ascii="Cambria" w:hAnsi="Cambria"/>
          <w:b/>
          <w:color w:val="244061" w:themeColor="accent1" w:themeShade="80"/>
          <w:sz w:val="4"/>
          <w:szCs w:val="4"/>
        </w:rPr>
      </w:pPr>
    </w:p>
    <w:tbl>
      <w:tblPr>
        <w:tblW w:w="10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506"/>
        <w:gridCol w:w="1475"/>
        <w:gridCol w:w="1364"/>
        <w:gridCol w:w="1894"/>
        <w:gridCol w:w="1750"/>
        <w:gridCol w:w="1406"/>
      </w:tblGrid>
      <w:tr w:rsidR="00940952" w:rsidRPr="00F675D3" w:rsidTr="00940952">
        <w:trPr>
          <w:trHeight w:val="690"/>
        </w:trPr>
        <w:tc>
          <w:tcPr>
            <w:tcW w:w="152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52" w:rsidRPr="00A4382E" w:rsidRDefault="00940952" w:rsidP="00AE3B0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# 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of 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C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onsumers</w:t>
            </w:r>
          </w:p>
          <w:p w:rsidR="00940952" w:rsidRPr="00A4382E" w:rsidRDefault="00940952" w:rsidP="00AE3B0B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w/ 30</w:t>
            </w:r>
            <w:r w:rsidR="00740DA5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+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 Day</w:t>
            </w:r>
          </w:p>
          <w:p w:rsidR="00940952" w:rsidRPr="00A4382E" w:rsidRDefault="00940952" w:rsidP="00AE3B0B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</w:rPr>
            </w:pP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Job Placemen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150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52" w:rsidRPr="00AE3B0B" w:rsidRDefault="00940952" w:rsidP="006C403D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Total 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Hourly Wage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 Range</w:t>
            </w:r>
          </w:p>
        </w:tc>
        <w:tc>
          <w:tcPr>
            <w:tcW w:w="147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52" w:rsidRPr="00AF275D" w:rsidRDefault="00940952" w:rsidP="00AF275D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Average # 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of 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Hours</w:t>
            </w:r>
          </w:p>
        </w:tc>
        <w:tc>
          <w:tcPr>
            <w:tcW w:w="136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vAlign w:val="center"/>
          </w:tcPr>
          <w:p w:rsidR="00940952" w:rsidRPr="00A4382E" w:rsidRDefault="00940952" w:rsidP="00752AA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Range of </w:t>
            </w:r>
            <w:r w:rsidR="00752AA0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Avg. 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# 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of 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Hours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752AA0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Across Districts</w:t>
            </w:r>
          </w:p>
        </w:tc>
        <w:tc>
          <w:tcPr>
            <w:tcW w:w="189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vAlign w:val="center"/>
          </w:tcPr>
          <w:p w:rsidR="00940952" w:rsidRPr="00AF275D" w:rsidRDefault="00940952" w:rsidP="00AF275D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# Retaining Job for 90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+</w:t>
            </w:r>
            <w:r w:rsidRPr="00A4382E"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 days</w:t>
            </w:r>
          </w:p>
        </w:tc>
        <w:tc>
          <w:tcPr>
            <w:tcW w:w="175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vAlign w:val="center"/>
          </w:tcPr>
          <w:p w:rsidR="00940952" w:rsidRDefault="00940952" w:rsidP="00AE3B0B">
            <w:pPr>
              <w:spacing w:after="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 xml:space="preserve">% of Placements </w:t>
            </w:r>
          </w:p>
          <w:p w:rsidR="00940952" w:rsidRPr="00F675D3" w:rsidRDefault="00940952" w:rsidP="00AE3B0B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to SEOs</w:t>
            </w:r>
          </w:p>
        </w:tc>
        <w:tc>
          <w:tcPr>
            <w:tcW w:w="140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vAlign w:val="center"/>
          </w:tcPr>
          <w:p w:rsidR="00940952" w:rsidRPr="00A4382E" w:rsidRDefault="00940952" w:rsidP="00AE3B0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  <w:t>Cost per SEO</w:t>
            </w:r>
          </w:p>
        </w:tc>
      </w:tr>
      <w:tr w:rsidR="00940952" w:rsidRPr="00F675D3" w:rsidTr="00752AA0">
        <w:trPr>
          <w:trHeight w:val="307"/>
        </w:trPr>
        <w:tc>
          <w:tcPr>
            <w:tcW w:w="1523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52" w:rsidRPr="00CF62FD" w:rsidRDefault="003C22A9" w:rsidP="00740DA5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sz w:val="20"/>
                <w:szCs w:val="20"/>
              </w:rPr>
            </w:pPr>
            <w:r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1</w:t>
            </w:r>
            <w:r w:rsidR="00CE2A49"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,</w:t>
            </w:r>
            <w:r w:rsidR="00CF62FD"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106</w:t>
            </w:r>
          </w:p>
        </w:tc>
        <w:tc>
          <w:tcPr>
            <w:tcW w:w="150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52" w:rsidRPr="00CF62FD" w:rsidRDefault="00CF62FD" w:rsidP="00752AA0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sz w:val="20"/>
                <w:szCs w:val="20"/>
              </w:rPr>
            </w:pPr>
            <w:r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$11.00 - $4</w:t>
            </w:r>
            <w:r w:rsidR="00896037"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5</w:t>
            </w:r>
            <w:r w:rsidR="00940952"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.00</w:t>
            </w:r>
          </w:p>
        </w:tc>
        <w:tc>
          <w:tcPr>
            <w:tcW w:w="147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52" w:rsidRPr="00CF62FD" w:rsidRDefault="00CF62FD" w:rsidP="00752AA0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sz w:val="20"/>
                <w:szCs w:val="20"/>
              </w:rPr>
            </w:pPr>
            <w:r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21.1</w:t>
            </w:r>
          </w:p>
        </w:tc>
        <w:tc>
          <w:tcPr>
            <w:tcW w:w="136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940952" w:rsidRPr="00CF62FD" w:rsidRDefault="00CF62FD" w:rsidP="00752AA0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</w:pPr>
            <w:r w:rsidRPr="00CF62FD"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18-24</w:t>
            </w:r>
          </w:p>
        </w:tc>
        <w:tc>
          <w:tcPr>
            <w:tcW w:w="189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940952" w:rsidRPr="0067349D" w:rsidRDefault="00CF62FD" w:rsidP="00752AA0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  <w:highlight w:val="yellow"/>
              </w:rPr>
            </w:pPr>
            <w:r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928</w:t>
            </w:r>
          </w:p>
        </w:tc>
        <w:tc>
          <w:tcPr>
            <w:tcW w:w="175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940952" w:rsidRPr="0067349D" w:rsidRDefault="00CF62FD" w:rsidP="007D334D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  <w:highlight w:val="yellow"/>
              </w:rPr>
            </w:pPr>
            <w:r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</w:rPr>
              <w:t>84%</w:t>
            </w:r>
          </w:p>
        </w:tc>
        <w:tc>
          <w:tcPr>
            <w:tcW w:w="140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940952" w:rsidRPr="0067349D" w:rsidRDefault="00CF62FD" w:rsidP="00497C8E">
            <w:pPr>
              <w:spacing w:after="0" w:line="240" w:lineRule="auto"/>
              <w:jc w:val="center"/>
              <w:textAlignment w:val="baseline"/>
              <w:rPr>
                <w:rFonts w:asciiTheme="majorHAnsi" w:eastAsia="Arial Unicode MS" w:hAnsiTheme="majorHAnsi" w:cs="Arial Unicode MS"/>
                <w:color w:val="244061" w:themeColor="accent1" w:themeShade="80"/>
                <w:kern w:val="24"/>
                <w:sz w:val="20"/>
                <w:szCs w:val="20"/>
                <w:highlight w:val="yellow"/>
              </w:rPr>
            </w:pPr>
            <w:r>
              <w:rPr>
                <w:rFonts w:asciiTheme="majorHAnsi" w:eastAsia="Arial Unicode MS" w:hAnsiTheme="majorHAnsi" w:cs="Arial Unicode MS"/>
                <w:bCs/>
                <w:color w:val="244061" w:themeColor="accent1" w:themeShade="80"/>
                <w:kern w:val="24"/>
                <w:sz w:val="20"/>
                <w:szCs w:val="20"/>
              </w:rPr>
              <w:t>$9,186</w:t>
            </w:r>
          </w:p>
        </w:tc>
      </w:tr>
    </w:tbl>
    <w:p w:rsidR="0020586D" w:rsidRPr="007F6642" w:rsidRDefault="0020586D" w:rsidP="00324B0C">
      <w:pPr>
        <w:spacing w:after="0" w:line="240" w:lineRule="auto"/>
        <w:rPr>
          <w:rFonts w:ascii="Cambria" w:hAnsi="Cambria"/>
          <w:b/>
          <w:color w:val="244061" w:themeColor="accent1" w:themeShade="80"/>
          <w:sz w:val="8"/>
          <w:szCs w:val="8"/>
        </w:rPr>
      </w:pPr>
    </w:p>
    <w:p w:rsidR="00B1141B" w:rsidRPr="00E11FE2" w:rsidRDefault="0020586D" w:rsidP="00C63C38">
      <w:pPr>
        <w:spacing w:after="0" w:line="240" w:lineRule="auto"/>
        <w:ind w:left="-90"/>
        <w:rPr>
          <w:rFonts w:ascii="Cambria" w:hAnsi="Cambria"/>
          <w:b/>
          <w:color w:val="244061" w:themeColor="accent1" w:themeShade="80"/>
        </w:rPr>
      </w:pP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CIES </w:t>
      </w:r>
      <w:r w:rsidR="007631DA">
        <w:rPr>
          <w:rFonts w:ascii="Cambria" w:hAnsi="Cambria"/>
          <w:b/>
          <w:color w:val="244061" w:themeColor="accent1" w:themeShade="80"/>
          <w:sz w:val="24"/>
          <w:szCs w:val="24"/>
        </w:rPr>
        <w:t>Service C</w:t>
      </w: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omponent Rates</w:t>
      </w:r>
      <w:r w:rsidR="00465B8D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 </w:t>
      </w:r>
      <w:r w:rsidR="00CE2A49">
        <w:rPr>
          <w:rFonts w:ascii="Cambria" w:hAnsi="Cambria"/>
          <w:b/>
          <w:color w:val="244061" w:themeColor="accent1" w:themeShade="80"/>
          <w:sz w:val="24"/>
          <w:szCs w:val="24"/>
        </w:rPr>
        <w:t>S</w:t>
      </w:r>
      <w:r w:rsidR="00465B8D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FY201</w:t>
      </w:r>
      <w:r w:rsidR="00CF62FD">
        <w:rPr>
          <w:rFonts w:ascii="Cambria" w:hAnsi="Cambria"/>
          <w:b/>
          <w:color w:val="244061" w:themeColor="accent1" w:themeShade="80"/>
          <w:sz w:val="24"/>
          <w:szCs w:val="24"/>
        </w:rPr>
        <w:t>7</w:t>
      </w:r>
    </w:p>
    <w:p w:rsidR="0020586D" w:rsidRPr="00C856D3" w:rsidRDefault="0020586D" w:rsidP="0020586D">
      <w:pPr>
        <w:spacing w:after="0" w:line="240" w:lineRule="auto"/>
        <w:ind w:left="-270"/>
        <w:rPr>
          <w:rFonts w:ascii="Cambria" w:hAnsi="Cambria"/>
          <w:b/>
          <w:color w:val="244061" w:themeColor="accent1" w:themeShade="80"/>
          <w:sz w:val="8"/>
          <w:szCs w:val="8"/>
        </w:rPr>
      </w:pPr>
    </w:p>
    <w:tbl>
      <w:tblPr>
        <w:tblStyle w:val="TableGrid"/>
        <w:tblW w:w="10888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CellMar>
          <w:left w:w="86" w:type="dxa"/>
          <w:right w:w="86" w:type="dxa"/>
        </w:tblCellMar>
        <w:tblLook w:val="0620" w:firstRow="1" w:lastRow="0" w:firstColumn="0" w:lastColumn="0" w:noHBand="1" w:noVBand="1"/>
      </w:tblPr>
      <w:tblGrid>
        <w:gridCol w:w="1616"/>
        <w:gridCol w:w="1350"/>
        <w:gridCol w:w="1440"/>
        <w:gridCol w:w="1442"/>
        <w:gridCol w:w="1666"/>
        <w:gridCol w:w="1620"/>
        <w:gridCol w:w="1754"/>
      </w:tblGrid>
      <w:tr w:rsidR="004650FF" w:rsidTr="00950B65">
        <w:trPr>
          <w:trHeight w:val="284"/>
          <w:jc w:val="center"/>
        </w:trPr>
        <w:tc>
          <w:tcPr>
            <w:tcW w:w="1616" w:type="dxa"/>
            <w:shd w:val="clear" w:color="auto" w:fill="C6D9F1" w:themeFill="text2" w:themeFillTint="33"/>
            <w:vAlign w:val="center"/>
          </w:tcPr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Rate Category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Component 1:</w:t>
            </w:r>
          </w:p>
          <w:p w:rsidR="004650FF" w:rsidRPr="00A450B3" w:rsidRDefault="00CF62FD" w:rsidP="00E72778">
            <w:pPr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>Assessment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Component 2:</w:t>
            </w:r>
          </w:p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>Training</w:t>
            </w:r>
          </w:p>
        </w:tc>
        <w:tc>
          <w:tcPr>
            <w:tcW w:w="1442" w:type="dxa"/>
            <w:shd w:val="clear" w:color="auto" w:fill="C6D9F1" w:themeFill="text2" w:themeFillTint="33"/>
            <w:vAlign w:val="center"/>
          </w:tcPr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Component 3:</w:t>
            </w:r>
          </w:p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>Placement</w:t>
            </w:r>
          </w:p>
        </w:tc>
        <w:tc>
          <w:tcPr>
            <w:tcW w:w="1666" w:type="dxa"/>
            <w:shd w:val="clear" w:color="auto" w:fill="C6D9F1" w:themeFill="text2" w:themeFillTint="33"/>
            <w:vAlign w:val="center"/>
          </w:tcPr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Component 4:</w:t>
            </w:r>
          </w:p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>Initial Supports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:rsidR="004650FF" w:rsidRPr="00A450B3" w:rsidRDefault="004650FF" w:rsidP="00E72778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Component 5:</w:t>
            </w:r>
          </w:p>
          <w:p w:rsidR="004650FF" w:rsidRPr="00A450B3" w:rsidRDefault="004650FF" w:rsidP="004650FF">
            <w:pPr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>Interim</w:t>
            </w:r>
            <w:r w:rsidRPr="00A450B3"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 xml:space="preserve"> Supports</w:t>
            </w:r>
          </w:p>
        </w:tc>
        <w:tc>
          <w:tcPr>
            <w:tcW w:w="1754" w:type="dxa"/>
            <w:shd w:val="clear" w:color="auto" w:fill="C6D9F1" w:themeFill="text2" w:themeFillTint="33"/>
          </w:tcPr>
          <w:p w:rsidR="004650FF" w:rsidRPr="00A450B3" w:rsidRDefault="004650FF" w:rsidP="004650FF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Component</w:t>
            </w:r>
            <w:r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6</w:t>
            </w:r>
            <w:r w:rsidRPr="00A450B3"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  <w:t>:</w:t>
            </w:r>
          </w:p>
          <w:p w:rsidR="004650FF" w:rsidRPr="00A450B3" w:rsidRDefault="004650FF" w:rsidP="004650FF">
            <w:pPr>
              <w:jc w:val="center"/>
              <w:rPr>
                <w:rFonts w:ascii="Cambria" w:hAnsi="Cambria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>Ongoing</w:t>
            </w:r>
            <w:r w:rsidRPr="00A450B3">
              <w:rPr>
                <w:rFonts w:ascii="Cambria" w:hAnsi="Cambria"/>
                <w:b/>
                <w:i/>
                <w:color w:val="365F91" w:themeColor="accent1" w:themeShade="BF"/>
                <w:sz w:val="18"/>
                <w:szCs w:val="18"/>
              </w:rPr>
              <w:t xml:space="preserve"> Supports</w:t>
            </w:r>
          </w:p>
        </w:tc>
      </w:tr>
      <w:tr w:rsidR="004650FF" w:rsidRPr="00FF6471" w:rsidTr="00950B65">
        <w:trPr>
          <w:trHeight w:val="303"/>
          <w:jc w:val="center"/>
        </w:trPr>
        <w:tc>
          <w:tcPr>
            <w:tcW w:w="1616" w:type="dxa"/>
            <w:vAlign w:val="center"/>
          </w:tcPr>
          <w:p w:rsidR="004650FF" w:rsidRPr="00E72778" w:rsidRDefault="004650FF" w:rsidP="00E72778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</w:pPr>
            <w:r w:rsidRPr="00E72778"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  <w:t>Initiation</w:t>
            </w:r>
            <w:r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  <w:t xml:space="preserve"> Phase</w:t>
            </w:r>
          </w:p>
        </w:tc>
        <w:tc>
          <w:tcPr>
            <w:tcW w:w="1350" w:type="dxa"/>
            <w:vAlign w:val="center"/>
          </w:tcPr>
          <w:p w:rsidR="004650FF" w:rsidRPr="00A42EE4" w:rsidRDefault="004650FF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A42EE4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$1</w:t>
            </w:r>
            <w:r w:rsidR="00CF62F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65</w:t>
            </w:r>
          </w:p>
        </w:tc>
        <w:tc>
          <w:tcPr>
            <w:tcW w:w="1440" w:type="dxa"/>
            <w:vAlign w:val="center"/>
          </w:tcPr>
          <w:p w:rsidR="004650FF" w:rsidRPr="00A42EE4" w:rsidRDefault="00CF62FD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$903</w:t>
            </w:r>
          </w:p>
        </w:tc>
        <w:tc>
          <w:tcPr>
            <w:tcW w:w="1442" w:type="dxa"/>
            <w:vAlign w:val="center"/>
          </w:tcPr>
          <w:p w:rsidR="004650FF" w:rsidRPr="00A42EE4" w:rsidRDefault="004650FF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A42EE4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$ 1,</w:t>
            </w:r>
            <w:r w:rsidR="00CF62F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821</w:t>
            </w:r>
          </w:p>
        </w:tc>
        <w:tc>
          <w:tcPr>
            <w:tcW w:w="1666" w:type="dxa"/>
            <w:vAlign w:val="center"/>
          </w:tcPr>
          <w:p w:rsidR="004650FF" w:rsidRPr="00A42EE4" w:rsidRDefault="004650FF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A42EE4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</w:t>
            </w:r>
            <w:r w:rsidR="00CF62F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650</w:t>
            </w:r>
          </w:p>
        </w:tc>
        <w:tc>
          <w:tcPr>
            <w:tcW w:w="1620" w:type="dxa"/>
            <w:vMerge w:val="restart"/>
            <w:vAlign w:val="center"/>
          </w:tcPr>
          <w:p w:rsidR="004650FF" w:rsidRPr="00950B65" w:rsidRDefault="004650FF" w:rsidP="00BB1E68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</w:pPr>
            <w:r w:rsidRPr="00A450B3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Pr="00950B65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$3</w:t>
            </w:r>
            <w:r w:rsidR="00CF62FD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7.20</w:t>
            </w:r>
            <w:r w:rsidRPr="00950B65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 xml:space="preserve"> / hour</w:t>
            </w:r>
          </w:p>
        </w:tc>
        <w:tc>
          <w:tcPr>
            <w:tcW w:w="1754" w:type="dxa"/>
            <w:vMerge w:val="restart"/>
            <w:vAlign w:val="center"/>
          </w:tcPr>
          <w:p w:rsidR="004650FF" w:rsidRPr="00950B65" w:rsidRDefault="00CF62FD" w:rsidP="00BB1E68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$37.20</w:t>
            </w:r>
            <w:r w:rsidR="004650FF" w:rsidRPr="00950B65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 xml:space="preserve"> / hour</w:t>
            </w:r>
          </w:p>
        </w:tc>
      </w:tr>
      <w:tr w:rsidR="004650FF" w:rsidRPr="00FF6471" w:rsidTr="00950B65">
        <w:trPr>
          <w:trHeight w:val="303"/>
          <w:jc w:val="center"/>
        </w:trPr>
        <w:tc>
          <w:tcPr>
            <w:tcW w:w="1616" w:type="dxa"/>
            <w:vAlign w:val="center"/>
          </w:tcPr>
          <w:p w:rsidR="004650FF" w:rsidRPr="00E72778" w:rsidRDefault="004650FF" w:rsidP="00E72778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</w:pPr>
            <w:r w:rsidRPr="00E72778"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  <w:t>Completion</w:t>
            </w:r>
            <w:r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  <w:t xml:space="preserve"> Phase</w:t>
            </w:r>
          </w:p>
        </w:tc>
        <w:tc>
          <w:tcPr>
            <w:tcW w:w="1350" w:type="dxa"/>
            <w:vAlign w:val="center"/>
          </w:tcPr>
          <w:p w:rsidR="004650FF" w:rsidRPr="00A42EE4" w:rsidRDefault="00CF62FD" w:rsidP="00BB1E68">
            <w:pPr>
              <w:jc w:val="center"/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</w:pPr>
            <w:r>
              <w:rPr>
                <w:rFonts w:asciiTheme="majorHAnsi" w:hAnsiTheme="majorHAnsi"/>
                <w:color w:val="244061" w:themeColor="accent1" w:themeShade="80"/>
                <w:sz w:val="18"/>
                <w:szCs w:val="18"/>
              </w:rPr>
              <w:t>$662</w:t>
            </w:r>
          </w:p>
        </w:tc>
        <w:tc>
          <w:tcPr>
            <w:tcW w:w="1440" w:type="dxa"/>
            <w:vAlign w:val="center"/>
          </w:tcPr>
          <w:p w:rsidR="004650FF" w:rsidRPr="00A42EE4" w:rsidRDefault="004650FF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A42EE4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$1,</w:t>
            </w:r>
            <w:r w:rsidR="00CF62F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355</w:t>
            </w:r>
          </w:p>
        </w:tc>
        <w:tc>
          <w:tcPr>
            <w:tcW w:w="1442" w:type="dxa"/>
            <w:vAlign w:val="center"/>
          </w:tcPr>
          <w:p w:rsidR="004650FF" w:rsidRPr="00A42EE4" w:rsidRDefault="00CF62FD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$ 2,731</w:t>
            </w:r>
          </w:p>
        </w:tc>
        <w:tc>
          <w:tcPr>
            <w:tcW w:w="1666" w:type="dxa"/>
            <w:vAlign w:val="center"/>
          </w:tcPr>
          <w:p w:rsidR="004650FF" w:rsidRPr="00A42EE4" w:rsidRDefault="004650FF" w:rsidP="00BB1E68">
            <w:pPr>
              <w:jc w:val="center"/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</w:pPr>
            <w:r w:rsidRPr="00A42EE4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$</w:t>
            </w:r>
            <w:r w:rsidR="00CF62FD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976</w:t>
            </w:r>
          </w:p>
        </w:tc>
        <w:tc>
          <w:tcPr>
            <w:tcW w:w="1620" w:type="dxa"/>
            <w:vMerge/>
          </w:tcPr>
          <w:p w:rsidR="004650FF" w:rsidRPr="00FF6471" w:rsidRDefault="004650FF" w:rsidP="003073F5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1754" w:type="dxa"/>
            <w:vMerge/>
          </w:tcPr>
          <w:p w:rsidR="004650FF" w:rsidRPr="00FF6471" w:rsidRDefault="004650FF" w:rsidP="003073F5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6"/>
                <w:szCs w:val="16"/>
              </w:rPr>
            </w:pPr>
          </w:p>
        </w:tc>
      </w:tr>
      <w:tr w:rsidR="004650FF" w:rsidRPr="00FF6471" w:rsidTr="00950B65">
        <w:trPr>
          <w:trHeight w:val="270"/>
          <w:jc w:val="center"/>
        </w:trPr>
        <w:tc>
          <w:tcPr>
            <w:tcW w:w="1616" w:type="dxa"/>
            <w:vAlign w:val="center"/>
          </w:tcPr>
          <w:p w:rsidR="004650FF" w:rsidRPr="00A37524" w:rsidRDefault="004650FF" w:rsidP="00A3752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244061" w:themeColor="accent1" w:themeShade="80"/>
                <w:sz w:val="18"/>
                <w:szCs w:val="18"/>
              </w:rPr>
              <w:t>Total</w:t>
            </w:r>
          </w:p>
        </w:tc>
        <w:tc>
          <w:tcPr>
            <w:tcW w:w="1350" w:type="dxa"/>
            <w:vAlign w:val="center"/>
          </w:tcPr>
          <w:p w:rsidR="004650FF" w:rsidRPr="00A42EE4" w:rsidRDefault="004650FF" w:rsidP="00BB1E6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365F91" w:themeColor="accent1" w:themeShade="BF"/>
                <w:sz w:val="18"/>
                <w:szCs w:val="18"/>
              </w:rPr>
            </w:pPr>
            <w:r w:rsidRPr="00A42EE4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$</w:t>
            </w:r>
            <w:r w:rsidR="00CF62FD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8</w:t>
            </w:r>
            <w:r w:rsidR="00BB1E68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2</w:t>
            </w:r>
            <w:r w:rsidR="00CF62FD"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7</w:t>
            </w:r>
          </w:p>
        </w:tc>
        <w:tc>
          <w:tcPr>
            <w:tcW w:w="1440" w:type="dxa"/>
            <w:vAlign w:val="center"/>
          </w:tcPr>
          <w:p w:rsidR="004650FF" w:rsidRPr="00A42EE4" w:rsidRDefault="00CF62FD" w:rsidP="00BB1E6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$2,258</w:t>
            </w:r>
          </w:p>
        </w:tc>
        <w:tc>
          <w:tcPr>
            <w:tcW w:w="1442" w:type="dxa"/>
            <w:vAlign w:val="center"/>
          </w:tcPr>
          <w:p w:rsidR="004650FF" w:rsidRPr="00A42EE4" w:rsidRDefault="00CF62FD" w:rsidP="00BB1E68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$4,552</w:t>
            </w:r>
          </w:p>
        </w:tc>
        <w:tc>
          <w:tcPr>
            <w:tcW w:w="1666" w:type="dxa"/>
            <w:vAlign w:val="center"/>
          </w:tcPr>
          <w:p w:rsidR="004650FF" w:rsidRPr="00A42EE4" w:rsidRDefault="00CF62FD" w:rsidP="00BB1E68">
            <w:pPr>
              <w:jc w:val="center"/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365F91" w:themeColor="accent1" w:themeShade="BF"/>
                <w:sz w:val="18"/>
                <w:szCs w:val="18"/>
              </w:rPr>
              <w:t>$1,626</w:t>
            </w:r>
          </w:p>
        </w:tc>
        <w:tc>
          <w:tcPr>
            <w:tcW w:w="1620" w:type="dxa"/>
            <w:vMerge/>
          </w:tcPr>
          <w:p w:rsidR="004650FF" w:rsidRPr="00FF6471" w:rsidRDefault="004650FF" w:rsidP="003073F5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1754" w:type="dxa"/>
            <w:vMerge/>
          </w:tcPr>
          <w:p w:rsidR="004650FF" w:rsidRPr="00FF6471" w:rsidRDefault="004650FF" w:rsidP="003073F5">
            <w:pPr>
              <w:jc w:val="center"/>
              <w:rPr>
                <w:rFonts w:asciiTheme="majorHAnsi" w:hAnsiTheme="majorHAnsi"/>
                <w:b/>
                <w:color w:val="244061" w:themeColor="accent1" w:themeShade="80"/>
                <w:sz w:val="16"/>
                <w:szCs w:val="16"/>
              </w:rPr>
            </w:pPr>
          </w:p>
        </w:tc>
      </w:tr>
    </w:tbl>
    <w:p w:rsidR="0020586D" w:rsidRPr="0076199D" w:rsidRDefault="00643F3B" w:rsidP="007530F5">
      <w:pPr>
        <w:contextualSpacing/>
        <w:rPr>
          <w:rFonts w:ascii="Cambria" w:hAnsi="Cambria"/>
          <w:color w:val="365F91" w:themeColor="accent1" w:themeShade="BF"/>
          <w:sz w:val="18"/>
          <w:szCs w:val="18"/>
        </w:rPr>
      </w:pPr>
      <w:r w:rsidRPr="0076199D">
        <w:rPr>
          <w:rFonts w:ascii="Cambria" w:hAnsi="Cambria"/>
          <w:color w:val="365F91" w:themeColor="accent1" w:themeShade="BF"/>
          <w:sz w:val="18"/>
          <w:szCs w:val="18"/>
        </w:rPr>
        <w:t xml:space="preserve">                                                                      </w:t>
      </w:r>
      <w:r w:rsidR="00214A10" w:rsidRPr="0076199D">
        <w:rPr>
          <w:rFonts w:ascii="Cambria" w:hAnsi="Cambria"/>
          <w:color w:val="365F91" w:themeColor="accent1" w:themeShade="BF"/>
          <w:sz w:val="18"/>
          <w:szCs w:val="18"/>
        </w:rPr>
        <w:t xml:space="preserve">                    </w:t>
      </w:r>
      <w:r w:rsidRPr="0076199D">
        <w:rPr>
          <w:rFonts w:ascii="Cambria" w:hAnsi="Cambria"/>
          <w:color w:val="365F91" w:themeColor="accent1" w:themeShade="BF"/>
          <w:sz w:val="18"/>
          <w:szCs w:val="18"/>
        </w:rPr>
        <w:t xml:space="preserve"> </w:t>
      </w:r>
      <w:r w:rsidR="006515CB">
        <w:rPr>
          <w:rFonts w:ascii="Cambria" w:hAnsi="Cambria"/>
          <w:color w:val="365F91" w:themeColor="accent1" w:themeShade="BF"/>
          <w:sz w:val="18"/>
          <w:szCs w:val="18"/>
        </w:rPr>
        <w:t xml:space="preserve">        </w:t>
      </w:r>
      <w:r w:rsidR="009459DA">
        <w:rPr>
          <w:rFonts w:ascii="Cambria" w:hAnsi="Cambria"/>
          <w:color w:val="365F91" w:themeColor="accent1" w:themeShade="BF"/>
          <w:sz w:val="18"/>
          <w:szCs w:val="18"/>
        </w:rPr>
        <w:t>(</w:t>
      </w:r>
      <w:r w:rsidR="00146A62">
        <w:rPr>
          <w:rFonts w:ascii="Cambria" w:hAnsi="Cambria"/>
          <w:color w:val="365F91" w:themeColor="accent1" w:themeShade="BF"/>
          <w:sz w:val="18"/>
          <w:szCs w:val="18"/>
        </w:rPr>
        <w:t>By</w:t>
      </w:r>
      <w:r w:rsidRPr="0076199D">
        <w:rPr>
          <w:rFonts w:ascii="Cambria" w:hAnsi="Cambria"/>
          <w:color w:val="365F91" w:themeColor="accent1" w:themeShade="BF"/>
          <w:sz w:val="18"/>
          <w:szCs w:val="18"/>
        </w:rPr>
        <w:t xml:space="preserve"> law, all established rates are </w:t>
      </w:r>
      <w:r w:rsidR="0076199D" w:rsidRPr="0076199D">
        <w:rPr>
          <w:rFonts w:ascii="Cambria" w:hAnsi="Cambria"/>
          <w:color w:val="365F91" w:themeColor="accent1" w:themeShade="BF"/>
          <w:sz w:val="18"/>
          <w:szCs w:val="18"/>
        </w:rPr>
        <w:t>multiplied</w:t>
      </w:r>
      <w:r w:rsidRPr="0076199D">
        <w:rPr>
          <w:rFonts w:ascii="Cambria" w:hAnsi="Cambria"/>
          <w:color w:val="365F91" w:themeColor="accent1" w:themeShade="BF"/>
          <w:sz w:val="18"/>
          <w:szCs w:val="18"/>
        </w:rPr>
        <w:t xml:space="preserve"> by 1.07% in Dukes and Nantucket Counties)</w:t>
      </w:r>
    </w:p>
    <w:p w:rsidR="00CF62FD" w:rsidRPr="0070719E" w:rsidRDefault="00CF62FD" w:rsidP="00CF62FD">
      <w:pPr>
        <w:ind w:left="-90"/>
        <w:contextualSpacing/>
        <w:rPr>
          <w:rFonts w:ascii="Cambria" w:hAnsi="Cambria"/>
          <w:b/>
          <w:color w:val="244061" w:themeColor="accent1" w:themeShade="80"/>
          <w:sz w:val="16"/>
          <w:szCs w:val="16"/>
        </w:rPr>
      </w:pPr>
    </w:p>
    <w:p w:rsidR="00EF39B6" w:rsidRPr="005D3998" w:rsidRDefault="00EF39B6" w:rsidP="0020586D">
      <w:pPr>
        <w:ind w:left="-90"/>
        <w:contextualSpacing/>
        <w:rPr>
          <w:rFonts w:asciiTheme="majorHAnsi" w:hAnsiTheme="majorHAnsi"/>
          <w:color w:val="244061" w:themeColor="accent1" w:themeShade="80"/>
          <w:sz w:val="24"/>
          <w:szCs w:val="24"/>
        </w:rPr>
      </w:pP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CIES Benefits</w:t>
      </w:r>
    </w:p>
    <w:p w:rsidR="00384562" w:rsidRPr="003C22A9" w:rsidRDefault="00F67BF4" w:rsidP="00384562">
      <w:pPr>
        <w:numPr>
          <w:ilvl w:val="0"/>
          <w:numId w:val="7"/>
        </w:numPr>
        <w:contextualSpacing/>
        <w:rPr>
          <w:rFonts w:ascii="Cambria" w:hAnsi="Cambria"/>
          <w:color w:val="244061" w:themeColor="accent1" w:themeShade="80"/>
          <w:sz w:val="21"/>
          <w:szCs w:val="21"/>
        </w:rPr>
      </w:pP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In </w:t>
      </w:r>
      <w:r w:rsidR="00CE2A49">
        <w:rPr>
          <w:rFonts w:ascii="Cambria" w:hAnsi="Cambria"/>
          <w:color w:val="244061" w:themeColor="accent1" w:themeShade="80"/>
          <w:sz w:val="21"/>
          <w:szCs w:val="21"/>
        </w:rPr>
        <w:t>S</w:t>
      </w:r>
      <w:r w:rsidRPr="003C22A9">
        <w:rPr>
          <w:rFonts w:ascii="Cambria" w:hAnsi="Cambria"/>
          <w:color w:val="244061" w:themeColor="accent1" w:themeShade="80"/>
          <w:sz w:val="21"/>
          <w:szCs w:val="21"/>
        </w:rPr>
        <w:t>FY201</w:t>
      </w:r>
      <w:r w:rsidR="00CF62FD">
        <w:rPr>
          <w:rFonts w:ascii="Cambria" w:hAnsi="Cambria"/>
          <w:color w:val="244061" w:themeColor="accent1" w:themeShade="80"/>
          <w:sz w:val="21"/>
          <w:szCs w:val="21"/>
        </w:rPr>
        <w:t>7, 1,106</w:t>
      </w:r>
      <w:r w:rsidR="003C22A9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 </w:t>
      </w: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CIES consumers were placed in </w:t>
      </w:r>
      <w:r w:rsidR="00F46BAB" w:rsidRPr="003C22A9">
        <w:rPr>
          <w:rFonts w:ascii="Cambria" w:hAnsi="Cambria"/>
          <w:color w:val="244061" w:themeColor="accent1" w:themeShade="80"/>
          <w:sz w:val="21"/>
          <w:szCs w:val="21"/>
        </w:rPr>
        <w:t>employment for 30 days or more</w:t>
      </w:r>
      <w:r w:rsidR="00CF62FD">
        <w:rPr>
          <w:rFonts w:ascii="Cambria" w:hAnsi="Cambria"/>
          <w:color w:val="244061" w:themeColor="accent1" w:themeShade="80"/>
          <w:sz w:val="21"/>
          <w:szCs w:val="21"/>
        </w:rPr>
        <w:t xml:space="preserve"> and 928 </w:t>
      </w:r>
      <w:r w:rsidR="009459DA">
        <w:rPr>
          <w:rFonts w:ascii="Cambria" w:hAnsi="Cambria"/>
          <w:color w:val="244061" w:themeColor="accent1" w:themeShade="80"/>
          <w:sz w:val="21"/>
          <w:szCs w:val="21"/>
        </w:rPr>
        <w:t>achieved successful employment outcomes.</w:t>
      </w:r>
    </w:p>
    <w:p w:rsidR="0083163E" w:rsidRPr="003C22A9" w:rsidRDefault="0083163E" w:rsidP="0083163E">
      <w:pPr>
        <w:numPr>
          <w:ilvl w:val="0"/>
          <w:numId w:val="7"/>
        </w:numPr>
        <w:contextualSpacing/>
        <w:rPr>
          <w:rFonts w:ascii="Cambria" w:hAnsi="Cambria"/>
          <w:color w:val="244061" w:themeColor="accent1" w:themeShade="80"/>
          <w:sz w:val="21"/>
          <w:szCs w:val="21"/>
        </w:rPr>
      </w:pP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A high percentage of placed individuals </w:t>
      </w:r>
      <w:r w:rsidR="0002508D" w:rsidRPr="003C22A9">
        <w:rPr>
          <w:rFonts w:ascii="Cambria" w:hAnsi="Cambria"/>
          <w:color w:val="244061" w:themeColor="accent1" w:themeShade="80"/>
          <w:sz w:val="21"/>
          <w:szCs w:val="21"/>
        </w:rPr>
        <w:t>(</w:t>
      </w:r>
      <w:r w:rsidR="009459DA">
        <w:rPr>
          <w:rFonts w:ascii="Cambria" w:hAnsi="Cambria"/>
          <w:color w:val="244061" w:themeColor="accent1" w:themeShade="80"/>
          <w:sz w:val="21"/>
          <w:szCs w:val="21"/>
        </w:rPr>
        <w:t xml:space="preserve">over </w:t>
      </w:r>
      <w:r w:rsidR="0002508D" w:rsidRPr="003C22A9">
        <w:rPr>
          <w:rFonts w:ascii="Cambria" w:hAnsi="Cambria"/>
          <w:color w:val="244061" w:themeColor="accent1" w:themeShade="80"/>
          <w:sz w:val="21"/>
          <w:szCs w:val="21"/>
        </w:rPr>
        <w:t>8</w:t>
      </w:r>
      <w:r w:rsidR="000C7F5A" w:rsidRPr="003C22A9">
        <w:rPr>
          <w:rFonts w:ascii="Cambria" w:hAnsi="Cambria"/>
          <w:color w:val="244061" w:themeColor="accent1" w:themeShade="80"/>
          <w:sz w:val="21"/>
          <w:szCs w:val="21"/>
        </w:rPr>
        <w:t>0</w:t>
      </w:r>
      <w:r w:rsidR="0002508D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%) </w:t>
      </w: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achieve successful </w:t>
      </w:r>
      <w:r w:rsidR="00D11066" w:rsidRPr="003C22A9">
        <w:rPr>
          <w:rFonts w:ascii="Cambria" w:hAnsi="Cambria"/>
          <w:color w:val="244061" w:themeColor="accent1" w:themeShade="80"/>
          <w:sz w:val="21"/>
          <w:szCs w:val="21"/>
        </w:rPr>
        <w:t>employment outcomes</w:t>
      </w:r>
      <w:r w:rsidR="007D334D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 in CIES</w:t>
      </w:r>
    </w:p>
    <w:p w:rsidR="00384562" w:rsidRPr="003C22A9" w:rsidRDefault="00384562" w:rsidP="00384562">
      <w:pPr>
        <w:numPr>
          <w:ilvl w:val="0"/>
          <w:numId w:val="7"/>
        </w:numPr>
        <w:contextualSpacing/>
        <w:rPr>
          <w:rFonts w:ascii="Cambria" w:hAnsi="Cambria"/>
          <w:color w:val="244061" w:themeColor="accent1" w:themeShade="80"/>
          <w:sz w:val="21"/>
          <w:szCs w:val="21"/>
        </w:rPr>
      </w:pP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CIES consumers </w:t>
      </w:r>
      <w:r w:rsidR="0002508D" w:rsidRPr="003C22A9">
        <w:rPr>
          <w:rFonts w:ascii="Cambria" w:hAnsi="Cambria"/>
          <w:color w:val="244061" w:themeColor="accent1" w:themeShade="80"/>
          <w:sz w:val="21"/>
          <w:szCs w:val="21"/>
        </w:rPr>
        <w:t>work</w:t>
      </w:r>
      <w:r w:rsidR="00F67BF4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 </w:t>
      </w: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in </w:t>
      </w:r>
      <w:r w:rsidR="0002508D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a wide variety of </w:t>
      </w: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competitive </w:t>
      </w:r>
      <w:r w:rsidR="00940169" w:rsidRPr="003C22A9">
        <w:rPr>
          <w:rFonts w:ascii="Cambria" w:hAnsi="Cambria"/>
          <w:color w:val="244061" w:themeColor="accent1" w:themeShade="80"/>
          <w:sz w:val="21"/>
          <w:szCs w:val="21"/>
        </w:rPr>
        <w:t>occupations</w:t>
      </w:r>
      <w:r w:rsidR="009C66E5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 throughout </w:t>
      </w:r>
      <w:r w:rsidR="00257904" w:rsidRPr="003C22A9">
        <w:rPr>
          <w:rFonts w:ascii="Cambria" w:hAnsi="Cambria"/>
          <w:color w:val="244061" w:themeColor="accent1" w:themeShade="80"/>
          <w:sz w:val="21"/>
          <w:szCs w:val="21"/>
        </w:rPr>
        <w:t>Massachusetts</w:t>
      </w:r>
    </w:p>
    <w:p w:rsidR="00EF39B6" w:rsidRPr="003C22A9" w:rsidRDefault="00EF39B6" w:rsidP="00EF39B6">
      <w:pPr>
        <w:numPr>
          <w:ilvl w:val="0"/>
          <w:numId w:val="7"/>
        </w:numPr>
        <w:contextualSpacing/>
        <w:rPr>
          <w:rFonts w:ascii="Cambria" w:hAnsi="Cambria"/>
          <w:color w:val="244061" w:themeColor="accent1" w:themeShade="80"/>
          <w:sz w:val="21"/>
          <w:szCs w:val="21"/>
        </w:rPr>
      </w:pPr>
      <w:r w:rsidRPr="003C22A9">
        <w:rPr>
          <w:rFonts w:ascii="Cambria" w:hAnsi="Cambria"/>
          <w:color w:val="244061" w:themeColor="accent1" w:themeShade="80"/>
          <w:sz w:val="21"/>
          <w:szCs w:val="21"/>
        </w:rPr>
        <w:t>Providers are</w:t>
      </w:r>
      <w:r w:rsidR="00AC1F23" w:rsidRPr="003C22A9">
        <w:rPr>
          <w:rFonts w:ascii="Cambria" w:hAnsi="Cambria"/>
          <w:color w:val="FF0000"/>
          <w:sz w:val="21"/>
          <w:szCs w:val="21"/>
        </w:rPr>
        <w:t xml:space="preserve"> </w:t>
      </w: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paid on a timely basis and are </w:t>
      </w:r>
      <w:r w:rsidR="009517AE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assisting consumers in finding competitive employment </w:t>
      </w:r>
    </w:p>
    <w:p w:rsidR="000316E1" w:rsidRPr="003C22A9" w:rsidRDefault="00F67BF4" w:rsidP="0083163E">
      <w:pPr>
        <w:numPr>
          <w:ilvl w:val="0"/>
          <w:numId w:val="7"/>
        </w:numPr>
        <w:spacing w:after="0" w:line="240" w:lineRule="auto"/>
        <w:ind w:left="547"/>
        <w:contextualSpacing/>
        <w:rPr>
          <w:rFonts w:ascii="Cambria" w:hAnsi="Cambria"/>
          <w:color w:val="244061" w:themeColor="accent1" w:themeShade="80"/>
          <w:sz w:val="21"/>
          <w:szCs w:val="21"/>
        </w:rPr>
      </w:pPr>
      <w:r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Over </w:t>
      </w:r>
      <w:r w:rsidR="00CF62FD">
        <w:rPr>
          <w:rFonts w:ascii="Cambria" w:hAnsi="Cambria"/>
          <w:color w:val="244061" w:themeColor="accent1" w:themeShade="80"/>
          <w:sz w:val="21"/>
          <w:szCs w:val="21"/>
        </w:rPr>
        <w:t>9</w:t>
      </w:r>
      <w:r w:rsidR="003C22A9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00 </w:t>
      </w:r>
      <w:r w:rsidR="002D1ACD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individuals </w:t>
      </w:r>
      <w:r w:rsidR="00CA6D42" w:rsidRPr="003C22A9">
        <w:rPr>
          <w:rFonts w:ascii="Cambria" w:hAnsi="Cambria"/>
          <w:color w:val="244061" w:themeColor="accent1" w:themeShade="80"/>
          <w:sz w:val="21"/>
          <w:szCs w:val="21"/>
        </w:rPr>
        <w:t>in need of</w:t>
      </w:r>
      <w:r w:rsidR="002D1ACD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 ongoing supports to maintain employment remain</w:t>
      </w:r>
      <w:r w:rsidR="00CF62FD">
        <w:rPr>
          <w:rFonts w:ascii="Cambria" w:hAnsi="Cambria"/>
          <w:color w:val="244061" w:themeColor="accent1" w:themeShade="80"/>
          <w:sz w:val="21"/>
          <w:szCs w:val="21"/>
        </w:rPr>
        <w:t>ed</w:t>
      </w:r>
      <w:r w:rsidR="002D1ACD" w:rsidRPr="003C22A9">
        <w:rPr>
          <w:rFonts w:ascii="Cambria" w:hAnsi="Cambria"/>
          <w:color w:val="244061" w:themeColor="accent1" w:themeShade="80"/>
          <w:sz w:val="21"/>
          <w:szCs w:val="21"/>
        </w:rPr>
        <w:t xml:space="preserve"> competitively employed</w:t>
      </w:r>
      <w:r w:rsidR="00DB51B4">
        <w:rPr>
          <w:rFonts w:ascii="Cambria" w:hAnsi="Cambria"/>
          <w:color w:val="244061" w:themeColor="accent1" w:themeShade="80"/>
          <w:sz w:val="21"/>
          <w:szCs w:val="21"/>
        </w:rPr>
        <w:t xml:space="preserve"> through CIES services.</w:t>
      </w:r>
    </w:p>
    <w:p w:rsidR="00797634" w:rsidRPr="003E5138" w:rsidRDefault="00797634" w:rsidP="00353C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  <w:color w:val="244061" w:themeColor="accent1" w:themeShade="80"/>
          <w:sz w:val="12"/>
          <w:szCs w:val="12"/>
        </w:rPr>
      </w:pPr>
    </w:p>
    <w:p w:rsidR="004601D1" w:rsidRPr="005D3998" w:rsidRDefault="0046183E" w:rsidP="004601D1">
      <w:pPr>
        <w:spacing w:after="0"/>
        <w:ind w:left="-90"/>
        <w:rPr>
          <w:rFonts w:ascii="Cambria" w:hAnsi="Cambria"/>
          <w:b/>
          <w:color w:val="244061" w:themeColor="accent1" w:themeShade="80"/>
          <w:sz w:val="24"/>
          <w:szCs w:val="24"/>
        </w:rPr>
      </w:pP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CIES </w:t>
      </w:r>
      <w:r w:rsidR="009C2F02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Performance</w:t>
      </w:r>
      <w:r w:rsidR="00465DD0"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 xml:space="preserve"> </w:t>
      </w:r>
      <w:r w:rsidRPr="005D3998">
        <w:rPr>
          <w:rFonts w:ascii="Cambria" w:hAnsi="Cambria"/>
          <w:b/>
          <w:color w:val="244061" w:themeColor="accent1" w:themeShade="80"/>
          <w:sz w:val="24"/>
          <w:szCs w:val="24"/>
        </w:rPr>
        <w:t>Summary</w:t>
      </w:r>
    </w:p>
    <w:p w:rsidR="0020659F" w:rsidRPr="006B12ED" w:rsidRDefault="008549BD" w:rsidP="00BD184A">
      <w:pPr>
        <w:spacing w:after="0" w:line="269" w:lineRule="auto"/>
        <w:ind w:left="-86"/>
        <w:rPr>
          <w:rFonts w:asciiTheme="majorHAnsi" w:hAnsiTheme="majorHAnsi"/>
          <w:color w:val="17365D" w:themeColor="text2" w:themeShade="BF"/>
        </w:rPr>
      </w:pPr>
      <w:r w:rsidRPr="00B05E6F">
        <w:rPr>
          <w:rFonts w:asciiTheme="majorHAnsi" w:hAnsiTheme="majorHAnsi"/>
          <w:color w:val="17365D" w:themeColor="text2" w:themeShade="BF"/>
        </w:rPr>
        <w:t xml:space="preserve">The MRC CIES </w:t>
      </w:r>
      <w:r w:rsidR="00F02A10">
        <w:rPr>
          <w:rFonts w:asciiTheme="majorHAnsi" w:hAnsiTheme="majorHAnsi"/>
          <w:color w:val="17365D" w:themeColor="text2" w:themeShade="BF"/>
        </w:rPr>
        <w:t xml:space="preserve">management </w:t>
      </w:r>
      <w:r w:rsidRPr="00B05E6F">
        <w:rPr>
          <w:rFonts w:asciiTheme="majorHAnsi" w:hAnsiTheme="majorHAnsi"/>
          <w:color w:val="17365D" w:themeColor="text2" w:themeShade="BF"/>
        </w:rPr>
        <w:t xml:space="preserve">team continuously </w:t>
      </w:r>
      <w:r>
        <w:rPr>
          <w:rFonts w:asciiTheme="majorHAnsi" w:hAnsiTheme="majorHAnsi"/>
          <w:color w:val="17365D" w:themeColor="text2" w:themeShade="BF"/>
        </w:rPr>
        <w:t xml:space="preserve">monitors and </w:t>
      </w:r>
      <w:r w:rsidRPr="00B05E6F">
        <w:rPr>
          <w:rFonts w:asciiTheme="majorHAnsi" w:hAnsiTheme="majorHAnsi"/>
          <w:color w:val="17365D" w:themeColor="text2" w:themeShade="BF"/>
        </w:rPr>
        <w:t xml:space="preserve">evaluates </w:t>
      </w:r>
      <w:r>
        <w:rPr>
          <w:rFonts w:asciiTheme="majorHAnsi" w:hAnsiTheme="majorHAnsi"/>
          <w:color w:val="17365D" w:themeColor="text2" w:themeShade="BF"/>
        </w:rPr>
        <w:t>performance quality</w:t>
      </w:r>
      <w:r w:rsidR="00725503">
        <w:rPr>
          <w:rFonts w:asciiTheme="majorHAnsi" w:hAnsiTheme="majorHAnsi"/>
          <w:color w:val="17365D" w:themeColor="text2" w:themeShade="BF"/>
        </w:rPr>
        <w:t xml:space="preserve"> </w:t>
      </w:r>
      <w:r w:rsidR="00725503" w:rsidRPr="00B05E6F">
        <w:rPr>
          <w:rFonts w:asciiTheme="majorHAnsi" w:hAnsiTheme="majorHAnsi"/>
          <w:color w:val="17365D" w:themeColor="text2" w:themeShade="BF"/>
        </w:rPr>
        <w:t>to ensure th</w:t>
      </w:r>
      <w:r w:rsidR="00F02A10">
        <w:rPr>
          <w:rFonts w:asciiTheme="majorHAnsi" w:hAnsiTheme="majorHAnsi"/>
          <w:color w:val="17365D" w:themeColor="text2" w:themeShade="BF"/>
        </w:rPr>
        <w:t>e best</w:t>
      </w:r>
      <w:r w:rsidR="00725503" w:rsidRPr="00B05E6F">
        <w:rPr>
          <w:rFonts w:asciiTheme="majorHAnsi" w:hAnsiTheme="majorHAnsi"/>
          <w:color w:val="17365D" w:themeColor="text2" w:themeShade="BF"/>
        </w:rPr>
        <w:t xml:space="preserve"> possible </w:t>
      </w:r>
      <w:r w:rsidR="00F02A10">
        <w:rPr>
          <w:rFonts w:asciiTheme="majorHAnsi" w:hAnsiTheme="majorHAnsi"/>
          <w:color w:val="17365D" w:themeColor="text2" w:themeShade="BF"/>
        </w:rPr>
        <w:t xml:space="preserve">consumer </w:t>
      </w:r>
      <w:r w:rsidR="00725503" w:rsidRPr="00B05E6F">
        <w:rPr>
          <w:rFonts w:asciiTheme="majorHAnsi" w:hAnsiTheme="majorHAnsi"/>
          <w:color w:val="17365D" w:themeColor="text2" w:themeShade="BF"/>
        </w:rPr>
        <w:t>employment outcomes</w:t>
      </w:r>
      <w:r w:rsidR="00CB19BC">
        <w:rPr>
          <w:rFonts w:asciiTheme="majorHAnsi" w:hAnsiTheme="majorHAnsi"/>
          <w:color w:val="17365D" w:themeColor="text2" w:themeShade="BF"/>
        </w:rPr>
        <w:t>,</w:t>
      </w:r>
      <w:r w:rsidR="00B809E4" w:rsidRPr="00B05E6F">
        <w:rPr>
          <w:rFonts w:asciiTheme="majorHAnsi" w:hAnsiTheme="majorHAnsi"/>
          <w:color w:val="17365D" w:themeColor="text2" w:themeShade="BF"/>
        </w:rPr>
        <w:t xml:space="preserve"> </w:t>
      </w:r>
      <w:r w:rsidR="00CB19BC" w:rsidRPr="00B05E6F">
        <w:rPr>
          <w:rFonts w:asciiTheme="majorHAnsi" w:hAnsiTheme="majorHAnsi"/>
          <w:color w:val="17365D" w:themeColor="text2" w:themeShade="BF"/>
        </w:rPr>
        <w:t xml:space="preserve">using tools such as site visits, </w:t>
      </w:r>
      <w:r w:rsidR="006B12ED">
        <w:rPr>
          <w:rFonts w:asciiTheme="majorHAnsi" w:hAnsiTheme="majorHAnsi"/>
          <w:color w:val="17365D" w:themeColor="text2" w:themeShade="BF"/>
        </w:rPr>
        <w:t>monthly</w:t>
      </w:r>
      <w:r w:rsidR="006B12ED" w:rsidRPr="00B05E6F">
        <w:rPr>
          <w:rFonts w:asciiTheme="majorHAnsi" w:hAnsiTheme="majorHAnsi"/>
          <w:color w:val="17365D" w:themeColor="text2" w:themeShade="BF"/>
        </w:rPr>
        <w:t xml:space="preserve"> </w:t>
      </w:r>
      <w:r w:rsidR="00CB19BC" w:rsidRPr="00B05E6F">
        <w:rPr>
          <w:rFonts w:asciiTheme="majorHAnsi" w:hAnsiTheme="majorHAnsi"/>
          <w:color w:val="17365D" w:themeColor="text2" w:themeShade="BF"/>
        </w:rPr>
        <w:t>data analysis</w:t>
      </w:r>
      <w:r w:rsidR="006B12ED">
        <w:rPr>
          <w:rFonts w:asciiTheme="majorHAnsi" w:hAnsiTheme="majorHAnsi"/>
          <w:color w:val="17365D" w:themeColor="text2" w:themeShade="BF"/>
        </w:rPr>
        <w:t xml:space="preserve"> and</w:t>
      </w:r>
      <w:r w:rsidR="00CB19BC" w:rsidRPr="00B05E6F">
        <w:rPr>
          <w:rFonts w:asciiTheme="majorHAnsi" w:hAnsiTheme="majorHAnsi"/>
          <w:color w:val="17365D" w:themeColor="text2" w:themeShade="BF"/>
        </w:rPr>
        <w:t xml:space="preserve"> reporting, quarterly </w:t>
      </w:r>
      <w:r w:rsidR="006B12ED">
        <w:rPr>
          <w:rFonts w:asciiTheme="majorHAnsi" w:hAnsiTheme="majorHAnsi"/>
          <w:color w:val="17365D" w:themeColor="text2" w:themeShade="BF"/>
        </w:rPr>
        <w:t xml:space="preserve">management </w:t>
      </w:r>
      <w:r w:rsidR="00CB19BC" w:rsidRPr="00B05E6F">
        <w:rPr>
          <w:rFonts w:asciiTheme="majorHAnsi" w:hAnsiTheme="majorHAnsi"/>
          <w:color w:val="17365D" w:themeColor="text2" w:themeShade="BF"/>
        </w:rPr>
        <w:t xml:space="preserve">team meetings, and annual provider and </w:t>
      </w:r>
      <w:r w:rsidR="0067349D">
        <w:rPr>
          <w:rFonts w:asciiTheme="majorHAnsi" w:hAnsiTheme="majorHAnsi"/>
          <w:color w:val="17365D" w:themeColor="text2" w:themeShade="BF"/>
        </w:rPr>
        <w:t>consumer surveys.</w:t>
      </w:r>
      <w:r w:rsidR="009459DA">
        <w:rPr>
          <w:rFonts w:asciiTheme="majorHAnsi" w:hAnsiTheme="majorHAnsi"/>
          <w:color w:val="17365D" w:themeColor="text2" w:themeShade="BF"/>
        </w:rPr>
        <w:t xml:space="preserve">  The percentage of consumers placed who achieved a </w:t>
      </w:r>
      <w:r w:rsidR="0070719E">
        <w:rPr>
          <w:rFonts w:asciiTheme="majorHAnsi" w:hAnsiTheme="majorHAnsi"/>
          <w:color w:val="17365D" w:themeColor="text2" w:themeShade="BF"/>
        </w:rPr>
        <w:t>successful employment outco</w:t>
      </w:r>
      <w:r w:rsidR="00CF62FD">
        <w:rPr>
          <w:rFonts w:asciiTheme="majorHAnsi" w:hAnsiTheme="majorHAnsi"/>
          <w:color w:val="17365D" w:themeColor="text2" w:themeShade="BF"/>
        </w:rPr>
        <w:t>me increased by 3% over the four period from SFY2014 to SFY2017</w:t>
      </w:r>
      <w:r w:rsidR="0070719E">
        <w:rPr>
          <w:rFonts w:asciiTheme="majorHAnsi" w:hAnsiTheme="majorHAnsi"/>
          <w:color w:val="17365D" w:themeColor="text2" w:themeShade="BF"/>
        </w:rPr>
        <w:t xml:space="preserve"> and the number of suc</w:t>
      </w:r>
      <w:r w:rsidR="00CF62FD">
        <w:rPr>
          <w:rFonts w:asciiTheme="majorHAnsi" w:hAnsiTheme="majorHAnsi"/>
          <w:color w:val="17365D" w:themeColor="text2" w:themeShade="BF"/>
        </w:rPr>
        <w:t>cessful outcomes increased by 21% over the same four year period.</w:t>
      </w:r>
      <w:r w:rsidR="009459DA">
        <w:rPr>
          <w:rFonts w:asciiTheme="majorHAnsi" w:hAnsiTheme="majorHAnsi"/>
          <w:color w:val="17365D" w:themeColor="text2" w:themeShade="BF"/>
        </w:rPr>
        <w:t xml:space="preserve"> </w:t>
      </w:r>
      <w:r w:rsidR="00896037">
        <w:rPr>
          <w:rFonts w:asciiTheme="majorHAnsi" w:hAnsiTheme="majorHAnsi"/>
          <w:color w:val="0F243E" w:themeColor="text2" w:themeShade="80"/>
        </w:rPr>
        <w:t xml:space="preserve"> </w:t>
      </w:r>
      <w:r w:rsidR="00F57856" w:rsidRPr="003C22A9">
        <w:rPr>
          <w:rFonts w:asciiTheme="majorHAnsi" w:hAnsiTheme="majorHAnsi"/>
          <w:color w:val="0F243E" w:themeColor="text2" w:themeShade="80"/>
        </w:rPr>
        <w:t>T</w:t>
      </w:r>
      <w:r w:rsidR="006B12ED" w:rsidRPr="003C22A9">
        <w:rPr>
          <w:rFonts w:asciiTheme="majorHAnsi" w:hAnsiTheme="majorHAnsi"/>
          <w:color w:val="0F243E" w:themeColor="text2" w:themeShade="80"/>
        </w:rPr>
        <w:t>he</w:t>
      </w:r>
      <w:r w:rsidR="006B12ED" w:rsidRPr="003C22A9">
        <w:rPr>
          <w:rFonts w:asciiTheme="majorHAnsi" w:hAnsiTheme="majorHAnsi"/>
          <w:color w:val="17365D" w:themeColor="text2" w:themeShade="BF"/>
        </w:rPr>
        <w:t xml:space="preserve"> CIES program </w:t>
      </w:r>
      <w:r w:rsidR="00CA3389" w:rsidRPr="003C22A9">
        <w:rPr>
          <w:rFonts w:asciiTheme="majorHAnsi" w:hAnsiTheme="majorHAnsi"/>
          <w:color w:val="17365D" w:themeColor="text2" w:themeShade="BF"/>
        </w:rPr>
        <w:t xml:space="preserve">continues to </w:t>
      </w:r>
      <w:r w:rsidR="0067349D" w:rsidRPr="003C22A9">
        <w:rPr>
          <w:rFonts w:asciiTheme="majorHAnsi" w:hAnsiTheme="majorHAnsi"/>
          <w:color w:val="17365D" w:themeColor="text2" w:themeShade="BF"/>
        </w:rPr>
        <w:t xml:space="preserve">achieve high performance and </w:t>
      </w:r>
      <w:r w:rsidR="00735FCE" w:rsidRPr="003C22A9">
        <w:rPr>
          <w:rFonts w:asciiTheme="majorHAnsi" w:hAnsiTheme="majorHAnsi"/>
          <w:color w:val="17365D" w:themeColor="text2" w:themeShade="BF"/>
        </w:rPr>
        <w:t xml:space="preserve">to </w:t>
      </w:r>
      <w:r w:rsidR="00CA3389" w:rsidRPr="003C22A9">
        <w:rPr>
          <w:rFonts w:asciiTheme="majorHAnsi" w:hAnsiTheme="majorHAnsi"/>
          <w:color w:val="17365D" w:themeColor="text2" w:themeShade="BF"/>
        </w:rPr>
        <w:t>positive</w:t>
      </w:r>
      <w:r w:rsidR="00F57856" w:rsidRPr="003C22A9">
        <w:rPr>
          <w:rFonts w:asciiTheme="majorHAnsi" w:hAnsiTheme="majorHAnsi"/>
          <w:color w:val="17365D" w:themeColor="text2" w:themeShade="BF"/>
        </w:rPr>
        <w:t>ly impact consumer employment</w:t>
      </w:r>
      <w:r w:rsidR="00CA3389" w:rsidRPr="003C22A9">
        <w:rPr>
          <w:rFonts w:asciiTheme="majorHAnsi" w:hAnsiTheme="majorHAnsi"/>
          <w:color w:val="17365D" w:themeColor="text2" w:themeShade="BF"/>
        </w:rPr>
        <w:t xml:space="preserve"> outcomes</w:t>
      </w:r>
      <w:r w:rsidR="006B12ED" w:rsidRPr="003C22A9">
        <w:rPr>
          <w:rFonts w:asciiTheme="majorHAnsi" w:hAnsiTheme="majorHAnsi"/>
          <w:color w:val="17365D" w:themeColor="text2" w:themeShade="BF"/>
        </w:rPr>
        <w:t>.</w:t>
      </w:r>
      <w:r w:rsidR="0070719E">
        <w:rPr>
          <w:rFonts w:asciiTheme="majorHAnsi" w:hAnsiTheme="majorHAnsi"/>
          <w:color w:val="17365D" w:themeColor="text2" w:themeShade="BF"/>
        </w:rPr>
        <w:t xml:space="preserve">  </w:t>
      </w:r>
    </w:p>
    <w:sectPr w:rsidR="0020659F" w:rsidRPr="006B12ED" w:rsidSect="007F6642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AE" w:rsidRDefault="00C96DAE" w:rsidP="00C726C3">
      <w:pPr>
        <w:spacing w:after="0" w:line="240" w:lineRule="auto"/>
      </w:pPr>
      <w:r>
        <w:separator/>
      </w:r>
    </w:p>
  </w:endnote>
  <w:endnote w:type="continuationSeparator" w:id="0">
    <w:p w:rsidR="00C96DAE" w:rsidRDefault="00C96DAE" w:rsidP="00C7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42" w:rsidRPr="006A6528" w:rsidRDefault="00CA6D42" w:rsidP="001F6071">
    <w:pPr>
      <w:pStyle w:val="Footer"/>
      <w:jc w:val="center"/>
      <w:rPr>
        <w:rFonts w:asciiTheme="majorHAnsi" w:hAnsiTheme="majorHAnsi"/>
        <w:color w:val="A6A6A6" w:themeColor="background1" w:themeShade="A6"/>
        <w:sz w:val="20"/>
        <w:szCs w:val="20"/>
      </w:rPr>
    </w:pPr>
    <w:r w:rsidRPr="006A6528">
      <w:rPr>
        <w:rFonts w:asciiTheme="majorHAnsi" w:hAnsiTheme="majorHAnsi"/>
        <w:color w:val="A6A6A6" w:themeColor="background1" w:themeShade="A6"/>
        <w:sz w:val="20"/>
        <w:szCs w:val="20"/>
      </w:rPr>
      <w:t>Massachusetts Rehabilitation Commission, 600 Washington Street, 2</w:t>
    </w:r>
    <w:r w:rsidRPr="006A6528">
      <w:rPr>
        <w:rFonts w:asciiTheme="majorHAnsi" w:hAnsiTheme="majorHAnsi"/>
        <w:color w:val="A6A6A6" w:themeColor="background1" w:themeShade="A6"/>
        <w:sz w:val="20"/>
        <w:szCs w:val="20"/>
        <w:vertAlign w:val="superscript"/>
      </w:rPr>
      <w:t>nd</w:t>
    </w:r>
    <w:r w:rsidRPr="006A6528">
      <w:rPr>
        <w:rFonts w:asciiTheme="majorHAnsi" w:hAnsiTheme="majorHAnsi"/>
        <w:color w:val="A6A6A6" w:themeColor="background1" w:themeShade="A6"/>
        <w:sz w:val="20"/>
        <w:szCs w:val="20"/>
      </w:rPr>
      <w:t xml:space="preserve"> Floor, Boston, MA 02111-1704</w:t>
    </w:r>
  </w:p>
  <w:p w:rsidR="00CA6D42" w:rsidRPr="006A6528" w:rsidRDefault="00CA6D42" w:rsidP="001F6071">
    <w:pPr>
      <w:pStyle w:val="Footer"/>
      <w:jc w:val="center"/>
      <w:rPr>
        <w:rFonts w:asciiTheme="majorHAnsi" w:hAnsiTheme="majorHAnsi"/>
        <w:color w:val="A6A6A6" w:themeColor="background1" w:themeShade="A6"/>
        <w:sz w:val="20"/>
        <w:szCs w:val="20"/>
      </w:rPr>
    </w:pPr>
    <w:r w:rsidRPr="006A6528">
      <w:rPr>
        <w:rFonts w:asciiTheme="majorHAnsi" w:hAnsiTheme="majorHAnsi"/>
        <w:color w:val="A6A6A6" w:themeColor="background1" w:themeShade="A6"/>
        <w:sz w:val="20"/>
        <w:szCs w:val="20"/>
      </w:rPr>
      <w:t>(617) 204-3600; (800) 245-6543; TTY 1-(617) 204-3863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AE" w:rsidRDefault="00C96DAE" w:rsidP="00C726C3">
      <w:pPr>
        <w:spacing w:after="0" w:line="240" w:lineRule="auto"/>
      </w:pPr>
      <w:r>
        <w:separator/>
      </w:r>
    </w:p>
  </w:footnote>
  <w:footnote w:type="continuationSeparator" w:id="0">
    <w:p w:rsidR="00C96DAE" w:rsidRDefault="00C96DAE" w:rsidP="00C7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AC9"/>
    <w:multiLevelType w:val="hybridMultilevel"/>
    <w:tmpl w:val="F7CE4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E1879"/>
    <w:multiLevelType w:val="hybridMultilevel"/>
    <w:tmpl w:val="B5E009FC"/>
    <w:lvl w:ilvl="0" w:tplc="744ABB44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 w15:restartNumberingAfterBreak="0">
    <w:nsid w:val="1D4B78C0"/>
    <w:multiLevelType w:val="hybridMultilevel"/>
    <w:tmpl w:val="4EDCE4FE"/>
    <w:lvl w:ilvl="0" w:tplc="6538A1C4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863420CA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44B65D4C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Arial" w:hAnsi="Arial" w:hint="default"/>
      </w:rPr>
    </w:lvl>
    <w:lvl w:ilvl="3" w:tplc="A77AA216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4" w:tplc="9A6E144A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Arial" w:hAnsi="Arial" w:hint="default"/>
      </w:rPr>
    </w:lvl>
    <w:lvl w:ilvl="5" w:tplc="A3E645AC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Arial" w:hAnsi="Arial" w:hint="default"/>
      </w:rPr>
    </w:lvl>
    <w:lvl w:ilvl="6" w:tplc="2DDEE524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Arial" w:hAnsi="Arial" w:hint="default"/>
      </w:rPr>
    </w:lvl>
    <w:lvl w:ilvl="7" w:tplc="55089452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Arial" w:hAnsi="Arial" w:hint="default"/>
      </w:rPr>
    </w:lvl>
    <w:lvl w:ilvl="8" w:tplc="81C83630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Arial" w:hAnsi="Arial" w:hint="default"/>
      </w:rPr>
    </w:lvl>
  </w:abstractNum>
  <w:abstractNum w:abstractNumId="3" w15:restartNumberingAfterBreak="0">
    <w:nsid w:val="23761FB4"/>
    <w:multiLevelType w:val="hybridMultilevel"/>
    <w:tmpl w:val="E2823560"/>
    <w:lvl w:ilvl="0" w:tplc="24CAB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2B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44C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A89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6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AD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C24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BAD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82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C459B5"/>
    <w:multiLevelType w:val="hybridMultilevel"/>
    <w:tmpl w:val="88107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77C2"/>
    <w:multiLevelType w:val="hybridMultilevel"/>
    <w:tmpl w:val="43D00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E56E9"/>
    <w:multiLevelType w:val="hybridMultilevel"/>
    <w:tmpl w:val="FE2EE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751AA"/>
    <w:multiLevelType w:val="hybridMultilevel"/>
    <w:tmpl w:val="46F226A4"/>
    <w:lvl w:ilvl="0" w:tplc="C3E4B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6B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C81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C4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E2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001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685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0A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40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27F"/>
    <w:rsid w:val="00000A30"/>
    <w:rsid w:val="0001262B"/>
    <w:rsid w:val="00021343"/>
    <w:rsid w:val="0002508D"/>
    <w:rsid w:val="000262F2"/>
    <w:rsid w:val="000306CF"/>
    <w:rsid w:val="000316E1"/>
    <w:rsid w:val="00032AFB"/>
    <w:rsid w:val="00033423"/>
    <w:rsid w:val="000349C4"/>
    <w:rsid w:val="0004656D"/>
    <w:rsid w:val="00047FF2"/>
    <w:rsid w:val="00050582"/>
    <w:rsid w:val="00054850"/>
    <w:rsid w:val="00062C4B"/>
    <w:rsid w:val="00095C0C"/>
    <w:rsid w:val="000A085D"/>
    <w:rsid w:val="000A18B0"/>
    <w:rsid w:val="000B0086"/>
    <w:rsid w:val="000B0340"/>
    <w:rsid w:val="000B4699"/>
    <w:rsid w:val="000B6C10"/>
    <w:rsid w:val="000C7F5A"/>
    <w:rsid w:val="000D07F9"/>
    <w:rsid w:val="000E49CD"/>
    <w:rsid w:val="000F5508"/>
    <w:rsid w:val="00103A1D"/>
    <w:rsid w:val="00111CB8"/>
    <w:rsid w:val="00116398"/>
    <w:rsid w:val="00131251"/>
    <w:rsid w:val="001321EC"/>
    <w:rsid w:val="00146A62"/>
    <w:rsid w:val="00154903"/>
    <w:rsid w:val="00154F4E"/>
    <w:rsid w:val="00163706"/>
    <w:rsid w:val="00167F2B"/>
    <w:rsid w:val="001800B1"/>
    <w:rsid w:val="00187A11"/>
    <w:rsid w:val="001A22F3"/>
    <w:rsid w:val="001A4A04"/>
    <w:rsid w:val="001B3D49"/>
    <w:rsid w:val="001B4966"/>
    <w:rsid w:val="001C2A89"/>
    <w:rsid w:val="001C382E"/>
    <w:rsid w:val="001D687C"/>
    <w:rsid w:val="001E16FA"/>
    <w:rsid w:val="001F6071"/>
    <w:rsid w:val="002036F5"/>
    <w:rsid w:val="00203874"/>
    <w:rsid w:val="0020586D"/>
    <w:rsid w:val="0020643D"/>
    <w:rsid w:val="0020659F"/>
    <w:rsid w:val="00210826"/>
    <w:rsid w:val="0021117C"/>
    <w:rsid w:val="00214A10"/>
    <w:rsid w:val="00222251"/>
    <w:rsid w:val="00223D29"/>
    <w:rsid w:val="00230B2F"/>
    <w:rsid w:val="002319E5"/>
    <w:rsid w:val="00242869"/>
    <w:rsid w:val="00251A1C"/>
    <w:rsid w:val="00257904"/>
    <w:rsid w:val="00261D06"/>
    <w:rsid w:val="002641EC"/>
    <w:rsid w:val="00267ABB"/>
    <w:rsid w:val="00270ED1"/>
    <w:rsid w:val="002A1975"/>
    <w:rsid w:val="002A19E9"/>
    <w:rsid w:val="002A3EF0"/>
    <w:rsid w:val="002A464F"/>
    <w:rsid w:val="002A4A86"/>
    <w:rsid w:val="002A71EC"/>
    <w:rsid w:val="002C51D1"/>
    <w:rsid w:val="002D13A2"/>
    <w:rsid w:val="002D1ACD"/>
    <w:rsid w:val="002F1382"/>
    <w:rsid w:val="002F22E4"/>
    <w:rsid w:val="0030046F"/>
    <w:rsid w:val="003017C5"/>
    <w:rsid w:val="00302201"/>
    <w:rsid w:val="003028DC"/>
    <w:rsid w:val="003034DC"/>
    <w:rsid w:val="0030573D"/>
    <w:rsid w:val="00305CDD"/>
    <w:rsid w:val="003073F5"/>
    <w:rsid w:val="00313F51"/>
    <w:rsid w:val="00315CE4"/>
    <w:rsid w:val="00322F99"/>
    <w:rsid w:val="00324B0C"/>
    <w:rsid w:val="00327122"/>
    <w:rsid w:val="003351C6"/>
    <w:rsid w:val="00351A90"/>
    <w:rsid w:val="00353C38"/>
    <w:rsid w:val="00357A35"/>
    <w:rsid w:val="00361842"/>
    <w:rsid w:val="00361E43"/>
    <w:rsid w:val="003670A5"/>
    <w:rsid w:val="00372E39"/>
    <w:rsid w:val="00376AB7"/>
    <w:rsid w:val="00384562"/>
    <w:rsid w:val="00385516"/>
    <w:rsid w:val="0039063F"/>
    <w:rsid w:val="003937C4"/>
    <w:rsid w:val="003C22A9"/>
    <w:rsid w:val="003C2E6E"/>
    <w:rsid w:val="003C3D9C"/>
    <w:rsid w:val="003D133E"/>
    <w:rsid w:val="003E5138"/>
    <w:rsid w:val="003F7668"/>
    <w:rsid w:val="0040502F"/>
    <w:rsid w:val="00405155"/>
    <w:rsid w:val="00406F6D"/>
    <w:rsid w:val="00410BE4"/>
    <w:rsid w:val="00412B4D"/>
    <w:rsid w:val="004142D9"/>
    <w:rsid w:val="00416FE9"/>
    <w:rsid w:val="0041788D"/>
    <w:rsid w:val="004210D5"/>
    <w:rsid w:val="00421268"/>
    <w:rsid w:val="004237CD"/>
    <w:rsid w:val="0043741E"/>
    <w:rsid w:val="004555DD"/>
    <w:rsid w:val="00457917"/>
    <w:rsid w:val="004601D1"/>
    <w:rsid w:val="004605C1"/>
    <w:rsid w:val="0046183E"/>
    <w:rsid w:val="00463C15"/>
    <w:rsid w:val="004650FF"/>
    <w:rsid w:val="00465B8D"/>
    <w:rsid w:val="00465DD0"/>
    <w:rsid w:val="00467070"/>
    <w:rsid w:val="004715F6"/>
    <w:rsid w:val="004752B9"/>
    <w:rsid w:val="00475847"/>
    <w:rsid w:val="004814A6"/>
    <w:rsid w:val="00483081"/>
    <w:rsid w:val="00484B33"/>
    <w:rsid w:val="004943D1"/>
    <w:rsid w:val="00496162"/>
    <w:rsid w:val="00497C8E"/>
    <w:rsid w:val="004A0F73"/>
    <w:rsid w:val="004A7219"/>
    <w:rsid w:val="004B1264"/>
    <w:rsid w:val="004B55E4"/>
    <w:rsid w:val="004B6D44"/>
    <w:rsid w:val="004C0AAD"/>
    <w:rsid w:val="004C1236"/>
    <w:rsid w:val="004D1020"/>
    <w:rsid w:val="004D1BFF"/>
    <w:rsid w:val="004D360B"/>
    <w:rsid w:val="004D4DFF"/>
    <w:rsid w:val="004E0A16"/>
    <w:rsid w:val="004E0E57"/>
    <w:rsid w:val="004F2AD4"/>
    <w:rsid w:val="0050424F"/>
    <w:rsid w:val="0051325D"/>
    <w:rsid w:val="00513BDD"/>
    <w:rsid w:val="005218F8"/>
    <w:rsid w:val="00521FB8"/>
    <w:rsid w:val="00525F6E"/>
    <w:rsid w:val="00531D27"/>
    <w:rsid w:val="0053324F"/>
    <w:rsid w:val="0054277F"/>
    <w:rsid w:val="00542C1D"/>
    <w:rsid w:val="00542E61"/>
    <w:rsid w:val="005432DB"/>
    <w:rsid w:val="0054395D"/>
    <w:rsid w:val="00545992"/>
    <w:rsid w:val="00555334"/>
    <w:rsid w:val="00556D5D"/>
    <w:rsid w:val="005646FE"/>
    <w:rsid w:val="005667FB"/>
    <w:rsid w:val="00571A76"/>
    <w:rsid w:val="0057276B"/>
    <w:rsid w:val="00583B56"/>
    <w:rsid w:val="00585CDB"/>
    <w:rsid w:val="00585EA4"/>
    <w:rsid w:val="005A0427"/>
    <w:rsid w:val="005A6387"/>
    <w:rsid w:val="005B0A92"/>
    <w:rsid w:val="005B21B0"/>
    <w:rsid w:val="005B2292"/>
    <w:rsid w:val="005C3742"/>
    <w:rsid w:val="005C7B93"/>
    <w:rsid w:val="005D3998"/>
    <w:rsid w:val="005D3CCC"/>
    <w:rsid w:val="005E4D8E"/>
    <w:rsid w:val="005F1364"/>
    <w:rsid w:val="005F163E"/>
    <w:rsid w:val="005F3475"/>
    <w:rsid w:val="005F3E28"/>
    <w:rsid w:val="005F53E2"/>
    <w:rsid w:val="005F5A87"/>
    <w:rsid w:val="005F708E"/>
    <w:rsid w:val="0060226F"/>
    <w:rsid w:val="006070E7"/>
    <w:rsid w:val="00611921"/>
    <w:rsid w:val="00612335"/>
    <w:rsid w:val="00630652"/>
    <w:rsid w:val="0063182A"/>
    <w:rsid w:val="0063443D"/>
    <w:rsid w:val="00643F3B"/>
    <w:rsid w:val="006511E0"/>
    <w:rsid w:val="006515CB"/>
    <w:rsid w:val="00652DDB"/>
    <w:rsid w:val="00653028"/>
    <w:rsid w:val="00654CA4"/>
    <w:rsid w:val="00661127"/>
    <w:rsid w:val="006656AE"/>
    <w:rsid w:val="00665F42"/>
    <w:rsid w:val="0067349D"/>
    <w:rsid w:val="0068213F"/>
    <w:rsid w:val="00682D42"/>
    <w:rsid w:val="0068561E"/>
    <w:rsid w:val="006A6528"/>
    <w:rsid w:val="006B1022"/>
    <w:rsid w:val="006B12ED"/>
    <w:rsid w:val="006B328B"/>
    <w:rsid w:val="006C2A6D"/>
    <w:rsid w:val="006C403D"/>
    <w:rsid w:val="006D3D6D"/>
    <w:rsid w:val="006D4EFD"/>
    <w:rsid w:val="006D78A9"/>
    <w:rsid w:val="006E02F8"/>
    <w:rsid w:val="006E5227"/>
    <w:rsid w:val="006E5B0F"/>
    <w:rsid w:val="006E743C"/>
    <w:rsid w:val="006F2073"/>
    <w:rsid w:val="006F54CA"/>
    <w:rsid w:val="00700DD2"/>
    <w:rsid w:val="00706179"/>
    <w:rsid w:val="0070719E"/>
    <w:rsid w:val="0071000C"/>
    <w:rsid w:val="007113BE"/>
    <w:rsid w:val="007126B6"/>
    <w:rsid w:val="0071558B"/>
    <w:rsid w:val="00725503"/>
    <w:rsid w:val="00730CE7"/>
    <w:rsid w:val="00735FCE"/>
    <w:rsid w:val="00740471"/>
    <w:rsid w:val="00740DA5"/>
    <w:rsid w:val="00741B7C"/>
    <w:rsid w:val="007515F6"/>
    <w:rsid w:val="00752AA0"/>
    <w:rsid w:val="007530F5"/>
    <w:rsid w:val="00760EC2"/>
    <w:rsid w:val="0076199D"/>
    <w:rsid w:val="007623E1"/>
    <w:rsid w:val="007631DA"/>
    <w:rsid w:val="00772B1B"/>
    <w:rsid w:val="00780F89"/>
    <w:rsid w:val="00783D41"/>
    <w:rsid w:val="00797634"/>
    <w:rsid w:val="007A7398"/>
    <w:rsid w:val="007A77A7"/>
    <w:rsid w:val="007C3B00"/>
    <w:rsid w:val="007D334D"/>
    <w:rsid w:val="007D77F9"/>
    <w:rsid w:val="007E0810"/>
    <w:rsid w:val="007E1622"/>
    <w:rsid w:val="007E64FF"/>
    <w:rsid w:val="007F6642"/>
    <w:rsid w:val="0080133A"/>
    <w:rsid w:val="00805719"/>
    <w:rsid w:val="0080757C"/>
    <w:rsid w:val="0080772F"/>
    <w:rsid w:val="00807E60"/>
    <w:rsid w:val="008148C7"/>
    <w:rsid w:val="0083163E"/>
    <w:rsid w:val="008430B9"/>
    <w:rsid w:val="008549BD"/>
    <w:rsid w:val="0086476D"/>
    <w:rsid w:val="008657FF"/>
    <w:rsid w:val="00867563"/>
    <w:rsid w:val="00871137"/>
    <w:rsid w:val="00872961"/>
    <w:rsid w:val="00873766"/>
    <w:rsid w:val="0087623D"/>
    <w:rsid w:val="00877C59"/>
    <w:rsid w:val="00890788"/>
    <w:rsid w:val="0089500B"/>
    <w:rsid w:val="00896037"/>
    <w:rsid w:val="00896755"/>
    <w:rsid w:val="008B0A97"/>
    <w:rsid w:val="008B104A"/>
    <w:rsid w:val="008B7C70"/>
    <w:rsid w:val="008D001F"/>
    <w:rsid w:val="008D0322"/>
    <w:rsid w:val="008D3CCB"/>
    <w:rsid w:val="008D442B"/>
    <w:rsid w:val="008D4461"/>
    <w:rsid w:val="008D6D03"/>
    <w:rsid w:val="008E558B"/>
    <w:rsid w:val="008F61A3"/>
    <w:rsid w:val="00900A25"/>
    <w:rsid w:val="009105D7"/>
    <w:rsid w:val="00910B9E"/>
    <w:rsid w:val="00915224"/>
    <w:rsid w:val="00915FF2"/>
    <w:rsid w:val="00920B16"/>
    <w:rsid w:val="00934DF7"/>
    <w:rsid w:val="00940169"/>
    <w:rsid w:val="00940952"/>
    <w:rsid w:val="009459DA"/>
    <w:rsid w:val="00950B65"/>
    <w:rsid w:val="009517AE"/>
    <w:rsid w:val="009657FA"/>
    <w:rsid w:val="00984AAC"/>
    <w:rsid w:val="00987BE4"/>
    <w:rsid w:val="009927FC"/>
    <w:rsid w:val="009A47FD"/>
    <w:rsid w:val="009B0311"/>
    <w:rsid w:val="009B2A6A"/>
    <w:rsid w:val="009B44C7"/>
    <w:rsid w:val="009B47C0"/>
    <w:rsid w:val="009B6FD9"/>
    <w:rsid w:val="009C27F0"/>
    <w:rsid w:val="009C2F02"/>
    <w:rsid w:val="009C66E5"/>
    <w:rsid w:val="009D4FA8"/>
    <w:rsid w:val="009E40E8"/>
    <w:rsid w:val="009F1B9C"/>
    <w:rsid w:val="009F64ED"/>
    <w:rsid w:val="009F7199"/>
    <w:rsid w:val="00A05B85"/>
    <w:rsid w:val="00A16843"/>
    <w:rsid w:val="00A26309"/>
    <w:rsid w:val="00A30DFC"/>
    <w:rsid w:val="00A34FC1"/>
    <w:rsid w:val="00A35795"/>
    <w:rsid w:val="00A36AF3"/>
    <w:rsid w:val="00A37524"/>
    <w:rsid w:val="00A4068F"/>
    <w:rsid w:val="00A42EE4"/>
    <w:rsid w:val="00A4382E"/>
    <w:rsid w:val="00A450B3"/>
    <w:rsid w:val="00A47F35"/>
    <w:rsid w:val="00A534B6"/>
    <w:rsid w:val="00A60E88"/>
    <w:rsid w:val="00A81880"/>
    <w:rsid w:val="00AA53A0"/>
    <w:rsid w:val="00AB1A89"/>
    <w:rsid w:val="00AB36C5"/>
    <w:rsid w:val="00AC1F23"/>
    <w:rsid w:val="00AC43A9"/>
    <w:rsid w:val="00AC7E6D"/>
    <w:rsid w:val="00AE3B0B"/>
    <w:rsid w:val="00AE5DC1"/>
    <w:rsid w:val="00AE6F4E"/>
    <w:rsid w:val="00AF275D"/>
    <w:rsid w:val="00AF5246"/>
    <w:rsid w:val="00AF7005"/>
    <w:rsid w:val="00B043F2"/>
    <w:rsid w:val="00B046CB"/>
    <w:rsid w:val="00B050F0"/>
    <w:rsid w:val="00B05E6F"/>
    <w:rsid w:val="00B07705"/>
    <w:rsid w:val="00B0797A"/>
    <w:rsid w:val="00B1141B"/>
    <w:rsid w:val="00B11E3B"/>
    <w:rsid w:val="00B213D9"/>
    <w:rsid w:val="00B24601"/>
    <w:rsid w:val="00B27009"/>
    <w:rsid w:val="00B31DD3"/>
    <w:rsid w:val="00B34856"/>
    <w:rsid w:val="00B44295"/>
    <w:rsid w:val="00B45A73"/>
    <w:rsid w:val="00B572E9"/>
    <w:rsid w:val="00B57443"/>
    <w:rsid w:val="00B619AB"/>
    <w:rsid w:val="00B61BCD"/>
    <w:rsid w:val="00B70E41"/>
    <w:rsid w:val="00B72F2A"/>
    <w:rsid w:val="00B754B7"/>
    <w:rsid w:val="00B8048F"/>
    <w:rsid w:val="00B809E4"/>
    <w:rsid w:val="00BA310A"/>
    <w:rsid w:val="00BA5DB1"/>
    <w:rsid w:val="00BB1E68"/>
    <w:rsid w:val="00BB2AC4"/>
    <w:rsid w:val="00BC7E93"/>
    <w:rsid w:val="00BC7EFB"/>
    <w:rsid w:val="00BD1242"/>
    <w:rsid w:val="00BD184A"/>
    <w:rsid w:val="00BD2E25"/>
    <w:rsid w:val="00BF0D8A"/>
    <w:rsid w:val="00C03C7C"/>
    <w:rsid w:val="00C078D0"/>
    <w:rsid w:val="00C30DAA"/>
    <w:rsid w:val="00C44664"/>
    <w:rsid w:val="00C4734D"/>
    <w:rsid w:val="00C47C15"/>
    <w:rsid w:val="00C502F5"/>
    <w:rsid w:val="00C63C38"/>
    <w:rsid w:val="00C66418"/>
    <w:rsid w:val="00C66479"/>
    <w:rsid w:val="00C705A7"/>
    <w:rsid w:val="00C70C69"/>
    <w:rsid w:val="00C71AFB"/>
    <w:rsid w:val="00C726C3"/>
    <w:rsid w:val="00C77088"/>
    <w:rsid w:val="00C770A8"/>
    <w:rsid w:val="00C77333"/>
    <w:rsid w:val="00C846F8"/>
    <w:rsid w:val="00C856D3"/>
    <w:rsid w:val="00C91DF1"/>
    <w:rsid w:val="00C92023"/>
    <w:rsid w:val="00C96DAE"/>
    <w:rsid w:val="00C97391"/>
    <w:rsid w:val="00CA3389"/>
    <w:rsid w:val="00CA3EA6"/>
    <w:rsid w:val="00CA6D42"/>
    <w:rsid w:val="00CB19BC"/>
    <w:rsid w:val="00CD5377"/>
    <w:rsid w:val="00CE0187"/>
    <w:rsid w:val="00CE1736"/>
    <w:rsid w:val="00CE2A49"/>
    <w:rsid w:val="00CF05B3"/>
    <w:rsid w:val="00CF1B60"/>
    <w:rsid w:val="00CF62FD"/>
    <w:rsid w:val="00CF699A"/>
    <w:rsid w:val="00D07757"/>
    <w:rsid w:val="00D11066"/>
    <w:rsid w:val="00D17DAD"/>
    <w:rsid w:val="00D21772"/>
    <w:rsid w:val="00D24528"/>
    <w:rsid w:val="00D27039"/>
    <w:rsid w:val="00D33A72"/>
    <w:rsid w:val="00D55501"/>
    <w:rsid w:val="00D61FBE"/>
    <w:rsid w:val="00D63805"/>
    <w:rsid w:val="00D64728"/>
    <w:rsid w:val="00D65CC3"/>
    <w:rsid w:val="00D66D15"/>
    <w:rsid w:val="00D77C31"/>
    <w:rsid w:val="00D808E3"/>
    <w:rsid w:val="00D81E72"/>
    <w:rsid w:val="00D845C4"/>
    <w:rsid w:val="00D85852"/>
    <w:rsid w:val="00D9081B"/>
    <w:rsid w:val="00DA2622"/>
    <w:rsid w:val="00DA2DF7"/>
    <w:rsid w:val="00DA3FF8"/>
    <w:rsid w:val="00DA6AB9"/>
    <w:rsid w:val="00DB1D37"/>
    <w:rsid w:val="00DB51B4"/>
    <w:rsid w:val="00DC5969"/>
    <w:rsid w:val="00DD39F3"/>
    <w:rsid w:val="00DD7999"/>
    <w:rsid w:val="00DE527D"/>
    <w:rsid w:val="00DF22F7"/>
    <w:rsid w:val="00E03660"/>
    <w:rsid w:val="00E054BA"/>
    <w:rsid w:val="00E10EA8"/>
    <w:rsid w:val="00E11FE2"/>
    <w:rsid w:val="00E21574"/>
    <w:rsid w:val="00E25DE4"/>
    <w:rsid w:val="00E31B62"/>
    <w:rsid w:val="00E33456"/>
    <w:rsid w:val="00E35607"/>
    <w:rsid w:val="00E40DD9"/>
    <w:rsid w:val="00E45DB1"/>
    <w:rsid w:val="00E66D79"/>
    <w:rsid w:val="00E71B21"/>
    <w:rsid w:val="00E7201E"/>
    <w:rsid w:val="00E72778"/>
    <w:rsid w:val="00E72FDC"/>
    <w:rsid w:val="00E74BD4"/>
    <w:rsid w:val="00E819DD"/>
    <w:rsid w:val="00E82363"/>
    <w:rsid w:val="00E94FA0"/>
    <w:rsid w:val="00E97505"/>
    <w:rsid w:val="00EA0554"/>
    <w:rsid w:val="00EA59B1"/>
    <w:rsid w:val="00EA6110"/>
    <w:rsid w:val="00ED787A"/>
    <w:rsid w:val="00EE6A2D"/>
    <w:rsid w:val="00EF345A"/>
    <w:rsid w:val="00EF39B6"/>
    <w:rsid w:val="00F01FCD"/>
    <w:rsid w:val="00F02A10"/>
    <w:rsid w:val="00F0336B"/>
    <w:rsid w:val="00F143F9"/>
    <w:rsid w:val="00F22FF1"/>
    <w:rsid w:val="00F27E1B"/>
    <w:rsid w:val="00F32437"/>
    <w:rsid w:val="00F437D0"/>
    <w:rsid w:val="00F4570D"/>
    <w:rsid w:val="00F46BAB"/>
    <w:rsid w:val="00F57856"/>
    <w:rsid w:val="00F63A77"/>
    <w:rsid w:val="00F675D3"/>
    <w:rsid w:val="00F67BF4"/>
    <w:rsid w:val="00F82F39"/>
    <w:rsid w:val="00F93B82"/>
    <w:rsid w:val="00F9772E"/>
    <w:rsid w:val="00F97C29"/>
    <w:rsid w:val="00FA202A"/>
    <w:rsid w:val="00FA5615"/>
    <w:rsid w:val="00FA7C41"/>
    <w:rsid w:val="00FB7495"/>
    <w:rsid w:val="00FC311E"/>
    <w:rsid w:val="00FC4EAF"/>
    <w:rsid w:val="00FC51B3"/>
    <w:rsid w:val="00FC617F"/>
    <w:rsid w:val="00FC727F"/>
    <w:rsid w:val="00FD08F9"/>
    <w:rsid w:val="00FE0687"/>
    <w:rsid w:val="00FF3660"/>
    <w:rsid w:val="00FF6471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v:stroke weight="2pt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  <w15:docId w15:val="{B08A4975-FD5A-4B12-B1D6-36B31642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9F3"/>
  </w:style>
  <w:style w:type="paragraph" w:styleId="Heading1">
    <w:name w:val="heading 1"/>
    <w:basedOn w:val="Normal"/>
    <w:next w:val="Normal"/>
    <w:link w:val="Heading1Char"/>
    <w:uiPriority w:val="9"/>
    <w:qFormat/>
    <w:rsid w:val="008D4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D44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D4461"/>
    <w:pPr>
      <w:keepNext/>
      <w:tabs>
        <w:tab w:val="left" w:pos="7200"/>
      </w:tabs>
      <w:spacing w:after="0" w:line="240" w:lineRule="auto"/>
      <w:ind w:left="2160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7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D446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D446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4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078D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72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6C3"/>
  </w:style>
  <w:style w:type="paragraph" w:styleId="Footer">
    <w:name w:val="footer"/>
    <w:basedOn w:val="Normal"/>
    <w:link w:val="FooterChar"/>
    <w:uiPriority w:val="99"/>
    <w:unhideWhenUsed/>
    <w:rsid w:val="00C72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6C3"/>
  </w:style>
  <w:style w:type="paragraph" w:customStyle="1" w:styleId="NormalWeb35">
    <w:name w:val="Normal (Web)35"/>
    <w:basedOn w:val="Normal"/>
    <w:rsid w:val="005F53E2"/>
    <w:pPr>
      <w:spacing w:before="96" w:after="1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7FC"/>
    <w:rPr>
      <w:b/>
      <w:bCs/>
    </w:rPr>
  </w:style>
  <w:style w:type="table" w:styleId="TableGrid">
    <w:name w:val="Table Grid"/>
    <w:basedOn w:val="TableNormal"/>
    <w:uiPriority w:val="59"/>
    <w:rsid w:val="0030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222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8162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98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'NAISC SOC Codes'!$B$5:$B$18</c:f>
              <c:strCache>
                <c:ptCount val="14"/>
                <c:pt idx="0">
                  <c:v>Retail Trade</c:v>
                </c:pt>
                <c:pt idx="1">
                  <c:v>Accommodation &amp; Food Svcs</c:v>
                </c:pt>
                <c:pt idx="2">
                  <c:v>Health Care</c:v>
                </c:pt>
                <c:pt idx="3">
                  <c:v>Other Services (except Public Admin.)</c:v>
                </c:pt>
                <c:pt idx="4">
                  <c:v>Admin/Support &amp; Waste Mgmt &amp; Remediation Svcs</c:v>
                </c:pt>
                <c:pt idx="5">
                  <c:v>Educational Services</c:v>
                </c:pt>
                <c:pt idx="6">
                  <c:v>Transportation and Warehousing</c:v>
                </c:pt>
                <c:pt idx="7">
                  <c:v>Arts, Entertainment, and Recreation</c:v>
                </c:pt>
                <c:pt idx="8">
                  <c:v>Manufacturing</c:v>
                </c:pt>
                <c:pt idx="9">
                  <c:v>Utilities</c:v>
                </c:pt>
                <c:pt idx="10">
                  <c:v>Wholesale Trade</c:v>
                </c:pt>
                <c:pt idx="11">
                  <c:v>Professional, Scientific, and Tech. Svcs</c:v>
                </c:pt>
                <c:pt idx="12">
                  <c:v>Agriculture</c:v>
                </c:pt>
                <c:pt idx="13">
                  <c:v>Public Administration</c:v>
                </c:pt>
              </c:strCache>
            </c:strRef>
          </c:cat>
          <c:val>
            <c:numRef>
              <c:f>'NAISC SOC Codes'!$C$5:$C$18</c:f>
              <c:numCache>
                <c:formatCode>General</c:formatCode>
                <c:ptCount val="14"/>
                <c:pt idx="0">
                  <c:v>291</c:v>
                </c:pt>
                <c:pt idx="1">
                  <c:v>129</c:v>
                </c:pt>
                <c:pt idx="2">
                  <c:v>95</c:v>
                </c:pt>
                <c:pt idx="3">
                  <c:v>49</c:v>
                </c:pt>
                <c:pt idx="4">
                  <c:v>28</c:v>
                </c:pt>
                <c:pt idx="5">
                  <c:v>28</c:v>
                </c:pt>
                <c:pt idx="6">
                  <c:v>25</c:v>
                </c:pt>
                <c:pt idx="7">
                  <c:v>22</c:v>
                </c:pt>
                <c:pt idx="8">
                  <c:v>21</c:v>
                </c:pt>
                <c:pt idx="9">
                  <c:v>19</c:v>
                </c:pt>
                <c:pt idx="10">
                  <c:v>11</c:v>
                </c:pt>
                <c:pt idx="11">
                  <c:v>7</c:v>
                </c:pt>
                <c:pt idx="12">
                  <c:v>6</c:v>
                </c:pt>
                <c:pt idx="1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213984"/>
        <c:axId val="196214544"/>
      </c:barChart>
      <c:catAx>
        <c:axId val="19621398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196214544"/>
        <c:crosses val="autoZero"/>
        <c:auto val="1"/>
        <c:lblAlgn val="ctr"/>
        <c:lblOffset val="100"/>
        <c:noMultiLvlLbl val="0"/>
      </c:catAx>
      <c:valAx>
        <c:axId val="196214544"/>
        <c:scaling>
          <c:orientation val="minMax"/>
        </c:scaling>
        <c:delete val="0"/>
        <c:axPos val="t"/>
        <c:majorGridlines>
          <c:spPr>
            <a:ln>
              <a:gradFill>
                <a:gsLst>
                  <a:gs pos="0">
                    <a:srgbClr val="4F81BD">
                      <a:lumMod val="5000"/>
                      <a:lumOff val="95000"/>
                    </a:srgbClr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196213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1BAFC-5D8F-4943-B62E-9C8D463A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Swets</dc:creator>
  <cp:lastModifiedBy>Scher, Alison (MRC)</cp:lastModifiedBy>
  <cp:revision>2</cp:revision>
  <cp:lastPrinted>2015-06-11T12:44:00Z</cp:lastPrinted>
  <dcterms:created xsi:type="dcterms:W3CDTF">2017-12-08T17:53:00Z</dcterms:created>
  <dcterms:modified xsi:type="dcterms:W3CDTF">2017-12-08T17:53:00Z</dcterms:modified>
</cp:coreProperties>
</file>