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7395" w:rsidTr="00C57395">
        <w:trPr>
          <w:trHeight w:val="629"/>
        </w:trPr>
        <w:tc>
          <w:tcPr>
            <w:tcW w:w="4675" w:type="dxa"/>
          </w:tcPr>
          <w:p w:rsidR="00C57395" w:rsidRDefault="00C57395" w:rsidP="00C57395">
            <w:pPr>
              <w:spacing w:before="269" w:line="274" w:lineRule="exact"/>
              <w:ind w:right="1085"/>
              <w:rPr>
                <w:b/>
                <w:bCs/>
                <w:color w:val="2C2C2C"/>
                <w:spacing w:val="2"/>
                <w:sz w:val="23"/>
                <w:szCs w:val="23"/>
              </w:rPr>
            </w:pPr>
            <w:r w:rsidRPr="00C57395">
              <w:rPr>
                <w:b/>
                <w:bCs/>
                <w:color w:val="2C2C2C"/>
                <w:spacing w:val="2"/>
                <w:sz w:val="23"/>
                <w:szCs w:val="23"/>
              </w:rPr>
              <w:t>Res</w:t>
            </w:r>
            <w:r>
              <w:rPr>
                <w:b/>
                <w:bCs/>
                <w:color w:val="2C2C2C"/>
                <w:spacing w:val="2"/>
                <w:sz w:val="23"/>
                <w:szCs w:val="23"/>
              </w:rPr>
              <w:t>idential &amp; Placement Licensing</w:t>
            </w:r>
          </w:p>
        </w:tc>
        <w:tc>
          <w:tcPr>
            <w:tcW w:w="4675" w:type="dxa"/>
          </w:tcPr>
          <w:p w:rsidR="00C57395" w:rsidRPr="00C57395" w:rsidRDefault="00D47000" w:rsidP="00C57395">
            <w:pPr>
              <w:spacing w:before="269" w:line="274" w:lineRule="exact"/>
              <w:ind w:right="1085"/>
              <w:rPr>
                <w:bCs/>
                <w:color w:val="2C2C2C"/>
                <w:spacing w:val="2"/>
                <w:sz w:val="23"/>
                <w:szCs w:val="23"/>
                <w:u w:val="single"/>
              </w:rPr>
            </w:pPr>
            <w:r w:rsidRPr="00D47000">
              <w:rPr>
                <w:bCs/>
                <w:color w:val="2C2C2C"/>
                <w:spacing w:val="2"/>
                <w:sz w:val="23"/>
                <w:szCs w:val="23"/>
                <w:u w:val="single"/>
              </w:rPr>
              <w:t>Adoption Agency Closing Policy</w:t>
            </w:r>
          </w:p>
        </w:tc>
      </w:tr>
      <w:tr w:rsidR="00C57395" w:rsidTr="00C57395">
        <w:tc>
          <w:tcPr>
            <w:tcW w:w="4675" w:type="dxa"/>
            <w:tcBorders>
              <w:bottom w:val="single" w:sz="4" w:space="0" w:color="auto"/>
            </w:tcBorders>
          </w:tcPr>
          <w:p w:rsidR="00C57395" w:rsidRDefault="00C57395" w:rsidP="00C57395">
            <w:pPr>
              <w:spacing w:before="269" w:line="274" w:lineRule="exact"/>
              <w:ind w:right="1085"/>
              <w:rPr>
                <w:b/>
                <w:bCs/>
                <w:color w:val="2C2C2C"/>
                <w:spacing w:val="2"/>
                <w:sz w:val="23"/>
                <w:szCs w:val="23"/>
              </w:rPr>
            </w:pPr>
            <w:r>
              <w:rPr>
                <w:b/>
                <w:bCs/>
                <w:color w:val="2C2C2C"/>
                <w:spacing w:val="2"/>
                <w:sz w:val="23"/>
                <w:szCs w:val="23"/>
              </w:rPr>
              <w:t>POLICY STATEMENT</w:t>
            </w:r>
          </w:p>
        </w:tc>
        <w:tc>
          <w:tcPr>
            <w:tcW w:w="4675" w:type="dxa"/>
            <w:tcBorders>
              <w:bottom w:val="single" w:sz="4" w:space="0" w:color="auto"/>
            </w:tcBorders>
          </w:tcPr>
          <w:p w:rsidR="00C57395" w:rsidRPr="00C57395" w:rsidRDefault="00C57395" w:rsidP="00C57395">
            <w:pPr>
              <w:spacing w:before="269" w:line="274" w:lineRule="exact"/>
              <w:ind w:right="1085"/>
              <w:rPr>
                <w:bCs/>
                <w:color w:val="2C2C2C"/>
                <w:spacing w:val="2"/>
                <w:sz w:val="23"/>
                <w:szCs w:val="23"/>
              </w:rPr>
            </w:pPr>
            <w:r w:rsidRPr="00C57395">
              <w:rPr>
                <w:bCs/>
                <w:color w:val="2C2C2C"/>
                <w:spacing w:val="2"/>
                <w:sz w:val="23"/>
                <w:szCs w:val="23"/>
              </w:rPr>
              <w:t xml:space="preserve">Number:  </w:t>
            </w:r>
            <w:r w:rsidR="00D47000" w:rsidRPr="00D47000">
              <w:rPr>
                <w:bCs/>
                <w:color w:val="2C2C2C"/>
                <w:spacing w:val="2"/>
                <w:sz w:val="23"/>
                <w:szCs w:val="23"/>
              </w:rPr>
              <w:t>P-ECC-R&amp;P-04</w:t>
            </w:r>
          </w:p>
        </w:tc>
      </w:tr>
    </w:tbl>
    <w:p w:rsidR="00C57395" w:rsidRDefault="00C57395" w:rsidP="00C57395">
      <w:pPr>
        <w:shd w:val="clear" w:color="auto" w:fill="FFFFFF"/>
        <w:tabs>
          <w:tab w:val="left" w:pos="3610"/>
        </w:tabs>
        <w:spacing w:before="10"/>
        <w:rPr>
          <w:sz w:val="2"/>
          <w:szCs w:val="2"/>
        </w:rPr>
      </w:pPr>
    </w:p>
    <w:p w:rsidR="00D47000" w:rsidRPr="00D47000" w:rsidRDefault="00D47000" w:rsidP="00D47000">
      <w:pPr>
        <w:shd w:val="clear" w:color="auto" w:fill="FFFFFF"/>
        <w:spacing w:after="168" w:line="312" w:lineRule="atLeast"/>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 xml:space="preserve">A licensed adoption agency must inform EEC prior to acting on any decision to close. 102 CMR 5.00 </w:t>
      </w:r>
      <w:r w:rsidRPr="00D47000">
        <w:rPr>
          <w:rFonts w:ascii="inherit" w:eastAsia="Times New Roman" w:hAnsi="inherit" w:cs="Arial"/>
          <w:i/>
          <w:iCs/>
          <w:color w:val="000000"/>
          <w:sz w:val="18"/>
          <w:szCs w:val="18"/>
        </w:rPr>
        <w:t>et seq.</w:t>
      </w:r>
      <w:r w:rsidRPr="00D47000">
        <w:rPr>
          <w:rFonts w:ascii="inherit" w:eastAsia="Times New Roman" w:hAnsi="inherit" w:cs="Arial"/>
          <w:color w:val="000000"/>
          <w:sz w:val="18"/>
          <w:szCs w:val="18"/>
        </w:rPr>
        <w:t xml:space="preserve"> set forth specific responsibilities of a licensed placement agency. Depending on the agency’s timeline for closing, many of these responsibilities must be transferred to another licensed adoption agency prior to closing. For that reason, it is suggested that an agency develop a plan for termination of services at least 90 days in advance of its intended closing. In any event, 102 CMR 5.13(1)(g) requires that an agency submit to the Department a written plan for the storage and preservation of required records at least 15 days before ceasing operation.</w:t>
      </w:r>
    </w:p>
    <w:p w:rsidR="00D47000" w:rsidRPr="00D47000" w:rsidRDefault="00D47000" w:rsidP="00D47000">
      <w:pPr>
        <w:shd w:val="clear" w:color="auto" w:fill="FFFFFF"/>
        <w:spacing w:before="192" w:after="96" w:line="288" w:lineRule="atLeast"/>
        <w:textAlignment w:val="baseline"/>
        <w:outlineLvl w:val="3"/>
        <w:rPr>
          <w:rFonts w:ascii="Georgia" w:eastAsia="Times New Roman" w:hAnsi="Georgia" w:cs="Arial"/>
          <w:color w:val="000000"/>
          <w:sz w:val="25"/>
          <w:szCs w:val="25"/>
        </w:rPr>
      </w:pPr>
      <w:r w:rsidRPr="00D47000">
        <w:rPr>
          <w:rFonts w:ascii="Georgia" w:eastAsia="Times New Roman" w:hAnsi="Georgia" w:cs="Arial"/>
          <w:color w:val="000000"/>
          <w:sz w:val="25"/>
          <w:szCs w:val="25"/>
        </w:rPr>
        <w:t>Prior to Closing</w:t>
      </w:r>
    </w:p>
    <w:p w:rsidR="00D47000" w:rsidRPr="00D47000" w:rsidRDefault="00D47000" w:rsidP="00D47000">
      <w:pPr>
        <w:shd w:val="clear" w:color="auto" w:fill="FFFFFF"/>
        <w:spacing w:before="96" w:after="168" w:line="312" w:lineRule="atLeast"/>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When an agency intends to cease operation it must do the following:</w:t>
      </w:r>
    </w:p>
    <w:p w:rsidR="00D47000" w:rsidRPr="00D47000" w:rsidRDefault="00D47000" w:rsidP="00D47000">
      <w:pPr>
        <w:numPr>
          <w:ilvl w:val="0"/>
          <w:numId w:val="1"/>
        </w:numPr>
        <w:shd w:val="clear" w:color="auto" w:fill="FFFFFF"/>
        <w:spacing w:after="0" w:line="324" w:lineRule="atLeast"/>
        <w:ind w:left="750"/>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 xml:space="preserve">Submit to the Department a written statement of intent to close, including the anticipated date of closure, and the date it will stop or has stopped accepting referrals of new clients. In making the determination to close, the agency must follow all the requirements set forth in its corporate policies, such as a vote by the agency Board of Directors. In addition, if the non-profit agency holding the placement license is also ceasing operations, it must follow the requirements of the Office of the Attorney General, Division of Public Charities. </w:t>
      </w:r>
    </w:p>
    <w:p w:rsidR="00D47000" w:rsidRPr="00D47000" w:rsidRDefault="00D47000" w:rsidP="00D47000">
      <w:pPr>
        <w:numPr>
          <w:ilvl w:val="0"/>
          <w:numId w:val="1"/>
        </w:numPr>
        <w:shd w:val="clear" w:color="auto" w:fill="FFFFFF"/>
        <w:spacing w:after="0" w:line="324" w:lineRule="atLeast"/>
        <w:ind w:left="750"/>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 xml:space="preserve">Submit to the Department at least 15 days prior to closing a written plan for the storage and preservation of records, as required by 5.13(1). </w:t>
      </w:r>
    </w:p>
    <w:p w:rsidR="00D47000" w:rsidRPr="00D47000" w:rsidRDefault="00D47000" w:rsidP="00D47000">
      <w:pPr>
        <w:numPr>
          <w:ilvl w:val="0"/>
          <w:numId w:val="1"/>
        </w:numPr>
        <w:shd w:val="clear" w:color="auto" w:fill="FFFFFF"/>
        <w:spacing w:after="0" w:line="324" w:lineRule="atLeast"/>
        <w:ind w:left="750"/>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Submit to the Department at least 15 days prior to closing a comprehensive plan for the appropriate termination of all services to children, birth parent and adoptive parent clients, or for the transfer of responsibility for such services to another Massachusetts licensed adoption placement agency. The agency may determine that it will remain open to complete pending services such as home studies, plans for adoption placement, adoption finalizations, etc., or it may enter into agreements with one or more Massachusetts licensed adoption agencies to complete such work. The plan for termination of services must include provisions for services to the following:</w:t>
      </w:r>
    </w:p>
    <w:p w:rsidR="00D47000" w:rsidRPr="00D47000" w:rsidRDefault="00D47000" w:rsidP="00D47000">
      <w:pPr>
        <w:numPr>
          <w:ilvl w:val="0"/>
          <w:numId w:val="2"/>
        </w:numPr>
        <w:shd w:val="clear" w:color="auto" w:fill="FFFFFF"/>
        <w:spacing w:after="0" w:line="324" w:lineRule="atLeast"/>
        <w:ind w:left="750"/>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 xml:space="preserve">parents receiving counseling who have not yet determined whether they will parent or place their children for adoption; </w:t>
      </w:r>
    </w:p>
    <w:p w:rsidR="00D47000" w:rsidRPr="00D47000" w:rsidRDefault="00D47000" w:rsidP="00D47000">
      <w:pPr>
        <w:numPr>
          <w:ilvl w:val="0"/>
          <w:numId w:val="2"/>
        </w:numPr>
        <w:shd w:val="clear" w:color="auto" w:fill="FFFFFF"/>
        <w:spacing w:after="0" w:line="324" w:lineRule="atLeast"/>
        <w:ind w:left="750"/>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 xml:space="preserve">parents who have chosen adoption, whose children have not yet been placed; </w:t>
      </w:r>
    </w:p>
    <w:p w:rsidR="00D47000" w:rsidRPr="00D47000" w:rsidRDefault="00D47000" w:rsidP="00D47000">
      <w:pPr>
        <w:numPr>
          <w:ilvl w:val="0"/>
          <w:numId w:val="2"/>
        </w:numPr>
        <w:shd w:val="clear" w:color="auto" w:fill="FFFFFF"/>
        <w:spacing w:after="0" w:line="324" w:lineRule="atLeast"/>
        <w:ind w:left="750"/>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 xml:space="preserve">children who have been referred to the agency for adoption placement, but have not yet been placed in adoptive homes; </w:t>
      </w:r>
    </w:p>
    <w:p w:rsidR="00D47000" w:rsidRPr="00D47000" w:rsidRDefault="00D47000" w:rsidP="00D47000">
      <w:pPr>
        <w:numPr>
          <w:ilvl w:val="0"/>
          <w:numId w:val="2"/>
        </w:numPr>
        <w:shd w:val="clear" w:color="auto" w:fill="FFFFFF"/>
        <w:spacing w:after="0" w:line="324" w:lineRule="atLeast"/>
        <w:ind w:left="750"/>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 xml:space="preserve">children placed in adoptive homes whose adoptions have not been finalized; </w:t>
      </w:r>
    </w:p>
    <w:p w:rsidR="00D47000" w:rsidRPr="00D47000" w:rsidRDefault="00D47000" w:rsidP="00D47000">
      <w:pPr>
        <w:numPr>
          <w:ilvl w:val="0"/>
          <w:numId w:val="2"/>
        </w:numPr>
        <w:shd w:val="clear" w:color="auto" w:fill="FFFFFF"/>
        <w:spacing w:after="0" w:line="324" w:lineRule="atLeast"/>
        <w:ind w:left="750"/>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 xml:space="preserve">children and adults whose adoptions have been finalized, and their birthparents and adoptive parents; </w:t>
      </w:r>
    </w:p>
    <w:p w:rsidR="00D47000" w:rsidRPr="00D47000" w:rsidRDefault="00D47000" w:rsidP="00D47000">
      <w:pPr>
        <w:numPr>
          <w:ilvl w:val="0"/>
          <w:numId w:val="2"/>
        </w:numPr>
        <w:shd w:val="clear" w:color="auto" w:fill="FFFFFF"/>
        <w:spacing w:after="0" w:line="324" w:lineRule="atLeast"/>
        <w:ind w:left="750"/>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 xml:space="preserve">adoptive parent applicants who have not yet been approved for placement; </w:t>
      </w:r>
    </w:p>
    <w:p w:rsidR="00D47000" w:rsidRPr="00D47000" w:rsidRDefault="00D47000" w:rsidP="00D47000">
      <w:pPr>
        <w:numPr>
          <w:ilvl w:val="0"/>
          <w:numId w:val="2"/>
        </w:numPr>
        <w:shd w:val="clear" w:color="auto" w:fill="FFFFFF"/>
        <w:spacing w:after="0" w:line="324" w:lineRule="atLeast"/>
        <w:ind w:left="750"/>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 xml:space="preserve">adoptive parents applicants who have been approved for and are awaiting a placement; </w:t>
      </w:r>
    </w:p>
    <w:p w:rsidR="00D47000" w:rsidRPr="00D47000" w:rsidRDefault="00D47000" w:rsidP="00D47000">
      <w:pPr>
        <w:numPr>
          <w:ilvl w:val="0"/>
          <w:numId w:val="2"/>
        </w:numPr>
        <w:shd w:val="clear" w:color="auto" w:fill="FFFFFF"/>
        <w:spacing w:after="0" w:line="324" w:lineRule="atLeast"/>
        <w:ind w:left="750"/>
        <w:textAlignment w:val="baseline"/>
        <w:rPr>
          <w:rFonts w:ascii="inherit" w:eastAsia="Times New Roman" w:hAnsi="inherit" w:cs="Arial"/>
          <w:color w:val="000000"/>
          <w:sz w:val="18"/>
          <w:szCs w:val="18"/>
        </w:rPr>
      </w:pPr>
      <w:proofErr w:type="gramStart"/>
      <w:r w:rsidRPr="00D47000">
        <w:rPr>
          <w:rFonts w:ascii="inherit" w:eastAsia="Times New Roman" w:hAnsi="inherit" w:cs="Arial"/>
          <w:color w:val="000000"/>
          <w:sz w:val="18"/>
          <w:szCs w:val="18"/>
        </w:rPr>
        <w:t>adoptive</w:t>
      </w:r>
      <w:proofErr w:type="gramEnd"/>
      <w:r w:rsidRPr="00D47000">
        <w:rPr>
          <w:rFonts w:ascii="inherit" w:eastAsia="Times New Roman" w:hAnsi="inherit" w:cs="Arial"/>
          <w:color w:val="000000"/>
          <w:sz w:val="18"/>
          <w:szCs w:val="18"/>
        </w:rPr>
        <w:t xml:space="preserve"> parents with children in placement whose adoptions are not yet finalized.</w:t>
      </w:r>
    </w:p>
    <w:p w:rsidR="00D47000" w:rsidRPr="00D47000" w:rsidRDefault="00D47000" w:rsidP="00D47000">
      <w:pPr>
        <w:shd w:val="clear" w:color="auto" w:fill="FFFFFF"/>
        <w:spacing w:before="96" w:after="168" w:line="312" w:lineRule="atLeast"/>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 xml:space="preserve">The plan must include a list of clients (children, birth parents, adoptive parent applicants, adoptive parents) currently receiving services, the status of each client, and the plan for each client. The plan must also include provisions for the storage and preservation of all client records, as provided by 102 CMR 5.13(1)(g). If an agency enters into an agreement with another Massachusetts licensed adoption agency to assume responsibility for required services to any client, or to assume responsibility </w:t>
      </w:r>
      <w:r w:rsidRPr="00D47000">
        <w:rPr>
          <w:rFonts w:ascii="inherit" w:eastAsia="Times New Roman" w:hAnsi="inherit" w:cs="Arial"/>
          <w:color w:val="000000"/>
          <w:sz w:val="18"/>
          <w:szCs w:val="18"/>
        </w:rPr>
        <w:lastRenderedPageBreak/>
        <w:t>for the storage and preservation of agency records, a copy of that agreement must be submitted to the Department. The agreement must clearly specify each agency’s responsibilities for services. The closing agency may make such agreements with more than one agency.</w:t>
      </w:r>
    </w:p>
    <w:p w:rsidR="00D47000" w:rsidRPr="00D47000" w:rsidRDefault="00D47000" w:rsidP="00D47000">
      <w:pPr>
        <w:shd w:val="clear" w:color="auto" w:fill="FFFFFF"/>
        <w:spacing w:before="96" w:after="168" w:line="312" w:lineRule="atLeast"/>
        <w:textAlignment w:val="baseline"/>
        <w:rPr>
          <w:rFonts w:ascii="inherit" w:eastAsia="Times New Roman" w:hAnsi="inherit" w:cs="Arial"/>
          <w:color w:val="000000"/>
          <w:sz w:val="18"/>
          <w:szCs w:val="18"/>
        </w:rPr>
      </w:pPr>
      <w:r w:rsidRPr="00D47000">
        <w:rPr>
          <w:rFonts w:ascii="inherit" w:eastAsia="Times New Roman" w:hAnsi="inherit" w:cs="Arial"/>
          <w:b/>
          <w:bCs/>
          <w:color w:val="000000"/>
          <w:sz w:val="18"/>
          <w:szCs w:val="18"/>
        </w:rPr>
        <w:t>The Department of Early Education and Care reserves the right to approve or disapprove of the plan for the storage and preservation of records and for termination of services.</w:t>
      </w:r>
    </w:p>
    <w:p w:rsidR="00D47000" w:rsidRPr="00D47000" w:rsidRDefault="00D47000" w:rsidP="00D47000">
      <w:pPr>
        <w:shd w:val="clear" w:color="auto" w:fill="FFFFFF"/>
        <w:spacing w:before="96" w:after="168" w:line="312" w:lineRule="atLeast"/>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Birth parents, adoptive parent applicants and adoptive parents receiving services from the agency at the time of its planned closing may agree to work with the agency selected by the closing agency, or may choose to work with a different agency. If the client chooses a Massachusetts licensed adoption agency other than the one identified by the closing agency, the closing agency must confirm, in writing, that the agency selected by the client has agreed to accept responsibility for services to that client. The closing agency must transfer all current client files to the agencies selected or approved by the clients, and must inform each client in writing where his/her file has been transferred and who his/her contact person is at the receiving agency. The closing agency must maintain a written acknowledgement from each client that he/she has been fully informed regarding the transfer of services and/or client files. Upon request, the closing agency must provide each client with a copy of his/her file.</w:t>
      </w:r>
    </w:p>
    <w:p w:rsidR="00D47000" w:rsidRPr="00D47000" w:rsidRDefault="00D47000" w:rsidP="00D47000">
      <w:pPr>
        <w:shd w:val="clear" w:color="auto" w:fill="FFFFFF"/>
        <w:spacing w:before="96" w:after="168" w:line="312" w:lineRule="atLeast"/>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All unexpended client fees must be refunded to clients who choose to work with another licensed agency, unless the client agrees in writing that those fees will be transferred to the agency accepting responsibility for further services.</w:t>
      </w:r>
    </w:p>
    <w:p w:rsidR="00D47000" w:rsidRPr="00D47000" w:rsidRDefault="00D47000" w:rsidP="00D47000">
      <w:pPr>
        <w:shd w:val="clear" w:color="auto" w:fill="FFFFFF"/>
        <w:spacing w:before="192" w:after="96" w:line="288" w:lineRule="atLeast"/>
        <w:textAlignment w:val="baseline"/>
        <w:outlineLvl w:val="3"/>
        <w:rPr>
          <w:rFonts w:ascii="Georgia" w:eastAsia="Times New Roman" w:hAnsi="Georgia" w:cs="Arial"/>
          <w:color w:val="000000"/>
          <w:sz w:val="25"/>
          <w:szCs w:val="25"/>
        </w:rPr>
      </w:pPr>
      <w:r w:rsidRPr="00D47000">
        <w:rPr>
          <w:rFonts w:ascii="Georgia" w:eastAsia="Times New Roman" w:hAnsi="Georgia" w:cs="Arial"/>
          <w:color w:val="000000"/>
          <w:sz w:val="25"/>
          <w:szCs w:val="25"/>
        </w:rPr>
        <w:t>At the Time of Closing</w:t>
      </w:r>
    </w:p>
    <w:p w:rsidR="00D47000" w:rsidRPr="00D47000" w:rsidRDefault="00D47000" w:rsidP="00D47000">
      <w:pPr>
        <w:shd w:val="clear" w:color="auto" w:fill="FFFFFF"/>
        <w:spacing w:before="96" w:after="168" w:line="312" w:lineRule="atLeast"/>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 xml:space="preserve">When the agency has ceased providing adoption services it must submit to the Department a letter stating the date that the agency ceased providing adoption placement services, and the location of all active and closed client files. The letter must include copies of all final agreements with other Massachusetts licensed adoption placement agencies. In addition, the agency must submit its original </w:t>
      </w:r>
      <w:r w:rsidRPr="00D47000">
        <w:rPr>
          <w:rFonts w:ascii="inherit" w:eastAsia="Times New Roman" w:hAnsi="inherit" w:cs="Arial"/>
          <w:i/>
          <w:iCs/>
          <w:color w:val="000000"/>
          <w:sz w:val="18"/>
          <w:szCs w:val="18"/>
        </w:rPr>
        <w:t>License to Operate an Adoption Placement Agency</w:t>
      </w:r>
      <w:r w:rsidRPr="00D47000">
        <w:rPr>
          <w:rFonts w:ascii="inherit" w:eastAsia="Times New Roman" w:hAnsi="inherit" w:cs="Arial"/>
          <w:color w:val="000000"/>
          <w:sz w:val="18"/>
          <w:szCs w:val="18"/>
        </w:rPr>
        <w:t xml:space="preserve">. Further, if the closing agency holds a </w:t>
      </w:r>
      <w:r w:rsidRPr="00D47000">
        <w:rPr>
          <w:rFonts w:ascii="inherit" w:eastAsia="Times New Roman" w:hAnsi="inherit" w:cs="Arial"/>
          <w:i/>
          <w:iCs/>
          <w:color w:val="000000"/>
          <w:sz w:val="18"/>
          <w:szCs w:val="18"/>
        </w:rPr>
        <w:t>License to Operate a Foster Care Placement Agency</w:t>
      </w:r>
      <w:r w:rsidRPr="00D47000">
        <w:rPr>
          <w:rFonts w:ascii="inherit" w:eastAsia="Times New Roman" w:hAnsi="inherit" w:cs="Arial"/>
          <w:color w:val="000000"/>
          <w:sz w:val="18"/>
          <w:szCs w:val="18"/>
        </w:rPr>
        <w:t xml:space="preserve"> and its foster care services were provided only in conjunction with its adoption placement services, the closing agency must also return its </w:t>
      </w:r>
      <w:r w:rsidRPr="00D47000">
        <w:rPr>
          <w:rFonts w:ascii="inherit" w:eastAsia="Times New Roman" w:hAnsi="inherit" w:cs="Arial"/>
          <w:i/>
          <w:iCs/>
          <w:color w:val="000000"/>
          <w:sz w:val="18"/>
          <w:szCs w:val="18"/>
        </w:rPr>
        <w:t>License to Operate a Foster Care Placement Agency.</w:t>
      </w:r>
    </w:p>
    <w:p w:rsidR="00D47000" w:rsidRPr="00D47000" w:rsidRDefault="00D47000" w:rsidP="00D47000">
      <w:pPr>
        <w:shd w:val="clear" w:color="auto" w:fill="FFFFFF"/>
        <w:spacing w:before="192" w:after="96" w:line="288" w:lineRule="atLeast"/>
        <w:textAlignment w:val="baseline"/>
        <w:outlineLvl w:val="3"/>
        <w:rPr>
          <w:rFonts w:ascii="Georgia" w:eastAsia="Times New Roman" w:hAnsi="Georgia" w:cs="Arial"/>
          <w:color w:val="000000"/>
          <w:sz w:val="25"/>
          <w:szCs w:val="25"/>
        </w:rPr>
      </w:pPr>
      <w:r w:rsidRPr="00D47000">
        <w:rPr>
          <w:rFonts w:ascii="Georgia" w:eastAsia="Times New Roman" w:hAnsi="Georgia" w:cs="Arial"/>
          <w:color w:val="000000"/>
          <w:sz w:val="25"/>
          <w:szCs w:val="25"/>
        </w:rPr>
        <w:t>Failure to Comply</w:t>
      </w:r>
    </w:p>
    <w:p w:rsidR="00D47000" w:rsidRPr="00D47000" w:rsidRDefault="00D47000" w:rsidP="00D47000">
      <w:pPr>
        <w:shd w:val="clear" w:color="auto" w:fill="FFFFFF"/>
        <w:spacing w:before="96" w:after="168" w:line="312" w:lineRule="atLeast"/>
        <w:textAlignment w:val="baseline"/>
        <w:rPr>
          <w:rFonts w:ascii="inherit" w:eastAsia="Times New Roman" w:hAnsi="inherit" w:cs="Arial"/>
          <w:color w:val="000000"/>
          <w:sz w:val="18"/>
          <w:szCs w:val="18"/>
        </w:rPr>
      </w:pPr>
      <w:r w:rsidRPr="00D47000">
        <w:rPr>
          <w:rFonts w:ascii="inherit" w:eastAsia="Times New Roman" w:hAnsi="inherit" w:cs="Arial"/>
          <w:color w:val="000000"/>
          <w:sz w:val="18"/>
          <w:szCs w:val="18"/>
        </w:rPr>
        <w:t xml:space="preserve">In accordance with 102 CMR 1.07, </w:t>
      </w:r>
      <w:r w:rsidRPr="00D47000">
        <w:rPr>
          <w:rFonts w:ascii="inherit" w:eastAsia="Times New Roman" w:hAnsi="inherit" w:cs="Arial"/>
          <w:b/>
          <w:bCs/>
          <w:color w:val="000000"/>
          <w:sz w:val="18"/>
          <w:szCs w:val="18"/>
        </w:rPr>
        <w:t>Enforcement and Compliance with Regulations,</w:t>
      </w:r>
      <w:r w:rsidRPr="00D47000">
        <w:rPr>
          <w:rFonts w:ascii="inherit" w:eastAsia="Times New Roman" w:hAnsi="inherit" w:cs="Arial"/>
          <w:i/>
          <w:iCs/>
          <w:color w:val="000000"/>
          <w:sz w:val="18"/>
          <w:szCs w:val="18"/>
          <w:u w:val="single"/>
        </w:rPr>
        <w:t> </w:t>
      </w:r>
      <w:r w:rsidRPr="00D47000">
        <w:rPr>
          <w:rFonts w:ascii="inherit" w:eastAsia="Times New Roman" w:hAnsi="inherit" w:cs="Arial"/>
          <w:color w:val="000000"/>
          <w:sz w:val="18"/>
          <w:szCs w:val="18"/>
        </w:rPr>
        <w:t xml:space="preserve">whenever the Department finds that a program is not in compliance with applicable regulations, the Office may order the licensee to correct any non-compliances specified in a deficiency correction order. </w:t>
      </w:r>
      <w:r w:rsidRPr="00D47000">
        <w:rPr>
          <w:rFonts w:ascii="inherit" w:eastAsia="Times New Roman" w:hAnsi="inherit" w:cs="Arial"/>
          <w:b/>
          <w:bCs/>
          <w:color w:val="000000"/>
          <w:sz w:val="18"/>
          <w:szCs w:val="18"/>
        </w:rPr>
        <w:t>Failure to comply with all or part of a deficiency correction order may result in a civil fine ranging from $50 to $1000.</w:t>
      </w:r>
    </w:p>
    <w:p w:rsidR="00D47000" w:rsidRPr="00D47000" w:rsidRDefault="00D47000" w:rsidP="00D47000">
      <w:pPr>
        <w:shd w:val="clear" w:color="auto" w:fill="FFFFFF"/>
        <w:spacing w:before="150" w:line="312" w:lineRule="atLeast"/>
        <w:textAlignment w:val="baseline"/>
        <w:rPr>
          <w:rFonts w:ascii="inherit" w:eastAsia="Times New Roman" w:hAnsi="inherit" w:cs="Arial"/>
          <w:color w:val="000000"/>
          <w:sz w:val="18"/>
          <w:szCs w:val="18"/>
        </w:rPr>
      </w:pPr>
      <w:bookmarkStart w:id="0" w:name="_GoBack"/>
      <w:bookmarkEnd w:id="0"/>
    </w:p>
    <w:p w:rsidR="00C57395" w:rsidRPr="00C57395" w:rsidRDefault="00C57395" w:rsidP="00C57395">
      <w:pPr>
        <w:shd w:val="clear" w:color="auto" w:fill="FFFFFF"/>
        <w:tabs>
          <w:tab w:val="left" w:pos="3610"/>
        </w:tabs>
        <w:spacing w:before="10"/>
        <w:rPr>
          <w:sz w:val="2"/>
          <w:szCs w:val="2"/>
        </w:rPr>
      </w:pPr>
    </w:p>
    <w:sectPr w:rsidR="00C57395" w:rsidRPr="00C573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1B" w:rsidRDefault="00B5251B" w:rsidP="00C57395">
      <w:pPr>
        <w:spacing w:after="0" w:line="240" w:lineRule="auto"/>
      </w:pPr>
      <w:r>
        <w:separator/>
      </w:r>
    </w:p>
  </w:endnote>
  <w:endnote w:type="continuationSeparator" w:id="0">
    <w:p w:rsidR="00B5251B" w:rsidRDefault="00B5251B" w:rsidP="00C5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1B" w:rsidRDefault="00B5251B" w:rsidP="00C57395">
      <w:pPr>
        <w:spacing w:after="0" w:line="240" w:lineRule="auto"/>
      </w:pPr>
      <w:r>
        <w:separator/>
      </w:r>
    </w:p>
  </w:footnote>
  <w:footnote w:type="continuationSeparator" w:id="0">
    <w:p w:rsidR="00B5251B" w:rsidRDefault="00B5251B" w:rsidP="00C57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95" w:rsidRPr="00701BDD" w:rsidRDefault="00C57395" w:rsidP="00C57395">
    <w:pPr>
      <w:shd w:val="clear" w:color="auto" w:fill="FFFFFF"/>
      <w:spacing w:before="125"/>
      <w:jc w:val="center"/>
      <w:rPr>
        <w:rFonts w:ascii="Arial" w:hAnsi="Arial"/>
        <w:b/>
      </w:rPr>
    </w:pPr>
    <w:r w:rsidRPr="00701BDD">
      <w:rPr>
        <w:rFonts w:ascii="Arial" w:hAnsi="Arial"/>
        <w:b/>
        <w:bCs/>
        <w:iCs/>
        <w:color w:val="2C2C2C"/>
        <w:spacing w:val="-1"/>
        <w:sz w:val="28"/>
        <w:szCs w:val="28"/>
      </w:rPr>
      <w:t>THE COMMONWEALTH OF MASSACHUSETTS</w:t>
    </w:r>
  </w:p>
  <w:p w:rsidR="00C57395" w:rsidRPr="00C57395" w:rsidRDefault="00C57395" w:rsidP="00C57395">
    <w:pPr>
      <w:shd w:val="clear" w:color="auto" w:fill="FFFFFF"/>
      <w:spacing w:line="274" w:lineRule="exact"/>
      <w:ind w:left="1603" w:right="1464"/>
      <w:jc w:val="center"/>
      <w:rPr>
        <w:rFonts w:ascii="Tahoma" w:hAnsi="Tahoma"/>
        <w:sz w:val="28"/>
      </w:rPr>
    </w:pPr>
    <w:r w:rsidRPr="00701BDD">
      <w:rPr>
        <w:rFonts w:ascii="Tahoma" w:hAnsi="Tahoma"/>
        <w:bCs/>
        <w:iCs/>
        <w:color w:val="2C2C2C"/>
        <w:spacing w:val="-7"/>
        <w:sz w:val="28"/>
        <w:szCs w:val="25"/>
      </w:rPr>
      <w:t>Department of Early Education and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97218"/>
    <w:multiLevelType w:val="multilevel"/>
    <w:tmpl w:val="CA7C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87BD8"/>
    <w:multiLevelType w:val="multilevel"/>
    <w:tmpl w:val="C088D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95"/>
    <w:rsid w:val="00042B56"/>
    <w:rsid w:val="00125CFF"/>
    <w:rsid w:val="002A0739"/>
    <w:rsid w:val="00B5251B"/>
    <w:rsid w:val="00C57395"/>
    <w:rsid w:val="00D4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01A85-D731-4AB4-9C6F-E23E3501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395"/>
  </w:style>
  <w:style w:type="paragraph" w:styleId="Footer">
    <w:name w:val="footer"/>
    <w:basedOn w:val="Normal"/>
    <w:link w:val="FooterChar"/>
    <w:uiPriority w:val="99"/>
    <w:unhideWhenUsed/>
    <w:rsid w:val="00C57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95"/>
  </w:style>
  <w:style w:type="table" w:styleId="TableGrid">
    <w:name w:val="Table Grid"/>
    <w:basedOn w:val="TableNormal"/>
    <w:uiPriority w:val="39"/>
    <w:rsid w:val="00C57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7395"/>
    <w:rPr>
      <w:b/>
      <w:bCs/>
      <w:sz w:val="24"/>
      <w:szCs w:val="24"/>
    </w:rPr>
  </w:style>
  <w:style w:type="character" w:styleId="Emphasis">
    <w:name w:val="Emphasis"/>
    <w:basedOn w:val="DefaultParagraphFont"/>
    <w:uiPriority w:val="20"/>
    <w:qFormat/>
    <w:rsid w:val="00D47000"/>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28392">
      <w:bodyDiv w:val="1"/>
      <w:marLeft w:val="0"/>
      <w:marRight w:val="0"/>
      <w:marTop w:val="0"/>
      <w:marBottom w:val="0"/>
      <w:divBdr>
        <w:top w:val="none" w:sz="0" w:space="0" w:color="auto"/>
        <w:left w:val="none" w:sz="0" w:space="0" w:color="auto"/>
        <w:bottom w:val="none" w:sz="0" w:space="0" w:color="auto"/>
        <w:right w:val="none" w:sz="0" w:space="0" w:color="auto"/>
      </w:divBdr>
      <w:divsChild>
        <w:div w:id="617879748">
          <w:marLeft w:val="150"/>
          <w:marRight w:val="150"/>
          <w:marTop w:val="240"/>
          <w:marBottom w:val="240"/>
          <w:divBdr>
            <w:top w:val="single" w:sz="6" w:space="0" w:color="B4C4D3"/>
            <w:left w:val="none" w:sz="0" w:space="0" w:color="auto"/>
            <w:bottom w:val="none" w:sz="0" w:space="0" w:color="auto"/>
            <w:right w:val="none" w:sz="0" w:space="0" w:color="auto"/>
          </w:divBdr>
          <w:divsChild>
            <w:div w:id="1846049234">
              <w:marLeft w:val="0"/>
              <w:marRight w:val="150"/>
              <w:marTop w:val="0"/>
              <w:marBottom w:val="0"/>
              <w:divBdr>
                <w:top w:val="none" w:sz="0" w:space="0" w:color="auto"/>
                <w:left w:val="none" w:sz="0" w:space="0" w:color="auto"/>
                <w:bottom w:val="none" w:sz="0" w:space="0" w:color="auto"/>
                <w:right w:val="none" w:sz="0" w:space="0" w:color="auto"/>
              </w:divBdr>
              <w:divsChild>
                <w:div w:id="206000804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04134379">
      <w:bodyDiv w:val="1"/>
      <w:marLeft w:val="0"/>
      <w:marRight w:val="0"/>
      <w:marTop w:val="0"/>
      <w:marBottom w:val="0"/>
      <w:divBdr>
        <w:top w:val="none" w:sz="0" w:space="0" w:color="auto"/>
        <w:left w:val="none" w:sz="0" w:space="0" w:color="auto"/>
        <w:bottom w:val="none" w:sz="0" w:space="0" w:color="auto"/>
        <w:right w:val="none" w:sz="0" w:space="0" w:color="auto"/>
      </w:divBdr>
      <w:divsChild>
        <w:div w:id="1767461144">
          <w:marLeft w:val="150"/>
          <w:marRight w:val="150"/>
          <w:marTop w:val="240"/>
          <w:marBottom w:val="240"/>
          <w:divBdr>
            <w:top w:val="single" w:sz="6" w:space="0" w:color="B4C4D3"/>
            <w:left w:val="none" w:sz="0" w:space="0" w:color="auto"/>
            <w:bottom w:val="none" w:sz="0" w:space="0" w:color="auto"/>
            <w:right w:val="none" w:sz="0" w:space="0" w:color="auto"/>
          </w:divBdr>
          <w:divsChild>
            <w:div w:id="1195003362">
              <w:marLeft w:val="0"/>
              <w:marRight w:val="150"/>
              <w:marTop w:val="0"/>
              <w:marBottom w:val="0"/>
              <w:divBdr>
                <w:top w:val="none" w:sz="0" w:space="0" w:color="auto"/>
                <w:left w:val="none" w:sz="0" w:space="0" w:color="auto"/>
                <w:bottom w:val="none" w:sz="0" w:space="0" w:color="auto"/>
                <w:right w:val="none" w:sz="0" w:space="0" w:color="auto"/>
              </w:divBdr>
              <w:divsChild>
                <w:div w:id="50154977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2215741">
      <w:bodyDiv w:val="1"/>
      <w:marLeft w:val="0"/>
      <w:marRight w:val="0"/>
      <w:marTop w:val="0"/>
      <w:marBottom w:val="0"/>
      <w:divBdr>
        <w:top w:val="none" w:sz="0" w:space="0" w:color="auto"/>
        <w:left w:val="none" w:sz="0" w:space="0" w:color="auto"/>
        <w:bottom w:val="none" w:sz="0" w:space="0" w:color="auto"/>
        <w:right w:val="none" w:sz="0" w:space="0" w:color="auto"/>
      </w:divBdr>
      <w:divsChild>
        <w:div w:id="1798184431">
          <w:marLeft w:val="150"/>
          <w:marRight w:val="150"/>
          <w:marTop w:val="240"/>
          <w:marBottom w:val="240"/>
          <w:divBdr>
            <w:top w:val="single" w:sz="6" w:space="0" w:color="B4C4D3"/>
            <w:left w:val="none" w:sz="0" w:space="0" w:color="auto"/>
            <w:bottom w:val="none" w:sz="0" w:space="0" w:color="auto"/>
            <w:right w:val="none" w:sz="0" w:space="0" w:color="auto"/>
          </w:divBdr>
          <w:divsChild>
            <w:div w:id="2059428667">
              <w:marLeft w:val="0"/>
              <w:marRight w:val="150"/>
              <w:marTop w:val="0"/>
              <w:marBottom w:val="0"/>
              <w:divBdr>
                <w:top w:val="none" w:sz="0" w:space="0" w:color="auto"/>
                <w:left w:val="none" w:sz="0" w:space="0" w:color="auto"/>
                <w:bottom w:val="none" w:sz="0" w:space="0" w:color="auto"/>
                <w:right w:val="none" w:sz="0" w:space="0" w:color="auto"/>
              </w:divBdr>
              <w:divsChild>
                <w:div w:id="55793552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15856190">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150"/>
          <w:marRight w:val="150"/>
          <w:marTop w:val="240"/>
          <w:marBottom w:val="240"/>
          <w:divBdr>
            <w:top w:val="single" w:sz="6" w:space="0" w:color="B4C4D3"/>
            <w:left w:val="none" w:sz="0" w:space="0" w:color="auto"/>
            <w:bottom w:val="none" w:sz="0" w:space="0" w:color="auto"/>
            <w:right w:val="none" w:sz="0" w:space="0" w:color="auto"/>
          </w:divBdr>
          <w:divsChild>
            <w:div w:id="10107693">
              <w:marLeft w:val="0"/>
              <w:marRight w:val="150"/>
              <w:marTop w:val="0"/>
              <w:marBottom w:val="0"/>
              <w:divBdr>
                <w:top w:val="none" w:sz="0" w:space="0" w:color="auto"/>
                <w:left w:val="none" w:sz="0" w:space="0" w:color="auto"/>
                <w:bottom w:val="none" w:sz="0" w:space="0" w:color="auto"/>
                <w:right w:val="none" w:sz="0" w:space="0" w:color="auto"/>
              </w:divBdr>
              <w:divsChild>
                <w:div w:id="9452352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Chenyi (EOE)</dc:creator>
  <cp:keywords/>
  <dc:description/>
  <cp:lastModifiedBy>Zhu, Chenyi (EOE)</cp:lastModifiedBy>
  <cp:revision>3</cp:revision>
  <dcterms:created xsi:type="dcterms:W3CDTF">2017-12-21T19:46:00Z</dcterms:created>
  <dcterms:modified xsi:type="dcterms:W3CDTF">2017-12-21T19:47:00Z</dcterms:modified>
</cp:coreProperties>
</file>