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D2" w:rsidRDefault="00DB0AD2" w:rsidP="009551DF">
      <w:pPr>
        <w:tabs>
          <w:tab w:val="center" w:pos="5040"/>
          <w:tab w:val="left" w:pos="7272"/>
        </w:tabs>
        <w:spacing w:after="0" w:line="240" w:lineRule="auto"/>
        <w:jc w:val="center"/>
        <w:rPr>
          <w:rFonts w:cs="Arial"/>
          <w:b/>
          <w:color w:val="0070C0"/>
          <w:sz w:val="40"/>
          <w:szCs w:val="40"/>
        </w:rPr>
      </w:pPr>
      <w:bookmarkStart w:id="0" w:name="_GoBack"/>
      <w:bookmarkEnd w:id="0"/>
    </w:p>
    <w:p w:rsidR="009551DF" w:rsidRPr="002926A1" w:rsidRDefault="009551DF" w:rsidP="009551DF">
      <w:pPr>
        <w:tabs>
          <w:tab w:val="center" w:pos="5040"/>
          <w:tab w:val="left" w:pos="7272"/>
        </w:tabs>
        <w:spacing w:after="0" w:line="240" w:lineRule="auto"/>
        <w:jc w:val="center"/>
        <w:rPr>
          <w:rFonts w:cs="Arial"/>
          <w:b/>
          <w:sz w:val="36"/>
          <w:szCs w:val="36"/>
        </w:rPr>
      </w:pPr>
      <w:r w:rsidRPr="002926A1">
        <w:rPr>
          <w:rFonts w:cs="Arial"/>
          <w:b/>
          <w:sz w:val="36"/>
          <w:szCs w:val="36"/>
        </w:rPr>
        <w:t>Commonwealth of Massachusetts</w:t>
      </w:r>
    </w:p>
    <w:p w:rsidR="00EE5F74" w:rsidRPr="002926A1" w:rsidRDefault="009551DF" w:rsidP="009551DF">
      <w:pPr>
        <w:tabs>
          <w:tab w:val="center" w:pos="5040"/>
          <w:tab w:val="left" w:pos="7272"/>
        </w:tabs>
        <w:spacing w:after="0" w:line="240" w:lineRule="auto"/>
        <w:jc w:val="center"/>
        <w:rPr>
          <w:rFonts w:cs="Arial"/>
          <w:b/>
          <w:i/>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2926A1">
        <w:rPr>
          <w:rFonts w:cs="Arial"/>
          <w:b/>
          <w:sz w:val="36"/>
          <w:szCs w:val="36"/>
        </w:rPr>
        <w:t>Executive Office Health and Human Services</w:t>
      </w:r>
    </w:p>
    <w:p w:rsidR="000521FE" w:rsidRDefault="001F7574" w:rsidP="00F04139">
      <w:pPr>
        <w:tabs>
          <w:tab w:val="center" w:pos="5040"/>
          <w:tab w:val="left" w:pos="7272"/>
        </w:tabs>
        <w:spacing w:after="0" w:line="240" w:lineRule="auto"/>
        <w:rPr>
          <w:rFonts w:asciiTheme="majorHAnsi" w:hAnsiTheme="majorHAnsi"/>
          <w:b/>
        </w:rPr>
      </w:pPr>
      <w:r w:rsidRPr="009551DF">
        <w:rPr>
          <w:rFonts w:asciiTheme="majorHAnsi" w:hAnsiTheme="majorHAnsi" w:cs="Arial"/>
          <w:b/>
          <w:i/>
          <w:sz w:val="40"/>
          <w:szCs w:val="40"/>
          <w14:textOutline w14:w="5270" w14:cap="flat" w14:cmpd="sng" w14:algn="ctr">
            <w14:solidFill>
              <w14:schemeClr w14:val="accent1">
                <w14:shade w14:val="88000"/>
                <w14:satMod w14:val="110000"/>
              </w14:schemeClr>
            </w14:solidFill>
            <w14:prstDash w14:val="solid"/>
            <w14:round/>
          </w14:textOutline>
        </w:rPr>
        <w:tab/>
      </w:r>
    </w:p>
    <w:tbl>
      <w:tblPr>
        <w:tblStyle w:val="TableGrid"/>
        <w:tblW w:w="0" w:type="auto"/>
        <w:tblBorders>
          <w:top w:val="thinThickThinSmallGap" w:sz="24" w:space="0" w:color="0070C0"/>
          <w:left w:val="none" w:sz="0" w:space="0" w:color="auto"/>
          <w:bottom w:val="thinThickThinSmallGap" w:sz="24" w:space="0" w:color="0070C0"/>
          <w:right w:val="none" w:sz="0" w:space="0" w:color="auto"/>
          <w:insideH w:val="none" w:sz="0" w:space="0" w:color="auto"/>
          <w:insideV w:val="none" w:sz="0" w:space="0" w:color="auto"/>
        </w:tblBorders>
        <w:tblLook w:val="04A0" w:firstRow="1" w:lastRow="0" w:firstColumn="1" w:lastColumn="0" w:noHBand="0" w:noVBand="1"/>
      </w:tblPr>
      <w:tblGrid>
        <w:gridCol w:w="10584"/>
      </w:tblGrid>
      <w:tr w:rsidR="000521FE" w:rsidTr="001F0782">
        <w:trPr>
          <w:trHeight w:val="5769"/>
        </w:trPr>
        <w:tc>
          <w:tcPr>
            <w:tcW w:w="10584" w:type="dxa"/>
            <w:shd w:val="clear" w:color="auto" w:fill="auto"/>
          </w:tcPr>
          <w:p w:rsidR="000521FE" w:rsidRDefault="000521FE" w:rsidP="00F46666">
            <w:pPr>
              <w:tabs>
                <w:tab w:val="center" w:pos="5040"/>
                <w:tab w:val="left" w:pos="7272"/>
              </w:tabs>
              <w:rPr>
                <w:rFonts w:asciiTheme="majorHAnsi" w:hAnsiTheme="majorHAnsi" w:cs="Arial"/>
                <w:b/>
                <w:color w:val="0070C0"/>
                <w:sz w:val="52"/>
                <w:szCs w:val="52"/>
              </w:rPr>
            </w:pPr>
          </w:p>
          <w:p w:rsidR="00DB0AD2" w:rsidRPr="0042718F" w:rsidRDefault="00DB0AD2" w:rsidP="00F46666">
            <w:pPr>
              <w:tabs>
                <w:tab w:val="center" w:pos="5040"/>
                <w:tab w:val="left" w:pos="7272"/>
              </w:tabs>
              <w:rPr>
                <w:rFonts w:asciiTheme="majorHAnsi" w:hAnsiTheme="majorHAnsi" w:cs="Arial"/>
                <w:b/>
                <w:color w:val="0070C0"/>
                <w:sz w:val="52"/>
                <w:szCs w:val="52"/>
              </w:rPr>
            </w:pPr>
          </w:p>
          <w:p w:rsidR="006F4DC5" w:rsidRPr="002926A1" w:rsidRDefault="006F4DC5" w:rsidP="00F04139">
            <w:pPr>
              <w:pStyle w:val="Heading1"/>
              <w:spacing w:before="0"/>
              <w:jc w:val="center"/>
              <w:outlineLvl w:val="0"/>
              <w:rPr>
                <w:rFonts w:asciiTheme="minorHAnsi" w:hAnsiTheme="minorHAnsi"/>
                <w:color w:val="auto"/>
                <w:sz w:val="56"/>
                <w:szCs w:val="56"/>
              </w:rPr>
            </w:pPr>
            <w:r w:rsidRPr="002926A1">
              <w:rPr>
                <w:rFonts w:asciiTheme="minorHAnsi" w:hAnsiTheme="minorHAnsi"/>
                <w:color w:val="auto"/>
                <w:sz w:val="56"/>
                <w:szCs w:val="56"/>
              </w:rPr>
              <w:t>RY201</w:t>
            </w:r>
            <w:r w:rsidR="002A704B" w:rsidRPr="002926A1">
              <w:rPr>
                <w:rFonts w:asciiTheme="minorHAnsi" w:hAnsiTheme="minorHAnsi"/>
                <w:color w:val="auto"/>
                <w:sz w:val="56"/>
                <w:szCs w:val="56"/>
              </w:rPr>
              <w:t>7</w:t>
            </w:r>
            <w:r w:rsidRPr="002926A1">
              <w:rPr>
                <w:rFonts w:asciiTheme="minorHAnsi" w:hAnsiTheme="minorHAnsi"/>
                <w:color w:val="auto"/>
                <w:sz w:val="56"/>
                <w:szCs w:val="56"/>
              </w:rPr>
              <w:t xml:space="preserve"> </w:t>
            </w:r>
            <w:r w:rsidR="00027D8F" w:rsidRPr="002926A1">
              <w:rPr>
                <w:rFonts w:asciiTheme="minorHAnsi" w:hAnsiTheme="minorHAnsi"/>
                <w:color w:val="auto"/>
                <w:sz w:val="56"/>
                <w:szCs w:val="56"/>
              </w:rPr>
              <w:t xml:space="preserve">EOHHS </w:t>
            </w:r>
            <w:r w:rsidR="00A0345B" w:rsidRPr="002926A1">
              <w:rPr>
                <w:rFonts w:asciiTheme="minorHAnsi" w:hAnsiTheme="minorHAnsi"/>
                <w:color w:val="auto"/>
                <w:sz w:val="56"/>
                <w:szCs w:val="56"/>
              </w:rPr>
              <w:t xml:space="preserve">Manual </w:t>
            </w:r>
            <w:r w:rsidR="000521FE" w:rsidRPr="002926A1">
              <w:rPr>
                <w:rFonts w:asciiTheme="minorHAnsi" w:hAnsiTheme="minorHAnsi"/>
                <w:color w:val="auto"/>
                <w:sz w:val="56"/>
                <w:szCs w:val="56"/>
              </w:rPr>
              <w:t>Release Notes</w:t>
            </w:r>
          </w:p>
          <w:p w:rsidR="000F55B7" w:rsidRPr="002926A1" w:rsidRDefault="005C4B78" w:rsidP="00F04139">
            <w:pPr>
              <w:pStyle w:val="Heading1"/>
              <w:spacing w:before="0"/>
              <w:jc w:val="center"/>
              <w:outlineLvl w:val="0"/>
              <w:rPr>
                <w:rFonts w:asciiTheme="minorHAnsi" w:hAnsiTheme="minorHAnsi"/>
                <w:color w:val="auto"/>
                <w:sz w:val="48"/>
                <w:szCs w:val="48"/>
              </w:rPr>
            </w:pPr>
            <w:r w:rsidRPr="002926A1">
              <w:rPr>
                <w:rFonts w:asciiTheme="minorHAnsi" w:hAnsiTheme="minorHAnsi"/>
                <w:color w:val="auto"/>
                <w:sz w:val="48"/>
                <w:szCs w:val="48"/>
              </w:rPr>
              <w:t>(</w:t>
            </w:r>
            <w:r w:rsidR="000F55B7" w:rsidRPr="002926A1">
              <w:rPr>
                <w:rFonts w:asciiTheme="minorHAnsi" w:hAnsiTheme="minorHAnsi"/>
                <w:color w:val="auto"/>
                <w:sz w:val="48"/>
                <w:szCs w:val="48"/>
              </w:rPr>
              <w:t xml:space="preserve">Version </w:t>
            </w:r>
            <w:r w:rsidR="002A704B" w:rsidRPr="002926A1">
              <w:rPr>
                <w:rFonts w:asciiTheme="minorHAnsi" w:hAnsiTheme="minorHAnsi"/>
                <w:color w:val="auto"/>
                <w:sz w:val="48"/>
                <w:szCs w:val="48"/>
              </w:rPr>
              <w:t>10.</w:t>
            </w:r>
            <w:r w:rsidR="00D973BE" w:rsidRPr="002926A1">
              <w:rPr>
                <w:rFonts w:asciiTheme="minorHAnsi" w:hAnsiTheme="minorHAnsi"/>
                <w:color w:val="auto"/>
                <w:sz w:val="48"/>
                <w:szCs w:val="48"/>
              </w:rPr>
              <w:t>0a)</w:t>
            </w:r>
          </w:p>
          <w:p w:rsidR="00EC1894" w:rsidRPr="00F3317D" w:rsidRDefault="00EC1894" w:rsidP="00EC1894">
            <w:pPr>
              <w:rPr>
                <w:color w:val="0070C0"/>
              </w:rPr>
            </w:pPr>
          </w:p>
          <w:p w:rsidR="001C68B9" w:rsidRPr="00F3317D" w:rsidRDefault="00631986" w:rsidP="001C68B9">
            <w:pPr>
              <w:tabs>
                <w:tab w:val="center" w:pos="5040"/>
                <w:tab w:val="left" w:pos="7272"/>
              </w:tabs>
              <w:jc w:val="center"/>
              <w:rPr>
                <w:rFonts w:asciiTheme="majorHAnsi" w:hAnsiTheme="majorHAnsi" w:cs="Arial"/>
                <w:color w:val="0070C0"/>
                <w:sz w:val="36"/>
                <w:szCs w:val="36"/>
              </w:rPr>
            </w:pPr>
            <w:r>
              <w:rPr>
                <w:rFonts w:asciiTheme="majorHAnsi" w:hAnsiTheme="majorHAnsi" w:cs="Arial"/>
                <w:b/>
                <w:noProof/>
                <w:color w:val="0070C0"/>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154.45pt;margin-top:13.1pt;width:154.15pt;height:125.35pt;z-index:251728896" fillcolor="#bbe0e3">
                  <v:imagedata r:id="rId9" o:title=""/>
                </v:shape>
                <o:OLEObject Type="Embed" ProgID="StaticMetafile" ShapeID="_x0000_s1036" DrawAspect="Content" ObjectID="_1575868150" r:id="rId10"/>
              </w:pict>
            </w:r>
          </w:p>
          <w:p w:rsidR="001C68B9" w:rsidRPr="00F3317D" w:rsidRDefault="001C68B9" w:rsidP="001C68B9">
            <w:pPr>
              <w:tabs>
                <w:tab w:val="center" w:pos="5040"/>
                <w:tab w:val="left" w:pos="7272"/>
              </w:tabs>
              <w:jc w:val="center"/>
              <w:rPr>
                <w:rFonts w:asciiTheme="majorHAnsi" w:hAnsiTheme="majorHAnsi" w:cs="Arial"/>
                <w:color w:val="0070C0"/>
                <w:sz w:val="36"/>
                <w:szCs w:val="36"/>
              </w:rPr>
            </w:pPr>
          </w:p>
          <w:p w:rsidR="00EC1894" w:rsidRPr="00F3317D" w:rsidRDefault="00EC1894" w:rsidP="001C68B9">
            <w:pPr>
              <w:tabs>
                <w:tab w:val="center" w:pos="5040"/>
                <w:tab w:val="left" w:pos="7272"/>
              </w:tabs>
              <w:jc w:val="center"/>
              <w:rPr>
                <w:rFonts w:asciiTheme="majorHAnsi" w:hAnsiTheme="majorHAnsi" w:cs="Arial"/>
                <w:color w:val="0070C0"/>
                <w:sz w:val="36"/>
                <w:szCs w:val="36"/>
              </w:rPr>
            </w:pPr>
          </w:p>
          <w:p w:rsidR="00EC1894" w:rsidRPr="00F3317D" w:rsidRDefault="00EC1894" w:rsidP="001C68B9">
            <w:pPr>
              <w:tabs>
                <w:tab w:val="center" w:pos="5040"/>
                <w:tab w:val="left" w:pos="7272"/>
              </w:tabs>
              <w:jc w:val="center"/>
              <w:rPr>
                <w:rFonts w:asciiTheme="majorHAnsi" w:hAnsiTheme="majorHAnsi" w:cs="Arial"/>
                <w:color w:val="0070C0"/>
                <w:sz w:val="36"/>
                <w:szCs w:val="36"/>
              </w:rPr>
            </w:pPr>
          </w:p>
          <w:p w:rsidR="002D6B86" w:rsidRPr="00F3317D" w:rsidRDefault="002D6B86" w:rsidP="00981EAF">
            <w:pPr>
              <w:tabs>
                <w:tab w:val="center" w:pos="5040"/>
                <w:tab w:val="left" w:pos="7272"/>
              </w:tabs>
              <w:jc w:val="center"/>
              <w:rPr>
                <w:rFonts w:asciiTheme="majorHAnsi" w:hAnsiTheme="majorHAnsi"/>
                <w:b/>
                <w:color w:val="0070C0"/>
                <w:sz w:val="44"/>
                <w:szCs w:val="44"/>
              </w:rPr>
            </w:pPr>
          </w:p>
          <w:p w:rsidR="00E9764D" w:rsidRPr="00F3317D" w:rsidRDefault="00E9764D" w:rsidP="000F55B7">
            <w:pPr>
              <w:tabs>
                <w:tab w:val="center" w:pos="5040"/>
                <w:tab w:val="left" w:pos="7272"/>
              </w:tabs>
              <w:jc w:val="center"/>
              <w:rPr>
                <w:rFonts w:asciiTheme="majorHAnsi" w:hAnsiTheme="majorHAnsi"/>
                <w:b/>
                <w:color w:val="0070C0"/>
                <w:sz w:val="44"/>
                <w:szCs w:val="44"/>
              </w:rPr>
            </w:pPr>
          </w:p>
          <w:p w:rsidR="00E9764D" w:rsidRPr="00D04147" w:rsidRDefault="00E9764D" w:rsidP="000F55B7">
            <w:pPr>
              <w:tabs>
                <w:tab w:val="center" w:pos="5040"/>
                <w:tab w:val="left" w:pos="7272"/>
              </w:tabs>
              <w:jc w:val="center"/>
              <w:rPr>
                <w:rFonts w:asciiTheme="minorHAnsi" w:hAnsiTheme="minorHAnsi"/>
                <w:b/>
                <w:color w:val="0070C0"/>
                <w:sz w:val="44"/>
                <w:szCs w:val="44"/>
              </w:rPr>
            </w:pPr>
          </w:p>
          <w:p w:rsidR="00E9764D" w:rsidRPr="00B175EF" w:rsidRDefault="00E9764D" w:rsidP="000F55B7">
            <w:pPr>
              <w:tabs>
                <w:tab w:val="center" w:pos="5040"/>
                <w:tab w:val="left" w:pos="7272"/>
              </w:tabs>
              <w:jc w:val="center"/>
              <w:rPr>
                <w:rFonts w:asciiTheme="minorHAnsi" w:hAnsiTheme="minorHAnsi"/>
                <w:b/>
                <w:color w:val="0000FF"/>
                <w:sz w:val="48"/>
                <w:szCs w:val="48"/>
              </w:rPr>
            </w:pPr>
          </w:p>
          <w:p w:rsidR="00FE7E7E" w:rsidRPr="002926A1" w:rsidRDefault="00FE7E7E" w:rsidP="000F55B7">
            <w:pPr>
              <w:tabs>
                <w:tab w:val="center" w:pos="5040"/>
                <w:tab w:val="left" w:pos="7272"/>
              </w:tabs>
              <w:jc w:val="center"/>
              <w:rPr>
                <w:rFonts w:asciiTheme="minorHAnsi" w:hAnsiTheme="minorHAnsi"/>
                <w:b/>
                <w:sz w:val="40"/>
                <w:szCs w:val="40"/>
              </w:rPr>
            </w:pPr>
            <w:r w:rsidRPr="002926A1">
              <w:rPr>
                <w:rFonts w:asciiTheme="minorHAnsi" w:hAnsiTheme="minorHAnsi"/>
                <w:b/>
                <w:sz w:val="40"/>
                <w:szCs w:val="40"/>
              </w:rPr>
              <w:t>Supplement to</w:t>
            </w:r>
            <w:r w:rsidR="00F04139" w:rsidRPr="002926A1">
              <w:rPr>
                <w:rFonts w:asciiTheme="minorHAnsi" w:hAnsiTheme="minorHAnsi"/>
                <w:b/>
                <w:sz w:val="40"/>
                <w:szCs w:val="40"/>
              </w:rPr>
              <w:t>:</w:t>
            </w:r>
          </w:p>
          <w:p w:rsidR="00FE7E7E" w:rsidRPr="002926A1" w:rsidRDefault="00FE7E7E" w:rsidP="000F55B7">
            <w:pPr>
              <w:tabs>
                <w:tab w:val="center" w:pos="5040"/>
                <w:tab w:val="left" w:pos="7272"/>
              </w:tabs>
              <w:jc w:val="center"/>
              <w:rPr>
                <w:rFonts w:asciiTheme="minorHAnsi" w:hAnsiTheme="minorHAnsi"/>
                <w:b/>
                <w:sz w:val="40"/>
                <w:szCs w:val="40"/>
              </w:rPr>
            </w:pPr>
            <w:r w:rsidRPr="002926A1">
              <w:rPr>
                <w:rFonts w:asciiTheme="minorHAnsi" w:hAnsiTheme="minorHAnsi"/>
                <w:b/>
                <w:sz w:val="40"/>
                <w:szCs w:val="40"/>
              </w:rPr>
              <w:t>RY201</w:t>
            </w:r>
            <w:r w:rsidR="002A704B" w:rsidRPr="002926A1">
              <w:rPr>
                <w:rFonts w:asciiTheme="minorHAnsi" w:hAnsiTheme="minorHAnsi"/>
                <w:b/>
                <w:sz w:val="40"/>
                <w:szCs w:val="40"/>
              </w:rPr>
              <w:t>7</w:t>
            </w:r>
            <w:r w:rsidRPr="002926A1">
              <w:rPr>
                <w:rFonts w:asciiTheme="minorHAnsi" w:hAnsiTheme="minorHAnsi"/>
                <w:b/>
                <w:sz w:val="40"/>
                <w:szCs w:val="40"/>
              </w:rPr>
              <w:t xml:space="preserve"> EOHHS Technical Specifications Manual</w:t>
            </w:r>
            <w:r w:rsidR="00F04139" w:rsidRPr="002926A1">
              <w:rPr>
                <w:rFonts w:asciiTheme="minorHAnsi" w:hAnsiTheme="minorHAnsi"/>
                <w:b/>
                <w:sz w:val="40"/>
                <w:szCs w:val="40"/>
              </w:rPr>
              <w:t xml:space="preserve"> for </w:t>
            </w:r>
            <w:r w:rsidR="002926A1">
              <w:rPr>
                <w:rFonts w:asciiTheme="minorHAnsi" w:hAnsiTheme="minorHAnsi"/>
                <w:b/>
                <w:sz w:val="40"/>
                <w:szCs w:val="40"/>
              </w:rPr>
              <w:t xml:space="preserve">                    </w:t>
            </w:r>
            <w:r w:rsidR="00F04139" w:rsidRPr="002926A1">
              <w:rPr>
                <w:rFonts w:asciiTheme="minorHAnsi" w:hAnsiTheme="minorHAnsi"/>
                <w:b/>
                <w:sz w:val="40"/>
                <w:szCs w:val="40"/>
              </w:rPr>
              <w:t>Acute Hospital Quality Measures</w:t>
            </w:r>
            <w:r w:rsidR="00D973BE" w:rsidRPr="002926A1">
              <w:rPr>
                <w:rFonts w:asciiTheme="minorHAnsi" w:hAnsiTheme="minorHAnsi"/>
                <w:b/>
                <w:sz w:val="40"/>
                <w:szCs w:val="40"/>
              </w:rPr>
              <w:t xml:space="preserve"> (v10.0)</w:t>
            </w:r>
          </w:p>
          <w:p w:rsidR="00EC1894" w:rsidRDefault="00EC1894" w:rsidP="00981EAF">
            <w:pPr>
              <w:tabs>
                <w:tab w:val="center" w:pos="5040"/>
                <w:tab w:val="left" w:pos="7272"/>
              </w:tabs>
              <w:jc w:val="center"/>
              <w:rPr>
                <w:rFonts w:asciiTheme="minorHAnsi" w:hAnsiTheme="minorHAnsi"/>
                <w:b/>
                <w:color w:val="0070C0"/>
                <w:sz w:val="44"/>
                <w:szCs w:val="44"/>
              </w:rPr>
            </w:pPr>
          </w:p>
          <w:p w:rsidR="00B175EF" w:rsidRPr="00B175EF" w:rsidRDefault="00B175EF" w:rsidP="00981EAF">
            <w:pPr>
              <w:tabs>
                <w:tab w:val="center" w:pos="5040"/>
                <w:tab w:val="left" w:pos="7272"/>
              </w:tabs>
              <w:jc w:val="center"/>
              <w:rPr>
                <w:rFonts w:asciiTheme="minorHAnsi" w:hAnsiTheme="minorHAnsi"/>
                <w:b/>
                <w:color w:val="0070C0"/>
                <w:sz w:val="44"/>
                <w:szCs w:val="44"/>
              </w:rPr>
            </w:pPr>
          </w:p>
          <w:p w:rsidR="00B175EF" w:rsidRPr="00B175EF" w:rsidRDefault="00B175EF" w:rsidP="00D04147">
            <w:pPr>
              <w:tabs>
                <w:tab w:val="center" w:pos="5040"/>
                <w:tab w:val="left" w:pos="7272"/>
              </w:tabs>
              <w:jc w:val="center"/>
              <w:rPr>
                <w:rFonts w:asciiTheme="minorHAnsi" w:hAnsiTheme="minorHAnsi" w:cs="Arial"/>
                <w:b/>
                <w:color w:val="0070C0"/>
                <w:sz w:val="36"/>
                <w:szCs w:val="36"/>
              </w:rPr>
            </w:pPr>
          </w:p>
          <w:p w:rsidR="000521FE" w:rsidRPr="0042718F" w:rsidRDefault="000521FE" w:rsidP="00EE5F74">
            <w:pPr>
              <w:tabs>
                <w:tab w:val="center" w:pos="5040"/>
                <w:tab w:val="left" w:pos="7272"/>
              </w:tabs>
              <w:rPr>
                <w:rFonts w:asciiTheme="majorHAnsi" w:hAnsiTheme="majorHAnsi"/>
                <w:b/>
              </w:rPr>
            </w:pPr>
          </w:p>
        </w:tc>
      </w:tr>
    </w:tbl>
    <w:p w:rsidR="00A769A0" w:rsidRPr="002926A1" w:rsidRDefault="00A769A0" w:rsidP="00A769A0">
      <w:pPr>
        <w:tabs>
          <w:tab w:val="center" w:pos="5040"/>
          <w:tab w:val="left" w:pos="7272"/>
        </w:tabs>
        <w:jc w:val="center"/>
        <w:rPr>
          <w:rFonts w:cs="Arial"/>
          <w:b/>
          <w:sz w:val="52"/>
          <w:szCs w:val="52"/>
        </w:rPr>
      </w:pPr>
      <w:r w:rsidRPr="002926A1">
        <w:rPr>
          <w:rFonts w:cs="Arial"/>
          <w:b/>
          <w:sz w:val="52"/>
          <w:szCs w:val="52"/>
        </w:rPr>
        <w:t xml:space="preserve">Published: May </w:t>
      </w:r>
      <w:r w:rsidR="0012778C" w:rsidRPr="002926A1">
        <w:rPr>
          <w:rFonts w:cs="Arial"/>
          <w:b/>
          <w:sz w:val="52"/>
          <w:szCs w:val="52"/>
        </w:rPr>
        <w:t>1</w:t>
      </w:r>
      <w:r w:rsidR="00134A16" w:rsidRPr="002926A1">
        <w:rPr>
          <w:rFonts w:cs="Arial"/>
          <w:b/>
          <w:sz w:val="52"/>
          <w:szCs w:val="52"/>
        </w:rPr>
        <w:t>2</w:t>
      </w:r>
      <w:r w:rsidRPr="002926A1">
        <w:rPr>
          <w:rFonts w:cs="Arial"/>
          <w:b/>
          <w:sz w:val="52"/>
          <w:szCs w:val="52"/>
        </w:rPr>
        <w:t>, 2017</w:t>
      </w:r>
    </w:p>
    <w:p w:rsidR="000521FE" w:rsidRPr="001F0782" w:rsidRDefault="000521FE" w:rsidP="001F0782">
      <w:pPr>
        <w:pStyle w:val="Default"/>
        <w:jc w:val="center"/>
        <w:rPr>
          <w:rFonts w:asciiTheme="majorHAnsi" w:hAnsiTheme="majorHAnsi" w:cstheme="minorBidi"/>
          <w:b/>
          <w:color w:val="auto"/>
          <w:sz w:val="36"/>
          <w:szCs w:val="36"/>
        </w:rPr>
        <w:sectPr w:rsidR="000521FE" w:rsidRPr="001F0782" w:rsidSect="00B86868">
          <w:headerReference w:type="even" r:id="rId11"/>
          <w:headerReference w:type="default" r:id="rId12"/>
          <w:footerReference w:type="even" r:id="rId13"/>
          <w:footerReference w:type="default" r:id="rId14"/>
          <w:headerReference w:type="first" r:id="rId15"/>
          <w:footerReference w:type="first" r:id="rId16"/>
          <w:pgSz w:w="12240" w:h="15840"/>
          <w:pgMar w:top="900" w:right="864" w:bottom="1008" w:left="1008" w:header="360" w:footer="270" w:gutter="0"/>
          <w:pgNumType w:start="0"/>
          <w:cols w:space="720"/>
          <w:titlePg/>
          <w:docGrid w:linePitch="360"/>
        </w:sectPr>
      </w:pPr>
    </w:p>
    <w:p w:rsidR="000F55B7" w:rsidRPr="00134A16" w:rsidRDefault="00620050" w:rsidP="00F11588">
      <w:pPr>
        <w:pStyle w:val="Title"/>
        <w:rPr>
          <w:b/>
          <w:sz w:val="40"/>
          <w:szCs w:val="40"/>
        </w:rPr>
      </w:pPr>
      <w:r w:rsidRPr="00134A16">
        <w:rPr>
          <w:b/>
          <w:sz w:val="40"/>
          <w:szCs w:val="40"/>
        </w:rPr>
        <w:lastRenderedPageBreak/>
        <w:t>S</w:t>
      </w:r>
      <w:r w:rsidR="00F11588" w:rsidRPr="00134A16">
        <w:rPr>
          <w:b/>
          <w:sz w:val="40"/>
          <w:szCs w:val="40"/>
        </w:rPr>
        <w:t xml:space="preserve">ection </w:t>
      </w:r>
      <w:r w:rsidR="0038469B" w:rsidRPr="00134A16">
        <w:rPr>
          <w:b/>
          <w:sz w:val="40"/>
          <w:szCs w:val="40"/>
        </w:rPr>
        <w:t>I.</w:t>
      </w:r>
      <w:r w:rsidR="00F11588" w:rsidRPr="00134A16">
        <w:rPr>
          <w:b/>
          <w:sz w:val="40"/>
          <w:szCs w:val="40"/>
        </w:rPr>
        <w:t xml:space="preserve"> </w:t>
      </w:r>
      <w:r w:rsidR="00E83C2E" w:rsidRPr="00134A16">
        <w:rPr>
          <w:b/>
          <w:sz w:val="40"/>
          <w:szCs w:val="40"/>
        </w:rPr>
        <w:t xml:space="preserve">Introduction </w:t>
      </w:r>
    </w:p>
    <w:p w:rsidR="000F55B7" w:rsidRPr="004A515A" w:rsidRDefault="00E83C2E" w:rsidP="00B60878">
      <w:pPr>
        <w:pStyle w:val="Default"/>
        <w:numPr>
          <w:ilvl w:val="0"/>
          <w:numId w:val="11"/>
        </w:numPr>
        <w:rPr>
          <w:rFonts w:asciiTheme="minorHAnsi" w:hAnsiTheme="minorHAnsi"/>
          <w:b/>
          <w:color w:val="auto"/>
          <w:sz w:val="28"/>
          <w:szCs w:val="28"/>
        </w:rPr>
      </w:pPr>
      <w:r w:rsidRPr="004A515A">
        <w:rPr>
          <w:rFonts w:asciiTheme="minorHAnsi" w:hAnsiTheme="minorHAnsi"/>
          <w:b/>
          <w:color w:val="auto"/>
          <w:sz w:val="28"/>
          <w:szCs w:val="28"/>
        </w:rPr>
        <w:t xml:space="preserve">Purpose of Release Notes </w:t>
      </w:r>
      <w:r w:rsidR="006F4DC5" w:rsidRPr="004A515A">
        <w:rPr>
          <w:rFonts w:asciiTheme="minorHAnsi" w:hAnsiTheme="minorHAnsi"/>
          <w:b/>
          <w:color w:val="auto"/>
          <w:sz w:val="28"/>
          <w:szCs w:val="28"/>
        </w:rPr>
        <w:t xml:space="preserve"> </w:t>
      </w:r>
    </w:p>
    <w:p w:rsidR="006F4DC5" w:rsidRPr="004A515A" w:rsidRDefault="006F4DC5" w:rsidP="006F4DC5">
      <w:pPr>
        <w:pStyle w:val="ListParagraph"/>
        <w:spacing w:after="0" w:line="240" w:lineRule="auto"/>
        <w:ind w:left="360"/>
        <w:rPr>
          <w:rFonts w:cs="Arial"/>
        </w:rPr>
      </w:pPr>
    </w:p>
    <w:p w:rsidR="00D47F01" w:rsidRPr="004A515A" w:rsidRDefault="000F55B7" w:rsidP="00331641">
      <w:pPr>
        <w:spacing w:after="0" w:line="240" w:lineRule="auto"/>
        <w:rPr>
          <w:rFonts w:cs="Arial"/>
        </w:rPr>
      </w:pPr>
      <w:r w:rsidRPr="004A515A">
        <w:rPr>
          <w:rFonts w:cs="Arial"/>
        </w:rPr>
        <w:t>Th</w:t>
      </w:r>
      <w:r w:rsidR="00114FAB" w:rsidRPr="004A515A">
        <w:rPr>
          <w:rFonts w:cs="Arial"/>
        </w:rPr>
        <w:t xml:space="preserve">is </w:t>
      </w:r>
      <w:r w:rsidRPr="004A515A">
        <w:rPr>
          <w:rFonts w:cs="Arial"/>
        </w:rPr>
        <w:t>EOHHS Release Notes provide u</w:t>
      </w:r>
      <w:r w:rsidR="00ED0820" w:rsidRPr="004A515A">
        <w:rPr>
          <w:rFonts w:cs="Arial"/>
        </w:rPr>
        <w:t xml:space="preserve">pdates applicable to the existing </w:t>
      </w:r>
      <w:r w:rsidRPr="004A515A">
        <w:rPr>
          <w:rFonts w:cs="Arial"/>
        </w:rPr>
        <w:t>RY1</w:t>
      </w:r>
      <w:r w:rsidR="00D973BE" w:rsidRPr="004A515A">
        <w:rPr>
          <w:rFonts w:cs="Arial"/>
        </w:rPr>
        <w:t>7</w:t>
      </w:r>
      <w:r w:rsidRPr="004A515A">
        <w:rPr>
          <w:rFonts w:cs="Arial"/>
        </w:rPr>
        <w:t xml:space="preserve"> EOHHS Technical Specifications Manual</w:t>
      </w:r>
      <w:r w:rsidR="00ED0820" w:rsidRPr="004A515A">
        <w:rPr>
          <w:rFonts w:cs="Arial"/>
        </w:rPr>
        <w:t xml:space="preserve">s published </w:t>
      </w:r>
      <w:r w:rsidRPr="004A515A">
        <w:rPr>
          <w:rFonts w:cs="Arial"/>
        </w:rPr>
        <w:t xml:space="preserve">for hospitals participating in MassHealth Hospital </w:t>
      </w:r>
      <w:r w:rsidR="00C55F3B" w:rsidRPr="004A515A">
        <w:rPr>
          <w:rFonts w:cs="Arial"/>
        </w:rPr>
        <w:t>Pay-for-Performance (</w:t>
      </w:r>
      <w:r w:rsidRPr="004A515A">
        <w:rPr>
          <w:rFonts w:cs="Arial"/>
        </w:rPr>
        <w:t>P4P</w:t>
      </w:r>
      <w:r w:rsidR="00C55F3B" w:rsidRPr="004A515A">
        <w:rPr>
          <w:rFonts w:cs="Arial"/>
        </w:rPr>
        <w:t>)</w:t>
      </w:r>
      <w:r w:rsidRPr="004A515A">
        <w:rPr>
          <w:rFonts w:cs="Arial"/>
        </w:rPr>
        <w:t xml:space="preserve"> quality measures reporting. </w:t>
      </w:r>
      <w:r w:rsidR="00863353" w:rsidRPr="004A515A">
        <w:rPr>
          <w:rFonts w:cs="Arial"/>
        </w:rPr>
        <w:t xml:space="preserve"> </w:t>
      </w:r>
      <w:r w:rsidR="002F2E25" w:rsidRPr="004A515A">
        <w:rPr>
          <w:rFonts w:cs="Arial"/>
        </w:rPr>
        <w:t xml:space="preserve">Information in this document </w:t>
      </w:r>
      <w:r w:rsidR="00863353" w:rsidRPr="004A515A">
        <w:rPr>
          <w:rFonts w:cs="Arial"/>
        </w:rPr>
        <w:t xml:space="preserve">addresses the </w:t>
      </w:r>
      <w:r w:rsidR="008E7D5F" w:rsidRPr="004A515A">
        <w:rPr>
          <w:rFonts w:cs="Arial"/>
        </w:rPr>
        <w:t xml:space="preserve">impact of the </w:t>
      </w:r>
      <w:r w:rsidR="00114FAB" w:rsidRPr="004A515A">
        <w:rPr>
          <w:rFonts w:cs="Arial"/>
        </w:rPr>
        <w:t xml:space="preserve">important </w:t>
      </w:r>
      <w:r w:rsidR="002F2E25" w:rsidRPr="004A515A">
        <w:rPr>
          <w:rFonts w:cs="Arial"/>
        </w:rPr>
        <w:t xml:space="preserve">updates listed below. </w:t>
      </w:r>
    </w:p>
    <w:p w:rsidR="000D7B4A" w:rsidRPr="004A515A" w:rsidRDefault="000D7B4A" w:rsidP="000D7B4A">
      <w:pPr>
        <w:pStyle w:val="ListParagraph"/>
        <w:spacing w:after="0" w:line="240" w:lineRule="auto"/>
        <w:rPr>
          <w:rFonts w:cs="Arial"/>
        </w:rPr>
      </w:pPr>
    </w:p>
    <w:p w:rsidR="005A6FD4" w:rsidRPr="00134A16" w:rsidRDefault="000F55B7" w:rsidP="00B60878">
      <w:pPr>
        <w:pStyle w:val="ListParagraph"/>
        <w:numPr>
          <w:ilvl w:val="3"/>
          <w:numId w:val="8"/>
        </w:numPr>
        <w:spacing w:after="0" w:line="240" w:lineRule="auto"/>
        <w:ind w:left="360"/>
        <w:rPr>
          <w:rFonts w:cs="Arial"/>
        </w:rPr>
      </w:pPr>
      <w:r w:rsidRPr="00134A16">
        <w:rPr>
          <w:rFonts w:cs="Arial"/>
          <w:b/>
        </w:rPr>
        <w:t xml:space="preserve">Important </w:t>
      </w:r>
      <w:r w:rsidR="00E83C2E" w:rsidRPr="00134A16">
        <w:rPr>
          <w:rFonts w:cs="Arial"/>
          <w:b/>
        </w:rPr>
        <w:t xml:space="preserve">Updates </w:t>
      </w:r>
    </w:p>
    <w:p w:rsidR="00DB0AD2" w:rsidRPr="00134A16" w:rsidRDefault="00762962" w:rsidP="00BA34E4">
      <w:pPr>
        <w:pStyle w:val="ListParagraph"/>
        <w:numPr>
          <w:ilvl w:val="0"/>
          <w:numId w:val="21"/>
        </w:numPr>
        <w:spacing w:after="0" w:line="240" w:lineRule="auto"/>
        <w:rPr>
          <w:rFonts w:cs="Arial"/>
        </w:rPr>
      </w:pPr>
      <w:r w:rsidRPr="00134A16">
        <w:rPr>
          <w:rFonts w:cs="Arial"/>
          <w:b/>
        </w:rPr>
        <w:t xml:space="preserve">Discontinue </w:t>
      </w:r>
      <w:r w:rsidR="00114FAB" w:rsidRPr="00134A16">
        <w:rPr>
          <w:rFonts w:cs="Arial"/>
          <w:b/>
        </w:rPr>
        <w:t>Elective Delivery Measure</w:t>
      </w:r>
      <w:r w:rsidR="005719CB" w:rsidRPr="00134A16">
        <w:rPr>
          <w:rFonts w:cs="Arial"/>
          <w:b/>
        </w:rPr>
        <w:t>:</w:t>
      </w:r>
      <w:r w:rsidR="005719CB" w:rsidRPr="00134A16">
        <w:rPr>
          <w:rFonts w:cs="Arial"/>
          <w:b/>
          <w:i/>
        </w:rPr>
        <w:t xml:space="preserve"> </w:t>
      </w:r>
      <w:r w:rsidR="00BA34E4" w:rsidRPr="00134A16">
        <w:rPr>
          <w:rFonts w:cs="Arial"/>
        </w:rPr>
        <w:t xml:space="preserve">In </w:t>
      </w:r>
      <w:r w:rsidR="00017721" w:rsidRPr="00134A16">
        <w:rPr>
          <w:rFonts w:cs="Arial"/>
        </w:rPr>
        <w:t xml:space="preserve">February 2017 all </w:t>
      </w:r>
      <w:r w:rsidR="000F1139" w:rsidRPr="00134A16">
        <w:rPr>
          <w:rFonts w:cs="Arial"/>
        </w:rPr>
        <w:t xml:space="preserve">Acute </w:t>
      </w:r>
      <w:r w:rsidR="00017721" w:rsidRPr="00134A16">
        <w:rPr>
          <w:rFonts w:cs="Arial"/>
        </w:rPr>
        <w:t>RFA hospital quality contacts</w:t>
      </w:r>
      <w:r w:rsidRPr="00134A16">
        <w:rPr>
          <w:rFonts w:cs="Arial"/>
        </w:rPr>
        <w:t xml:space="preserve"> were notified</w:t>
      </w:r>
      <w:r w:rsidR="00017721" w:rsidRPr="00134A16">
        <w:rPr>
          <w:rFonts w:cs="Arial"/>
        </w:rPr>
        <w:t xml:space="preserve">, via the EOHHS business mailbox, that </w:t>
      </w:r>
      <w:r w:rsidR="005719CB" w:rsidRPr="00134A16">
        <w:rPr>
          <w:rFonts w:cs="Arial"/>
        </w:rPr>
        <w:t>the elective delivery (MAT-3)</w:t>
      </w:r>
      <w:r w:rsidR="00BD4E5C" w:rsidRPr="00134A16">
        <w:rPr>
          <w:rFonts w:cs="Arial"/>
        </w:rPr>
        <w:t xml:space="preserve"> </w:t>
      </w:r>
      <w:r w:rsidR="005719CB" w:rsidRPr="00134A16">
        <w:rPr>
          <w:rFonts w:cs="Arial"/>
        </w:rPr>
        <w:t xml:space="preserve">measure reporting requirement has been discontinued effective with calendar year 2017.  </w:t>
      </w:r>
      <w:r w:rsidR="00BA34E4" w:rsidRPr="00134A16">
        <w:rPr>
          <w:rFonts w:cs="Arial"/>
        </w:rPr>
        <w:t xml:space="preserve">Hospitals are not required to </w:t>
      </w:r>
      <w:r w:rsidR="00BA34E4" w:rsidRPr="00134A16">
        <w:rPr>
          <w:rFonts w:cs="Arial"/>
          <w:bCs/>
          <w:iCs/>
        </w:rPr>
        <w:t>collect or report</w:t>
      </w:r>
      <w:r w:rsidR="00BA34E4" w:rsidRPr="00134A16">
        <w:rPr>
          <w:rFonts w:cs="Arial"/>
        </w:rPr>
        <w:t xml:space="preserve"> on MAT-3 measures data beginning with the Q1-2017 </w:t>
      </w:r>
      <w:r w:rsidR="00BA34E4" w:rsidRPr="00134A16">
        <w:rPr>
          <w:rFonts w:eastAsia="Times New Roman" w:cs="Arial"/>
        </w:rPr>
        <w:t xml:space="preserve">(Jan 1, 2017 – March 31, 2017) </w:t>
      </w:r>
      <w:r w:rsidR="00BA34E4" w:rsidRPr="00134A16">
        <w:rPr>
          <w:rFonts w:cs="Arial"/>
        </w:rPr>
        <w:t xml:space="preserve">discharge data files. A general </w:t>
      </w:r>
      <w:r w:rsidR="00DB0AD2" w:rsidRPr="00134A16">
        <w:rPr>
          <w:rFonts w:cs="Arial"/>
        </w:rPr>
        <w:t xml:space="preserve">update was </w:t>
      </w:r>
      <w:r w:rsidR="00BA34E4" w:rsidRPr="00134A16">
        <w:rPr>
          <w:rFonts w:cs="Arial"/>
        </w:rPr>
        <w:t xml:space="preserve">also </w:t>
      </w:r>
      <w:r w:rsidR="00DB0AD2" w:rsidRPr="00134A16">
        <w:rPr>
          <w:rFonts w:cs="Arial"/>
        </w:rPr>
        <w:t xml:space="preserve">posted on the MassQEX portal homepage to notify users that </w:t>
      </w:r>
      <w:r w:rsidR="00DB0AD2" w:rsidRPr="00134A16">
        <w:rPr>
          <w:rFonts w:eastAsia="Times New Roman" w:cs="Arial"/>
        </w:rPr>
        <w:t>the portal will not accept MAT-3 data files as of Q1-2017 submission cycle.</w:t>
      </w:r>
    </w:p>
    <w:p w:rsidR="00DB0AD2" w:rsidRPr="00134A16" w:rsidRDefault="00DB0AD2" w:rsidP="00DB0AD2">
      <w:pPr>
        <w:pStyle w:val="ListParagraph"/>
        <w:spacing w:after="0" w:line="240" w:lineRule="auto"/>
        <w:rPr>
          <w:rFonts w:cs="Arial"/>
          <w:sz w:val="18"/>
          <w:szCs w:val="18"/>
        </w:rPr>
      </w:pPr>
    </w:p>
    <w:p w:rsidR="00017721" w:rsidRPr="00DB0AD2" w:rsidRDefault="00017721" w:rsidP="00DB0AD2">
      <w:pPr>
        <w:pStyle w:val="ListParagraph"/>
        <w:spacing w:after="0" w:line="240" w:lineRule="auto"/>
        <w:rPr>
          <w:rFonts w:cs="Arial"/>
        </w:rPr>
      </w:pPr>
      <w:r w:rsidRPr="00134A16">
        <w:rPr>
          <w:rFonts w:cs="Arial"/>
        </w:rPr>
        <w:t xml:space="preserve">The </w:t>
      </w:r>
      <w:r w:rsidR="00DB0AD2" w:rsidRPr="00134A16">
        <w:rPr>
          <w:rFonts w:cs="Arial"/>
        </w:rPr>
        <w:t xml:space="preserve">elective delivery </w:t>
      </w:r>
      <w:r w:rsidR="005719CB" w:rsidRPr="00134A16">
        <w:rPr>
          <w:rFonts w:cs="Arial"/>
        </w:rPr>
        <w:t xml:space="preserve">measure was </w:t>
      </w:r>
      <w:r w:rsidRPr="00134A16">
        <w:rPr>
          <w:rFonts w:cs="Arial"/>
        </w:rPr>
        <w:t xml:space="preserve">discontinued based on considerations that include </w:t>
      </w:r>
      <w:r w:rsidR="00DB0AD2" w:rsidRPr="00134A16">
        <w:rPr>
          <w:rFonts w:cs="Arial"/>
        </w:rPr>
        <w:t xml:space="preserve">MassHealth hospitals achieving topped out performance status, changes to national </w:t>
      </w:r>
      <w:r w:rsidRPr="00134A16">
        <w:rPr>
          <w:rFonts w:cs="Arial"/>
        </w:rPr>
        <w:t>ICD-10 cod</w:t>
      </w:r>
      <w:r w:rsidR="00DB0AD2" w:rsidRPr="00134A16">
        <w:rPr>
          <w:rFonts w:cs="Arial"/>
        </w:rPr>
        <w:t xml:space="preserve">ing </w:t>
      </w:r>
      <w:r w:rsidRPr="00134A16">
        <w:rPr>
          <w:rFonts w:cs="Arial"/>
        </w:rPr>
        <w:t xml:space="preserve"> guideline</w:t>
      </w:r>
      <w:r w:rsidR="00DB0AD2" w:rsidRPr="00134A16">
        <w:rPr>
          <w:rFonts w:cs="Arial"/>
        </w:rPr>
        <w:t xml:space="preserve">s that </w:t>
      </w:r>
      <w:r w:rsidRPr="00134A16">
        <w:rPr>
          <w:rFonts w:cs="Arial"/>
        </w:rPr>
        <w:t>remov</w:t>
      </w:r>
      <w:r w:rsidR="00DB0AD2" w:rsidRPr="00134A16">
        <w:rPr>
          <w:rFonts w:cs="Arial"/>
        </w:rPr>
        <w:t xml:space="preserve">e the </w:t>
      </w:r>
      <w:r w:rsidRPr="00134A16">
        <w:rPr>
          <w:rFonts w:cs="Arial"/>
        </w:rPr>
        <w:t>O09xx series hospital billing codes effective 10/</w:t>
      </w:r>
      <w:r w:rsidR="00B175EF" w:rsidRPr="00134A16">
        <w:rPr>
          <w:rFonts w:cs="Arial"/>
        </w:rPr>
        <w:t>0</w:t>
      </w:r>
      <w:r w:rsidRPr="00134A16">
        <w:rPr>
          <w:rFonts w:cs="Arial"/>
        </w:rPr>
        <w:t>1/2016</w:t>
      </w:r>
      <w:r w:rsidR="0052185A">
        <w:rPr>
          <w:rFonts w:cs="Arial"/>
        </w:rPr>
        <w:t xml:space="preserve"> discharges, </w:t>
      </w:r>
      <w:r w:rsidR="00DB0AD2" w:rsidRPr="00134A16">
        <w:rPr>
          <w:rFonts w:cs="Arial"/>
        </w:rPr>
        <w:t xml:space="preserve">as well as the Joint Commission </w:t>
      </w:r>
      <w:r w:rsidR="0052185A">
        <w:rPr>
          <w:rFonts w:cs="Arial"/>
        </w:rPr>
        <w:t xml:space="preserve">delaying phase in of new measure specifications as of </w:t>
      </w:r>
      <w:r w:rsidR="00DB0AD2" w:rsidRPr="00134A16">
        <w:rPr>
          <w:rFonts w:cs="Arial"/>
        </w:rPr>
        <w:t>07/01/</w:t>
      </w:r>
      <w:r w:rsidR="0052185A">
        <w:rPr>
          <w:rFonts w:cs="Arial"/>
        </w:rPr>
        <w:t>20</w:t>
      </w:r>
      <w:r w:rsidR="00DB0AD2" w:rsidRPr="00134A16">
        <w:rPr>
          <w:rFonts w:cs="Arial"/>
        </w:rPr>
        <w:t>17</w:t>
      </w:r>
      <w:r w:rsidR="0052185A">
        <w:rPr>
          <w:rFonts w:cs="Arial"/>
        </w:rPr>
        <w:t xml:space="preserve"> discharges</w:t>
      </w:r>
      <w:r w:rsidR="00DB0AD2" w:rsidRPr="00134A16">
        <w:rPr>
          <w:rFonts w:cs="Arial"/>
        </w:rPr>
        <w:t>.</w:t>
      </w:r>
      <w:r w:rsidR="00DB0AD2" w:rsidRPr="00DB0AD2">
        <w:rPr>
          <w:rFonts w:cs="Arial"/>
        </w:rPr>
        <w:t xml:space="preserve"> </w:t>
      </w:r>
    </w:p>
    <w:p w:rsidR="00BD4E5C" w:rsidRPr="001F0782" w:rsidRDefault="00BD4E5C" w:rsidP="00BD4E5C">
      <w:pPr>
        <w:pStyle w:val="ListParagraph"/>
        <w:spacing w:after="0" w:line="240" w:lineRule="auto"/>
        <w:rPr>
          <w:rFonts w:cs="Arial"/>
        </w:rPr>
      </w:pPr>
    </w:p>
    <w:p w:rsidR="005719CB" w:rsidRPr="001F0782" w:rsidRDefault="005719CB" w:rsidP="00B60878">
      <w:pPr>
        <w:pStyle w:val="ListParagraph"/>
        <w:numPr>
          <w:ilvl w:val="0"/>
          <w:numId w:val="1"/>
        </w:numPr>
        <w:spacing w:after="0" w:line="240" w:lineRule="auto"/>
        <w:rPr>
          <w:rFonts w:cs="Arial"/>
        </w:rPr>
      </w:pPr>
      <w:r w:rsidRPr="00134A16">
        <w:rPr>
          <w:rFonts w:cs="Arial"/>
          <w:b/>
        </w:rPr>
        <w:t>Quarter Period Impact</w:t>
      </w:r>
      <w:r w:rsidR="00134A16">
        <w:rPr>
          <w:rFonts w:cs="Arial"/>
        </w:rPr>
        <w:t xml:space="preserve">: </w:t>
      </w:r>
      <w:r w:rsidRPr="001F0782">
        <w:rPr>
          <w:rFonts w:cs="Arial"/>
        </w:rPr>
        <w:t xml:space="preserve"> The </w:t>
      </w:r>
      <w:r w:rsidR="00CA6F25" w:rsidRPr="001F0782">
        <w:rPr>
          <w:rFonts w:cs="Arial"/>
        </w:rPr>
        <w:t>change</w:t>
      </w:r>
      <w:r w:rsidR="00BD4E5C" w:rsidRPr="001F0782">
        <w:rPr>
          <w:rFonts w:cs="Arial"/>
        </w:rPr>
        <w:t xml:space="preserve"> </w:t>
      </w:r>
      <w:r w:rsidR="00BA34E4">
        <w:rPr>
          <w:rFonts w:cs="Arial"/>
        </w:rPr>
        <w:t xml:space="preserve">to MAT-3 </w:t>
      </w:r>
      <w:r w:rsidR="00134A16">
        <w:rPr>
          <w:rFonts w:cs="Arial"/>
        </w:rPr>
        <w:t xml:space="preserve">reporting </w:t>
      </w:r>
      <w:r w:rsidR="00BD4E5C" w:rsidRPr="001F0782">
        <w:rPr>
          <w:rFonts w:cs="Arial"/>
        </w:rPr>
        <w:t xml:space="preserve">will </w:t>
      </w:r>
      <w:r w:rsidRPr="001F0782">
        <w:rPr>
          <w:rFonts w:cs="Arial"/>
        </w:rPr>
        <w:t xml:space="preserve">impact </w:t>
      </w:r>
      <w:r w:rsidR="001F0782" w:rsidRPr="001F0782">
        <w:rPr>
          <w:rFonts w:cs="Arial"/>
        </w:rPr>
        <w:t xml:space="preserve">MassQEX </w:t>
      </w:r>
      <w:r w:rsidR="00CA6F25" w:rsidRPr="001F0782">
        <w:rPr>
          <w:rFonts w:cs="Arial"/>
        </w:rPr>
        <w:t>portal data f</w:t>
      </w:r>
      <w:r w:rsidRPr="001F0782">
        <w:rPr>
          <w:rFonts w:cs="Arial"/>
        </w:rPr>
        <w:t xml:space="preserve">ile processing </w:t>
      </w:r>
      <w:r w:rsidR="001F0782" w:rsidRPr="001F0782">
        <w:rPr>
          <w:rFonts w:cs="Arial"/>
        </w:rPr>
        <w:t xml:space="preserve">with the </w:t>
      </w:r>
      <w:r w:rsidR="00DB0AD2">
        <w:rPr>
          <w:rFonts w:cs="Arial"/>
        </w:rPr>
        <w:t xml:space="preserve">Q1-2017 </w:t>
      </w:r>
      <w:r w:rsidR="001F0782" w:rsidRPr="001F0782">
        <w:rPr>
          <w:rFonts w:cs="Arial"/>
        </w:rPr>
        <w:t>submission</w:t>
      </w:r>
      <w:r w:rsidR="0052185A">
        <w:rPr>
          <w:rFonts w:cs="Arial"/>
        </w:rPr>
        <w:t>s</w:t>
      </w:r>
      <w:r w:rsidR="001F0782" w:rsidRPr="001F0782">
        <w:rPr>
          <w:rFonts w:cs="Arial"/>
        </w:rPr>
        <w:t xml:space="preserve"> due August 11, 2017</w:t>
      </w:r>
      <w:r w:rsidR="00134A16">
        <w:rPr>
          <w:rFonts w:cs="Arial"/>
        </w:rPr>
        <w:t xml:space="preserve"> </w:t>
      </w:r>
      <w:r w:rsidR="001F0782" w:rsidRPr="001F0782">
        <w:rPr>
          <w:rFonts w:cs="Arial"/>
        </w:rPr>
        <w:t xml:space="preserve">associated </w:t>
      </w:r>
      <w:r w:rsidR="00B175EF" w:rsidRPr="001F0782">
        <w:rPr>
          <w:rFonts w:cs="Arial"/>
        </w:rPr>
        <w:t xml:space="preserve">with </w:t>
      </w:r>
      <w:r w:rsidRPr="001F0782">
        <w:rPr>
          <w:rFonts w:cs="Arial"/>
        </w:rPr>
        <w:t>RY2018 incentive payments.</w:t>
      </w:r>
    </w:p>
    <w:p w:rsidR="00017721" w:rsidRPr="004A515A" w:rsidRDefault="00017721" w:rsidP="00114FAB">
      <w:pPr>
        <w:pStyle w:val="ListParagraph"/>
        <w:spacing w:after="0" w:line="240" w:lineRule="auto"/>
        <w:rPr>
          <w:rFonts w:cs="Arial"/>
        </w:rPr>
      </w:pPr>
    </w:p>
    <w:p w:rsidR="00CA6F25" w:rsidRPr="004A515A" w:rsidRDefault="00F53ED1" w:rsidP="00CA6F25">
      <w:pPr>
        <w:autoSpaceDE w:val="0"/>
        <w:autoSpaceDN w:val="0"/>
        <w:adjustRightInd w:val="0"/>
        <w:spacing w:after="0" w:line="240" w:lineRule="auto"/>
        <w:ind w:left="270" w:hanging="270"/>
        <w:rPr>
          <w:rFonts w:cs="Arial"/>
        </w:rPr>
      </w:pPr>
      <w:r w:rsidRPr="004A515A">
        <w:rPr>
          <w:rFonts w:cs="Arial"/>
        </w:rPr>
        <w:t xml:space="preserve">2)  </w:t>
      </w:r>
      <w:r w:rsidR="00CA6F25" w:rsidRPr="004A515A">
        <w:rPr>
          <w:rFonts w:cs="Arial"/>
          <w:b/>
        </w:rPr>
        <w:t>EOHHS</w:t>
      </w:r>
      <w:r w:rsidR="00CA6F25" w:rsidRPr="004A515A">
        <w:rPr>
          <w:rFonts w:cs="Arial"/>
        </w:rPr>
        <w:t xml:space="preserve"> </w:t>
      </w:r>
      <w:r w:rsidRPr="004A515A">
        <w:rPr>
          <w:rFonts w:cs="Arial"/>
          <w:b/>
        </w:rPr>
        <w:t>Manual Versions</w:t>
      </w:r>
      <w:r w:rsidR="00CA6F25" w:rsidRPr="004A515A">
        <w:rPr>
          <w:rFonts w:cs="Arial"/>
        </w:rPr>
        <w:t xml:space="preserve">  </w:t>
      </w:r>
    </w:p>
    <w:p w:rsidR="00502D10" w:rsidRPr="001F0782" w:rsidRDefault="00502D10" w:rsidP="00502D10">
      <w:pPr>
        <w:pStyle w:val="ListParagraph"/>
        <w:numPr>
          <w:ilvl w:val="0"/>
          <w:numId w:val="20"/>
        </w:numPr>
        <w:autoSpaceDE w:val="0"/>
        <w:autoSpaceDN w:val="0"/>
        <w:adjustRightInd w:val="0"/>
        <w:spacing w:after="0" w:line="240" w:lineRule="auto"/>
        <w:rPr>
          <w:rFonts w:cs="Arial"/>
        </w:rPr>
      </w:pPr>
      <w:r w:rsidRPr="001F0782">
        <w:rPr>
          <w:rFonts w:cs="Arial"/>
        </w:rPr>
        <w:t xml:space="preserve">This </w:t>
      </w:r>
      <w:r w:rsidR="0009177D">
        <w:rPr>
          <w:rFonts w:cs="Arial"/>
        </w:rPr>
        <w:t xml:space="preserve">EOHHS </w:t>
      </w:r>
      <w:r w:rsidRPr="001F0782">
        <w:rPr>
          <w:rFonts w:cs="Arial"/>
        </w:rPr>
        <w:t xml:space="preserve">Release Note should be used as a supplement and </w:t>
      </w:r>
      <w:r w:rsidR="00B175EF" w:rsidRPr="001F0782">
        <w:rPr>
          <w:rFonts w:cs="Arial"/>
        </w:rPr>
        <w:t xml:space="preserve">are </w:t>
      </w:r>
      <w:r w:rsidRPr="001F0782">
        <w:rPr>
          <w:rFonts w:cs="Arial"/>
        </w:rPr>
        <w:t xml:space="preserve">not intended to replace the </w:t>
      </w:r>
      <w:r w:rsidR="00B175EF" w:rsidRPr="001F0782">
        <w:rPr>
          <w:rFonts w:cs="Arial"/>
        </w:rPr>
        <w:t>current</w:t>
      </w:r>
      <w:r w:rsidR="0009177D">
        <w:rPr>
          <w:rFonts w:cs="Arial"/>
        </w:rPr>
        <w:t>ly published</w:t>
      </w:r>
      <w:r w:rsidR="00B175EF" w:rsidRPr="001F0782">
        <w:rPr>
          <w:rFonts w:cs="Arial"/>
        </w:rPr>
        <w:t xml:space="preserve"> </w:t>
      </w:r>
      <w:r w:rsidRPr="001F0782">
        <w:rPr>
          <w:rFonts w:cs="Arial"/>
        </w:rPr>
        <w:t>full set of EOHHS Manual instructions that imp</w:t>
      </w:r>
      <w:r w:rsidR="0009177D">
        <w:rPr>
          <w:rFonts w:cs="Arial"/>
        </w:rPr>
        <w:t>act data reporting requirements as of Q1-2017.</w:t>
      </w:r>
    </w:p>
    <w:p w:rsidR="00FA44FB" w:rsidRDefault="00FA44FB" w:rsidP="00FA44FB">
      <w:pPr>
        <w:pStyle w:val="ListParagraph"/>
        <w:autoSpaceDE w:val="0"/>
        <w:autoSpaceDN w:val="0"/>
        <w:adjustRightInd w:val="0"/>
        <w:spacing w:after="0" w:line="240" w:lineRule="auto"/>
        <w:rPr>
          <w:rFonts w:cs="Arial"/>
        </w:rPr>
      </w:pPr>
    </w:p>
    <w:p w:rsidR="00830E56" w:rsidRPr="004A515A" w:rsidRDefault="00830E56" w:rsidP="00CA6F25">
      <w:pPr>
        <w:pStyle w:val="ListParagraph"/>
        <w:numPr>
          <w:ilvl w:val="0"/>
          <w:numId w:val="20"/>
        </w:numPr>
        <w:autoSpaceDE w:val="0"/>
        <w:autoSpaceDN w:val="0"/>
        <w:adjustRightInd w:val="0"/>
        <w:spacing w:after="0" w:line="240" w:lineRule="auto"/>
        <w:rPr>
          <w:rFonts w:cs="Arial"/>
        </w:rPr>
      </w:pPr>
      <w:r w:rsidRPr="004A515A">
        <w:rPr>
          <w:rFonts w:cs="Arial"/>
        </w:rPr>
        <w:t xml:space="preserve">Hospitals are responsible for downloading and using the appropriate versions of EOHHS Technical Specifications Manual that apply to each quarterly discharge data period being collected and submitted. Failure to adhere to appropriate versions of the EOHHS Manual will result in portal rejecting data files.   </w:t>
      </w:r>
    </w:p>
    <w:p w:rsidR="00830E56" w:rsidRPr="004A515A" w:rsidRDefault="00830E56" w:rsidP="00E83C2E">
      <w:pPr>
        <w:spacing w:after="0" w:line="240" w:lineRule="auto"/>
        <w:rPr>
          <w:rFonts w:cs="Arial"/>
        </w:rPr>
      </w:pPr>
    </w:p>
    <w:p w:rsidR="000F55B7" w:rsidRPr="004A515A" w:rsidRDefault="00D47F01" w:rsidP="00B60878">
      <w:pPr>
        <w:pStyle w:val="ListParagraph"/>
        <w:numPr>
          <w:ilvl w:val="0"/>
          <w:numId w:val="11"/>
        </w:numPr>
        <w:spacing w:after="0" w:line="240" w:lineRule="auto"/>
        <w:rPr>
          <w:rFonts w:cs="Arial"/>
          <w:b/>
          <w:sz w:val="28"/>
          <w:szCs w:val="28"/>
        </w:rPr>
      </w:pPr>
      <w:r w:rsidRPr="004A515A">
        <w:rPr>
          <w:rFonts w:cs="Arial"/>
          <w:b/>
          <w:sz w:val="28"/>
          <w:szCs w:val="28"/>
        </w:rPr>
        <w:t xml:space="preserve">Guidelines for Using </w:t>
      </w:r>
      <w:r w:rsidR="000F55B7" w:rsidRPr="004A515A">
        <w:rPr>
          <w:rFonts w:cs="Arial"/>
          <w:b/>
          <w:sz w:val="28"/>
          <w:szCs w:val="28"/>
        </w:rPr>
        <w:t xml:space="preserve">Release Notes </w:t>
      </w:r>
    </w:p>
    <w:p w:rsidR="000F55B7" w:rsidRPr="004A515A" w:rsidRDefault="000F55B7" w:rsidP="000F55B7">
      <w:pPr>
        <w:spacing w:after="0" w:line="240" w:lineRule="auto"/>
        <w:rPr>
          <w:rFonts w:cs="Arial"/>
          <w:b/>
          <w:sz w:val="28"/>
          <w:szCs w:val="28"/>
        </w:rPr>
      </w:pPr>
    </w:p>
    <w:p w:rsidR="000F55B7" w:rsidRPr="004A515A" w:rsidRDefault="000F55B7" w:rsidP="00331641">
      <w:pPr>
        <w:spacing w:after="0" w:line="240" w:lineRule="auto"/>
        <w:rPr>
          <w:rFonts w:cs="Arial"/>
        </w:rPr>
      </w:pPr>
      <w:r w:rsidRPr="004A515A">
        <w:rPr>
          <w:rFonts w:cs="Arial"/>
        </w:rPr>
        <w:t xml:space="preserve">The EOHHS Release Notes are organized to follow the </w:t>
      </w:r>
      <w:r w:rsidR="00BD4E5C" w:rsidRPr="004A515A">
        <w:rPr>
          <w:rFonts w:cs="Arial"/>
        </w:rPr>
        <w:t xml:space="preserve">current </w:t>
      </w:r>
      <w:r w:rsidRPr="004A515A">
        <w:rPr>
          <w:rFonts w:cs="Arial"/>
        </w:rPr>
        <w:t>Technical Specs Manual sections</w:t>
      </w:r>
      <w:r w:rsidR="00D47F01" w:rsidRPr="004A515A">
        <w:rPr>
          <w:rFonts w:cs="Arial"/>
        </w:rPr>
        <w:t xml:space="preserve"> and Appendix</w:t>
      </w:r>
      <w:r w:rsidRPr="004A515A">
        <w:rPr>
          <w:rFonts w:cs="Arial"/>
        </w:rPr>
        <w:t xml:space="preserve"> </w:t>
      </w:r>
      <w:r w:rsidR="005E34CB" w:rsidRPr="004A515A">
        <w:rPr>
          <w:rFonts w:cs="Arial"/>
        </w:rPr>
        <w:t xml:space="preserve">format </w:t>
      </w:r>
      <w:r w:rsidR="00D47F01" w:rsidRPr="004A515A">
        <w:rPr>
          <w:rFonts w:cs="Arial"/>
        </w:rPr>
        <w:t xml:space="preserve">as listed </w:t>
      </w:r>
      <w:r w:rsidRPr="004A515A">
        <w:rPr>
          <w:rFonts w:cs="Arial"/>
        </w:rPr>
        <w:t xml:space="preserve">in the table of contents. </w:t>
      </w:r>
      <w:r w:rsidR="00D47F01" w:rsidRPr="004A515A">
        <w:rPr>
          <w:rFonts w:cs="Arial"/>
        </w:rPr>
        <w:t xml:space="preserve">Updated information is provided </w:t>
      </w:r>
      <w:r w:rsidRPr="004A515A">
        <w:rPr>
          <w:rFonts w:cs="Arial"/>
        </w:rPr>
        <w:t>under us</w:t>
      </w:r>
      <w:r w:rsidR="00D47F01" w:rsidRPr="004A515A">
        <w:rPr>
          <w:rFonts w:cs="Arial"/>
        </w:rPr>
        <w:t xml:space="preserve">ing </w:t>
      </w:r>
      <w:r w:rsidRPr="004A515A">
        <w:rPr>
          <w:rFonts w:cs="Arial"/>
        </w:rPr>
        <w:t>the following headings:</w:t>
      </w:r>
    </w:p>
    <w:p w:rsidR="00502D10" w:rsidRPr="004A515A" w:rsidRDefault="00502D10" w:rsidP="00331641">
      <w:pPr>
        <w:spacing w:after="0" w:line="240" w:lineRule="auto"/>
        <w:rPr>
          <w:rFonts w:cs="Arial"/>
          <w:b/>
          <w:sz w:val="20"/>
          <w:szCs w:val="20"/>
        </w:rPr>
      </w:pPr>
    </w:p>
    <w:p w:rsidR="000F55B7" w:rsidRPr="004A515A" w:rsidRDefault="004A515A" w:rsidP="00B60878">
      <w:pPr>
        <w:pStyle w:val="ListParagraph"/>
        <w:numPr>
          <w:ilvl w:val="0"/>
          <w:numId w:val="6"/>
        </w:numPr>
        <w:tabs>
          <w:tab w:val="left" w:pos="270"/>
        </w:tabs>
        <w:autoSpaceDE w:val="0"/>
        <w:autoSpaceDN w:val="0"/>
        <w:adjustRightInd w:val="0"/>
        <w:spacing w:after="0" w:line="240" w:lineRule="auto"/>
        <w:rPr>
          <w:rFonts w:cs="Arial"/>
        </w:rPr>
      </w:pPr>
      <w:r w:rsidRPr="004A515A">
        <w:rPr>
          <w:rFonts w:cs="Arial"/>
          <w:b/>
          <w:bCs/>
        </w:rPr>
        <w:t xml:space="preserve">Key Impact </w:t>
      </w:r>
      <w:r w:rsidRPr="004A515A">
        <w:rPr>
          <w:rFonts w:cs="Arial"/>
        </w:rPr>
        <w:t xml:space="preserve">– identifies the EOHHS Manual section that is impacted by the change listed (i.e.: measure specifications, data tools, dictionary, etc.). </w:t>
      </w:r>
      <w:r w:rsidR="000F55B7" w:rsidRPr="004A515A">
        <w:rPr>
          <w:rFonts w:cs="Arial"/>
        </w:rPr>
        <w:t xml:space="preserve">A key </w:t>
      </w:r>
      <w:r w:rsidR="00D1666F" w:rsidRPr="004A515A">
        <w:rPr>
          <w:rFonts w:cs="Arial"/>
        </w:rPr>
        <w:t xml:space="preserve">impact </w:t>
      </w:r>
      <w:r w:rsidR="000F55B7" w:rsidRPr="004A515A">
        <w:rPr>
          <w:rFonts w:cs="Arial"/>
        </w:rPr>
        <w:t xml:space="preserve">is defined as information that </w:t>
      </w:r>
      <w:r w:rsidR="00ED1F8D" w:rsidRPr="004A515A">
        <w:rPr>
          <w:rFonts w:cs="Arial"/>
        </w:rPr>
        <w:t xml:space="preserve">will </w:t>
      </w:r>
      <w:r w:rsidR="00D1666F" w:rsidRPr="004A515A">
        <w:rPr>
          <w:rFonts w:cs="Arial"/>
        </w:rPr>
        <w:t>a</w:t>
      </w:r>
      <w:r w:rsidR="000F55B7" w:rsidRPr="004A515A">
        <w:rPr>
          <w:rFonts w:cs="Arial"/>
        </w:rPr>
        <w:t>ffect data collection and reporting requirement</w:t>
      </w:r>
      <w:r w:rsidR="00830E56" w:rsidRPr="004A515A">
        <w:rPr>
          <w:rFonts w:cs="Arial"/>
        </w:rPr>
        <w:t>s</w:t>
      </w:r>
      <w:r w:rsidR="000F55B7" w:rsidRPr="004A515A">
        <w:rPr>
          <w:rFonts w:cs="Arial"/>
        </w:rPr>
        <w:t>.</w:t>
      </w:r>
      <w:r w:rsidR="000F55B7" w:rsidRPr="004A515A">
        <w:rPr>
          <w:rFonts w:cs="Arial"/>
          <w:noProof/>
        </w:rPr>
        <w:t xml:space="preserve"> </w:t>
      </w:r>
    </w:p>
    <w:p w:rsidR="005719CB" w:rsidRPr="004A515A" w:rsidRDefault="005719CB" w:rsidP="005719CB">
      <w:pPr>
        <w:pStyle w:val="ListParagraph"/>
        <w:tabs>
          <w:tab w:val="left" w:pos="270"/>
        </w:tabs>
        <w:autoSpaceDE w:val="0"/>
        <w:autoSpaceDN w:val="0"/>
        <w:adjustRightInd w:val="0"/>
        <w:spacing w:after="0" w:line="240" w:lineRule="auto"/>
        <w:rPr>
          <w:rFonts w:cs="Arial"/>
        </w:rPr>
      </w:pPr>
    </w:p>
    <w:p w:rsidR="000F55B7" w:rsidRPr="001F0782" w:rsidRDefault="000F55B7" w:rsidP="00B60878">
      <w:pPr>
        <w:pStyle w:val="ListParagraph"/>
        <w:numPr>
          <w:ilvl w:val="0"/>
          <w:numId w:val="6"/>
        </w:numPr>
        <w:tabs>
          <w:tab w:val="left" w:pos="270"/>
        </w:tabs>
        <w:autoSpaceDE w:val="0"/>
        <w:autoSpaceDN w:val="0"/>
        <w:adjustRightInd w:val="0"/>
        <w:spacing w:after="0" w:line="240" w:lineRule="auto"/>
        <w:rPr>
          <w:rFonts w:cs="Arial"/>
        </w:rPr>
      </w:pPr>
      <w:r w:rsidRPr="004A515A">
        <w:rPr>
          <w:rFonts w:cs="Arial"/>
          <w:b/>
          <w:bCs/>
        </w:rPr>
        <w:t xml:space="preserve">Description of Change </w:t>
      </w:r>
      <w:r w:rsidRPr="004A515A">
        <w:rPr>
          <w:rFonts w:cs="Arial"/>
        </w:rPr>
        <w:t xml:space="preserve">– identifies the </w:t>
      </w:r>
      <w:r w:rsidR="00ED1F8D" w:rsidRPr="004A515A">
        <w:rPr>
          <w:rFonts w:cs="Arial"/>
        </w:rPr>
        <w:t xml:space="preserve">specific </w:t>
      </w:r>
      <w:r w:rsidR="008E7D5F" w:rsidRPr="004A515A">
        <w:rPr>
          <w:rFonts w:cs="Arial"/>
        </w:rPr>
        <w:t xml:space="preserve">content within the manual section </w:t>
      </w:r>
      <w:r w:rsidRPr="004A515A">
        <w:rPr>
          <w:rFonts w:cs="Arial"/>
        </w:rPr>
        <w:t xml:space="preserve">where the change was made. (i.e.: numerator/denominator statement, </w:t>
      </w:r>
      <w:r w:rsidR="00ED1F8D" w:rsidRPr="004A515A">
        <w:rPr>
          <w:rFonts w:cs="Arial"/>
        </w:rPr>
        <w:t xml:space="preserve">flowcharts, </w:t>
      </w:r>
      <w:r w:rsidRPr="004A515A">
        <w:rPr>
          <w:rFonts w:cs="Arial"/>
        </w:rPr>
        <w:t>data format, allowable values, etc.).</w:t>
      </w:r>
      <w:r w:rsidRPr="004A515A">
        <w:rPr>
          <w:rFonts w:cs="Arial"/>
          <w:color w:val="FF0000"/>
          <w:highlight w:val="yellow"/>
        </w:rPr>
        <w:t xml:space="preserve">   </w:t>
      </w:r>
    </w:p>
    <w:p w:rsidR="001F0782" w:rsidRPr="001F0782" w:rsidRDefault="001F0782" w:rsidP="001F0782">
      <w:pPr>
        <w:pStyle w:val="ListParagraph"/>
        <w:rPr>
          <w:rFonts w:cs="Arial"/>
        </w:rPr>
      </w:pPr>
    </w:p>
    <w:p w:rsidR="001F0782" w:rsidRPr="004A515A" w:rsidRDefault="001F0782" w:rsidP="001F0782">
      <w:pPr>
        <w:pStyle w:val="ListParagraph"/>
        <w:numPr>
          <w:ilvl w:val="0"/>
          <w:numId w:val="6"/>
        </w:numPr>
        <w:tabs>
          <w:tab w:val="left" w:pos="270"/>
        </w:tabs>
        <w:autoSpaceDE w:val="0"/>
        <w:autoSpaceDN w:val="0"/>
        <w:adjustRightInd w:val="0"/>
        <w:spacing w:after="0" w:line="240" w:lineRule="auto"/>
        <w:rPr>
          <w:rFonts w:cs="Arial"/>
        </w:rPr>
      </w:pPr>
      <w:r w:rsidRPr="004A515A">
        <w:rPr>
          <w:rFonts w:cs="Arial"/>
          <w:b/>
          <w:bCs/>
        </w:rPr>
        <w:t xml:space="preserve">Rationale </w:t>
      </w:r>
      <w:r w:rsidRPr="004A515A">
        <w:rPr>
          <w:rFonts w:cs="Arial"/>
        </w:rPr>
        <w:t>–</w:t>
      </w:r>
      <w:r w:rsidRPr="004A515A">
        <w:rPr>
          <w:rFonts w:cs="Arial"/>
          <w:b/>
          <w:bCs/>
        </w:rPr>
        <w:t xml:space="preserve"> </w:t>
      </w:r>
      <w:r w:rsidRPr="004A515A">
        <w:rPr>
          <w:rFonts w:cs="Arial"/>
        </w:rPr>
        <w:t>a brief statement on the reason why the change is being made.</w:t>
      </w:r>
    </w:p>
    <w:p w:rsidR="00830E56" w:rsidRPr="004A515A" w:rsidRDefault="00830E56" w:rsidP="000F55B7">
      <w:pPr>
        <w:tabs>
          <w:tab w:val="left" w:pos="270"/>
        </w:tabs>
        <w:autoSpaceDE w:val="0"/>
        <w:autoSpaceDN w:val="0"/>
        <w:adjustRightInd w:val="0"/>
        <w:spacing w:after="0" w:line="240" w:lineRule="auto"/>
        <w:rPr>
          <w:rFonts w:cs="Arial"/>
        </w:rPr>
      </w:pPr>
    </w:p>
    <w:p w:rsidR="000F1139" w:rsidRPr="004A515A" w:rsidRDefault="000F55B7" w:rsidP="005719CB">
      <w:pPr>
        <w:tabs>
          <w:tab w:val="left" w:pos="270"/>
        </w:tabs>
        <w:autoSpaceDE w:val="0"/>
        <w:autoSpaceDN w:val="0"/>
        <w:adjustRightInd w:val="0"/>
        <w:spacing w:after="0" w:line="240" w:lineRule="auto"/>
        <w:rPr>
          <w:rFonts w:cs="Arial"/>
        </w:rPr>
        <w:sectPr w:rsidR="000F1139" w:rsidRPr="004A515A" w:rsidSect="005719CB">
          <w:pgSz w:w="12240" w:h="15840"/>
          <w:pgMar w:top="547" w:right="1008" w:bottom="1008" w:left="1008" w:header="360" w:footer="274" w:gutter="0"/>
          <w:cols w:space="720"/>
          <w:docGrid w:linePitch="360"/>
        </w:sectPr>
      </w:pPr>
      <w:r w:rsidRPr="004A515A">
        <w:rPr>
          <w:rFonts w:cs="Arial"/>
        </w:rPr>
        <w:t xml:space="preserve">Please contact </w:t>
      </w:r>
      <w:r w:rsidR="00930639">
        <w:rPr>
          <w:rFonts w:cs="Arial"/>
        </w:rPr>
        <w:t xml:space="preserve">EOHHS </w:t>
      </w:r>
      <w:r w:rsidR="00134A16">
        <w:rPr>
          <w:rFonts w:cs="Arial"/>
        </w:rPr>
        <w:t xml:space="preserve">MassHealth </w:t>
      </w:r>
      <w:r w:rsidR="00930639">
        <w:rPr>
          <w:rFonts w:cs="Arial"/>
        </w:rPr>
        <w:t xml:space="preserve">at </w:t>
      </w:r>
      <w:hyperlink r:id="rId17" w:history="1">
        <w:r w:rsidR="00930639" w:rsidRPr="00E26627">
          <w:rPr>
            <w:rStyle w:val="Hyperlink"/>
            <w:rFonts w:cs="Arial"/>
          </w:rPr>
          <w:t>masshealthhospitalquality@state.ma.us</w:t>
        </w:r>
      </w:hyperlink>
      <w:r w:rsidR="00930639">
        <w:rPr>
          <w:rFonts w:cs="Arial"/>
        </w:rPr>
        <w:t xml:space="preserve"> </w:t>
      </w:r>
      <w:r w:rsidRPr="004A515A">
        <w:rPr>
          <w:rFonts w:cs="Arial"/>
        </w:rPr>
        <w:t>if yo</w:t>
      </w:r>
      <w:r w:rsidR="001F0782">
        <w:rPr>
          <w:rFonts w:cs="Arial"/>
        </w:rPr>
        <w:t xml:space="preserve">u have any questions about </w:t>
      </w:r>
      <w:r w:rsidR="00134A16">
        <w:rPr>
          <w:rFonts w:cs="Arial"/>
        </w:rPr>
        <w:t>Acute Hospital RFA contract reporting requirement updates</w:t>
      </w:r>
      <w:r w:rsidR="001F0782">
        <w:rPr>
          <w:rFonts w:cs="Arial"/>
        </w:rPr>
        <w:t xml:space="preserve">. </w:t>
      </w:r>
    </w:p>
    <w:p w:rsidR="00225A3F" w:rsidRPr="00134A16" w:rsidRDefault="00F11588" w:rsidP="00F11588">
      <w:pPr>
        <w:pStyle w:val="Title"/>
        <w:rPr>
          <w:b/>
          <w:sz w:val="40"/>
          <w:szCs w:val="40"/>
        </w:rPr>
      </w:pPr>
      <w:r w:rsidRPr="00134A16">
        <w:rPr>
          <w:b/>
          <w:sz w:val="40"/>
          <w:szCs w:val="40"/>
        </w:rPr>
        <w:lastRenderedPageBreak/>
        <w:t xml:space="preserve">Section </w:t>
      </w:r>
      <w:r w:rsidR="0038469B" w:rsidRPr="00134A16">
        <w:rPr>
          <w:b/>
          <w:sz w:val="40"/>
          <w:szCs w:val="40"/>
        </w:rPr>
        <w:t>II</w:t>
      </w:r>
      <w:r w:rsidR="00047F33" w:rsidRPr="00134A16">
        <w:rPr>
          <w:b/>
          <w:sz w:val="40"/>
          <w:szCs w:val="40"/>
        </w:rPr>
        <w:t xml:space="preserve">. </w:t>
      </w:r>
      <w:r w:rsidR="00FD485F" w:rsidRPr="00134A16">
        <w:rPr>
          <w:b/>
          <w:sz w:val="40"/>
          <w:szCs w:val="40"/>
        </w:rPr>
        <w:t xml:space="preserve">Updates to </w:t>
      </w:r>
      <w:r w:rsidR="00470CC0" w:rsidRPr="00134A16">
        <w:rPr>
          <w:b/>
          <w:sz w:val="40"/>
          <w:szCs w:val="40"/>
        </w:rPr>
        <w:t xml:space="preserve">EOHHS </w:t>
      </w:r>
      <w:r w:rsidR="004A515A" w:rsidRPr="00134A16">
        <w:rPr>
          <w:b/>
          <w:sz w:val="40"/>
          <w:szCs w:val="40"/>
        </w:rPr>
        <w:t xml:space="preserve">Technical Specifications </w:t>
      </w:r>
      <w:r w:rsidR="00484A98" w:rsidRPr="00134A16">
        <w:rPr>
          <w:b/>
          <w:sz w:val="40"/>
          <w:szCs w:val="40"/>
        </w:rPr>
        <w:t xml:space="preserve">Manual </w:t>
      </w:r>
      <w:r w:rsidR="00FD485F" w:rsidRPr="00134A16">
        <w:rPr>
          <w:b/>
          <w:sz w:val="40"/>
          <w:szCs w:val="40"/>
        </w:rPr>
        <w:t xml:space="preserve">(v </w:t>
      </w:r>
      <w:r w:rsidR="00816EBB" w:rsidRPr="00134A16">
        <w:rPr>
          <w:b/>
          <w:sz w:val="40"/>
          <w:szCs w:val="40"/>
        </w:rPr>
        <w:t>10.0</w:t>
      </w:r>
      <w:r w:rsidR="001F0782" w:rsidRPr="00134A16">
        <w:rPr>
          <w:b/>
          <w:sz w:val="40"/>
          <w:szCs w:val="40"/>
        </w:rPr>
        <w:t>a</w:t>
      </w:r>
      <w:r w:rsidR="00FD485F" w:rsidRPr="00134A16">
        <w:rPr>
          <w:b/>
          <w:sz w:val="40"/>
          <w:szCs w:val="40"/>
        </w:rPr>
        <w:t xml:space="preserve">) </w:t>
      </w:r>
    </w:p>
    <w:p w:rsidR="00484A98" w:rsidRPr="004A515A" w:rsidRDefault="00134A16" w:rsidP="00484A98">
      <w:pPr>
        <w:autoSpaceDE w:val="0"/>
        <w:autoSpaceDN w:val="0"/>
        <w:adjustRightInd w:val="0"/>
        <w:spacing w:after="0" w:line="240" w:lineRule="auto"/>
        <w:rPr>
          <w:rFonts w:cs="Arial"/>
          <w:sz w:val="24"/>
          <w:szCs w:val="24"/>
        </w:rPr>
      </w:pPr>
      <w:r>
        <w:rPr>
          <w:rFonts w:cs="Arial"/>
          <w:sz w:val="24"/>
          <w:szCs w:val="24"/>
        </w:rPr>
        <w:t xml:space="preserve">The </w:t>
      </w:r>
      <w:r w:rsidR="00484A98" w:rsidRPr="004A515A">
        <w:rPr>
          <w:rFonts w:cs="Arial"/>
          <w:sz w:val="24"/>
          <w:szCs w:val="24"/>
        </w:rPr>
        <w:t>Release Note</w:t>
      </w:r>
      <w:r w:rsidR="00C66EF6">
        <w:rPr>
          <w:rFonts w:cs="Arial"/>
          <w:sz w:val="24"/>
          <w:szCs w:val="24"/>
        </w:rPr>
        <w:t>s</w:t>
      </w:r>
      <w:r w:rsidR="00484A98" w:rsidRPr="004A515A">
        <w:rPr>
          <w:rFonts w:cs="Arial"/>
          <w:sz w:val="24"/>
          <w:szCs w:val="24"/>
        </w:rPr>
        <w:t xml:space="preserve"> </w:t>
      </w:r>
      <w:r>
        <w:rPr>
          <w:rFonts w:cs="Arial"/>
          <w:sz w:val="24"/>
          <w:szCs w:val="24"/>
        </w:rPr>
        <w:t xml:space="preserve">are </w:t>
      </w:r>
      <w:r w:rsidR="00484A98" w:rsidRPr="004A515A">
        <w:rPr>
          <w:rFonts w:cs="Arial"/>
          <w:sz w:val="24"/>
          <w:szCs w:val="24"/>
        </w:rPr>
        <w:t>organized to follow the order of the sections in the EOHHS Manual Table of Contents</w:t>
      </w:r>
      <w:r w:rsidR="00CC1B7F" w:rsidRPr="004A515A">
        <w:rPr>
          <w:rFonts w:cs="Arial"/>
          <w:sz w:val="24"/>
          <w:szCs w:val="24"/>
        </w:rPr>
        <w:t xml:space="preserve"> that apply to important updates</w:t>
      </w:r>
      <w:r w:rsidR="000F1139" w:rsidRPr="004A515A">
        <w:rPr>
          <w:rFonts w:cs="Arial"/>
          <w:sz w:val="24"/>
          <w:szCs w:val="24"/>
        </w:rPr>
        <w:t xml:space="preserve"> described above.</w:t>
      </w:r>
      <w:r w:rsidR="00484A98" w:rsidRPr="004A515A">
        <w:rPr>
          <w:rFonts w:cs="Arial"/>
          <w:sz w:val="24"/>
          <w:szCs w:val="24"/>
        </w:rPr>
        <w:t xml:space="preserve"> </w:t>
      </w:r>
      <w:r>
        <w:rPr>
          <w:rFonts w:cs="Arial"/>
          <w:sz w:val="24"/>
          <w:szCs w:val="24"/>
        </w:rPr>
        <w:t xml:space="preserve"> </w:t>
      </w:r>
      <w:r w:rsidR="00502D10" w:rsidRPr="004A515A">
        <w:rPr>
          <w:rFonts w:cs="Arial"/>
          <w:sz w:val="24"/>
          <w:szCs w:val="24"/>
        </w:rPr>
        <w:t xml:space="preserve">This </w:t>
      </w:r>
      <w:r w:rsidR="00D237BB">
        <w:rPr>
          <w:rFonts w:cs="Arial"/>
          <w:sz w:val="24"/>
          <w:szCs w:val="24"/>
        </w:rPr>
        <w:t xml:space="preserve">section lists the key impact, </w:t>
      </w:r>
      <w:r w:rsidR="00484A98" w:rsidRPr="004A515A">
        <w:rPr>
          <w:rFonts w:cs="Arial"/>
          <w:sz w:val="24"/>
          <w:szCs w:val="24"/>
        </w:rPr>
        <w:t xml:space="preserve">description </w:t>
      </w:r>
      <w:r w:rsidR="00D237BB">
        <w:rPr>
          <w:rFonts w:cs="Arial"/>
          <w:sz w:val="24"/>
          <w:szCs w:val="24"/>
        </w:rPr>
        <w:t xml:space="preserve">and </w:t>
      </w:r>
      <w:r w:rsidR="0009177D" w:rsidRPr="004A515A">
        <w:rPr>
          <w:rFonts w:cs="Arial"/>
          <w:sz w:val="24"/>
          <w:szCs w:val="24"/>
        </w:rPr>
        <w:t>rationale for the change</w:t>
      </w:r>
      <w:r w:rsidR="00484A98" w:rsidRPr="004A515A">
        <w:rPr>
          <w:rFonts w:cs="Arial"/>
          <w:sz w:val="24"/>
          <w:szCs w:val="24"/>
        </w:rPr>
        <w:t xml:space="preserve">. </w:t>
      </w:r>
    </w:p>
    <w:p w:rsidR="00342DD9" w:rsidRPr="004A515A" w:rsidRDefault="00342DD9" w:rsidP="00F72CE9">
      <w:pPr>
        <w:tabs>
          <w:tab w:val="left" w:pos="720"/>
        </w:tabs>
        <w:autoSpaceDE w:val="0"/>
        <w:autoSpaceDN w:val="0"/>
        <w:adjustRightInd w:val="0"/>
        <w:spacing w:after="0" w:line="240" w:lineRule="auto"/>
        <w:rPr>
          <w:rFonts w:cs="Arial"/>
        </w:rPr>
      </w:pPr>
    </w:p>
    <w:tbl>
      <w:tblPr>
        <w:tblStyle w:val="TableGrid4"/>
        <w:tblW w:w="14148" w:type="dxa"/>
        <w:tblLayout w:type="fixed"/>
        <w:tblLook w:val="04A0" w:firstRow="1" w:lastRow="0" w:firstColumn="1" w:lastColumn="0" w:noHBand="0" w:noVBand="1"/>
      </w:tblPr>
      <w:tblGrid>
        <w:gridCol w:w="1975"/>
        <w:gridCol w:w="2993"/>
        <w:gridCol w:w="6030"/>
        <w:gridCol w:w="3150"/>
      </w:tblGrid>
      <w:tr w:rsidR="002C7A98" w:rsidRPr="004A515A" w:rsidTr="00F145B6">
        <w:tc>
          <w:tcPr>
            <w:tcW w:w="1975" w:type="dxa"/>
            <w:tcBorders>
              <w:bottom w:val="single" w:sz="4" w:space="0" w:color="auto"/>
            </w:tcBorders>
            <w:shd w:val="clear" w:color="auto" w:fill="1F497D" w:themeFill="text2"/>
          </w:tcPr>
          <w:p w:rsidR="002C7A98" w:rsidRPr="004A515A" w:rsidRDefault="002C7A98" w:rsidP="00945FCD">
            <w:pPr>
              <w:rPr>
                <w:rFonts w:asciiTheme="minorHAnsi" w:hAnsiTheme="minorHAnsi" w:cs="Arial"/>
                <w:b/>
                <w:color w:val="FFFFFF" w:themeColor="background1"/>
                <w:sz w:val="24"/>
                <w:szCs w:val="24"/>
              </w:rPr>
            </w:pPr>
            <w:r w:rsidRPr="004A515A">
              <w:rPr>
                <w:rFonts w:asciiTheme="minorHAnsi" w:hAnsiTheme="minorHAnsi" w:cs="Arial"/>
                <w:b/>
                <w:color w:val="FFFFFF" w:themeColor="background1"/>
                <w:sz w:val="24"/>
                <w:szCs w:val="24"/>
              </w:rPr>
              <w:t xml:space="preserve">Manual Section  </w:t>
            </w:r>
          </w:p>
        </w:tc>
        <w:tc>
          <w:tcPr>
            <w:tcW w:w="2993" w:type="dxa"/>
            <w:tcBorders>
              <w:bottom w:val="single" w:sz="4" w:space="0" w:color="auto"/>
            </w:tcBorders>
            <w:shd w:val="clear" w:color="auto" w:fill="1F497D" w:themeFill="text2"/>
          </w:tcPr>
          <w:p w:rsidR="002C7A98" w:rsidRPr="004A515A" w:rsidRDefault="002C7A98" w:rsidP="0060698D">
            <w:pPr>
              <w:rPr>
                <w:rFonts w:asciiTheme="minorHAnsi" w:hAnsiTheme="minorHAnsi" w:cs="Arial"/>
                <w:b/>
                <w:color w:val="FFFFFF" w:themeColor="background1"/>
                <w:sz w:val="24"/>
                <w:szCs w:val="24"/>
              </w:rPr>
            </w:pPr>
            <w:r w:rsidRPr="004A515A">
              <w:rPr>
                <w:rFonts w:asciiTheme="minorHAnsi" w:hAnsiTheme="minorHAnsi" w:cs="Arial"/>
                <w:b/>
                <w:color w:val="FFFFFF" w:themeColor="background1"/>
                <w:sz w:val="24"/>
                <w:szCs w:val="24"/>
              </w:rPr>
              <w:t xml:space="preserve">Key Impact  </w:t>
            </w:r>
          </w:p>
        </w:tc>
        <w:tc>
          <w:tcPr>
            <w:tcW w:w="6030" w:type="dxa"/>
            <w:tcBorders>
              <w:bottom w:val="single" w:sz="4" w:space="0" w:color="auto"/>
            </w:tcBorders>
            <w:shd w:val="clear" w:color="auto" w:fill="1F497D" w:themeFill="text2"/>
          </w:tcPr>
          <w:p w:rsidR="002C7A98" w:rsidRPr="004A515A" w:rsidRDefault="002C7A98" w:rsidP="00134A16">
            <w:pPr>
              <w:ind w:left="54"/>
              <w:rPr>
                <w:rFonts w:asciiTheme="minorHAnsi" w:hAnsiTheme="minorHAnsi" w:cs="Arial"/>
                <w:b/>
                <w:color w:val="FFFFFF" w:themeColor="background1"/>
                <w:sz w:val="24"/>
                <w:szCs w:val="24"/>
              </w:rPr>
            </w:pPr>
            <w:r w:rsidRPr="004A515A">
              <w:rPr>
                <w:rFonts w:asciiTheme="minorHAnsi" w:hAnsiTheme="minorHAnsi" w:cs="Arial"/>
                <w:b/>
                <w:color w:val="FFFFFF" w:themeColor="background1"/>
                <w:sz w:val="24"/>
                <w:szCs w:val="24"/>
              </w:rPr>
              <w:t xml:space="preserve">Description of Change </w:t>
            </w:r>
            <w:r w:rsidR="00134A16">
              <w:rPr>
                <w:rFonts w:asciiTheme="minorHAnsi" w:hAnsiTheme="minorHAnsi" w:cs="Arial"/>
                <w:b/>
                <w:color w:val="FFFFFF" w:themeColor="background1"/>
                <w:sz w:val="24"/>
                <w:szCs w:val="24"/>
              </w:rPr>
              <w:t>in v10.0a</w:t>
            </w:r>
          </w:p>
        </w:tc>
        <w:tc>
          <w:tcPr>
            <w:tcW w:w="3150" w:type="dxa"/>
            <w:tcBorders>
              <w:bottom w:val="single" w:sz="4" w:space="0" w:color="auto"/>
            </w:tcBorders>
            <w:shd w:val="clear" w:color="auto" w:fill="1F497D" w:themeFill="text2"/>
          </w:tcPr>
          <w:p w:rsidR="002C7A98" w:rsidRPr="004A515A" w:rsidRDefault="002C7A98" w:rsidP="00C72AA1">
            <w:pPr>
              <w:ind w:left="54"/>
              <w:rPr>
                <w:rFonts w:asciiTheme="minorHAnsi" w:hAnsiTheme="minorHAnsi" w:cs="Arial"/>
                <w:b/>
                <w:color w:val="FFFFFF" w:themeColor="background1"/>
                <w:sz w:val="24"/>
                <w:szCs w:val="24"/>
              </w:rPr>
            </w:pPr>
            <w:r w:rsidRPr="004A515A">
              <w:rPr>
                <w:rFonts w:asciiTheme="minorHAnsi" w:hAnsiTheme="minorHAnsi" w:cs="Arial"/>
                <w:b/>
                <w:color w:val="FFFFFF" w:themeColor="background1"/>
                <w:sz w:val="24"/>
                <w:szCs w:val="24"/>
              </w:rPr>
              <w:t>Rationale</w:t>
            </w:r>
          </w:p>
        </w:tc>
      </w:tr>
      <w:tr w:rsidR="002C7A98" w:rsidRPr="004A515A" w:rsidTr="00F145B6">
        <w:tc>
          <w:tcPr>
            <w:tcW w:w="1975" w:type="dxa"/>
            <w:tcBorders>
              <w:top w:val="single" w:sz="4" w:space="0" w:color="auto"/>
              <w:left w:val="nil"/>
              <w:bottom w:val="single" w:sz="4" w:space="0" w:color="auto"/>
            </w:tcBorders>
            <w:shd w:val="clear" w:color="auto" w:fill="auto"/>
          </w:tcPr>
          <w:p w:rsidR="002C7A98" w:rsidRPr="004A515A" w:rsidRDefault="002C7A98" w:rsidP="00945FCD">
            <w:pPr>
              <w:contextualSpacing/>
              <w:rPr>
                <w:rFonts w:asciiTheme="minorHAnsi" w:hAnsiTheme="minorHAnsi" w:cs="Arial"/>
                <w:b/>
                <w:sz w:val="22"/>
                <w:szCs w:val="22"/>
              </w:rPr>
            </w:pPr>
            <w:r w:rsidRPr="004A515A">
              <w:rPr>
                <w:rFonts w:asciiTheme="minorHAnsi" w:hAnsiTheme="minorHAnsi" w:cs="Arial"/>
                <w:b/>
                <w:sz w:val="22"/>
                <w:szCs w:val="22"/>
              </w:rPr>
              <w:t xml:space="preserve">Section 1.C.1 </w:t>
            </w:r>
          </w:p>
        </w:tc>
        <w:tc>
          <w:tcPr>
            <w:tcW w:w="2993" w:type="dxa"/>
            <w:tcBorders>
              <w:top w:val="single" w:sz="4" w:space="0" w:color="auto"/>
              <w:bottom w:val="single" w:sz="4" w:space="0" w:color="auto"/>
            </w:tcBorders>
            <w:shd w:val="clear" w:color="auto" w:fill="auto"/>
          </w:tcPr>
          <w:p w:rsidR="002C7A98" w:rsidRPr="002C7A98" w:rsidRDefault="002C7A98" w:rsidP="004A515A">
            <w:pPr>
              <w:tabs>
                <w:tab w:val="num" w:pos="1440"/>
              </w:tabs>
              <w:rPr>
                <w:rFonts w:asciiTheme="minorHAnsi" w:hAnsiTheme="minorHAnsi" w:cs="Arial"/>
                <w:sz w:val="22"/>
                <w:szCs w:val="22"/>
              </w:rPr>
            </w:pPr>
            <w:r w:rsidRPr="002C7A98">
              <w:rPr>
                <w:rFonts w:asciiTheme="minorHAnsi" w:hAnsiTheme="minorHAnsi" w:cs="Arial"/>
                <w:sz w:val="22"/>
                <w:szCs w:val="22"/>
              </w:rPr>
              <w:t xml:space="preserve">Data Submission Cycles Manual Version </w:t>
            </w:r>
          </w:p>
        </w:tc>
        <w:tc>
          <w:tcPr>
            <w:tcW w:w="6030" w:type="dxa"/>
            <w:tcBorders>
              <w:top w:val="single" w:sz="4" w:space="0" w:color="auto"/>
              <w:bottom w:val="single" w:sz="4" w:space="0" w:color="auto"/>
              <w:right w:val="nil"/>
            </w:tcBorders>
          </w:tcPr>
          <w:p w:rsidR="002C7A98" w:rsidRPr="00930639" w:rsidRDefault="002C7A98" w:rsidP="00134A16">
            <w:pPr>
              <w:rPr>
                <w:rFonts w:asciiTheme="minorHAnsi" w:hAnsiTheme="minorHAnsi" w:cs="Arial"/>
                <w:sz w:val="22"/>
                <w:szCs w:val="22"/>
              </w:rPr>
            </w:pPr>
            <w:r w:rsidRPr="00930639">
              <w:rPr>
                <w:rFonts w:asciiTheme="minorHAnsi" w:hAnsiTheme="minorHAnsi" w:cs="Arial"/>
                <w:sz w:val="22"/>
                <w:szCs w:val="22"/>
              </w:rPr>
              <w:t>Table 1.1</w:t>
            </w:r>
            <w:r w:rsidR="00F145B6">
              <w:rPr>
                <w:rFonts w:asciiTheme="minorHAnsi" w:hAnsiTheme="minorHAnsi" w:cs="Arial"/>
                <w:sz w:val="22"/>
                <w:szCs w:val="22"/>
              </w:rPr>
              <w:t xml:space="preserve"> </w:t>
            </w:r>
            <w:r w:rsidR="00134A16">
              <w:rPr>
                <w:rFonts w:asciiTheme="minorHAnsi" w:hAnsiTheme="minorHAnsi" w:cs="Arial"/>
                <w:sz w:val="22"/>
                <w:szCs w:val="22"/>
              </w:rPr>
              <w:t>f</w:t>
            </w:r>
            <w:r w:rsidRPr="00930639">
              <w:rPr>
                <w:rFonts w:asciiTheme="minorHAnsi" w:hAnsiTheme="minorHAnsi" w:cs="Arial"/>
                <w:sz w:val="22"/>
                <w:szCs w:val="22"/>
              </w:rPr>
              <w:t xml:space="preserve">or Acute RFA contract RY2018  </w:t>
            </w:r>
            <w:r w:rsidR="00134A16">
              <w:rPr>
                <w:rFonts w:asciiTheme="minorHAnsi" w:hAnsiTheme="minorHAnsi" w:cs="Arial"/>
                <w:sz w:val="22"/>
                <w:szCs w:val="22"/>
              </w:rPr>
              <w:t xml:space="preserve">header, </w:t>
            </w:r>
            <w:r w:rsidRPr="00930639">
              <w:rPr>
                <w:rFonts w:asciiTheme="minorHAnsi" w:hAnsiTheme="minorHAnsi" w:cs="Arial"/>
                <w:sz w:val="22"/>
                <w:szCs w:val="22"/>
              </w:rPr>
              <w:t xml:space="preserve">Q1-2017 </w:t>
            </w:r>
            <w:r w:rsidR="00134A16">
              <w:rPr>
                <w:rFonts w:asciiTheme="minorHAnsi" w:hAnsiTheme="minorHAnsi" w:cs="Arial"/>
                <w:sz w:val="22"/>
                <w:szCs w:val="22"/>
              </w:rPr>
              <w:t xml:space="preserve">data </w:t>
            </w:r>
            <w:r w:rsidRPr="00930639">
              <w:rPr>
                <w:rFonts w:asciiTheme="minorHAnsi" w:hAnsiTheme="minorHAnsi" w:cs="Arial"/>
                <w:sz w:val="22"/>
                <w:szCs w:val="22"/>
              </w:rPr>
              <w:t>reporting (01/01/17 – 03/31/2017)</w:t>
            </w:r>
            <w:r w:rsidR="00F145B6">
              <w:rPr>
                <w:rFonts w:asciiTheme="minorHAnsi" w:hAnsiTheme="minorHAnsi" w:cs="Arial"/>
                <w:sz w:val="22"/>
                <w:szCs w:val="22"/>
              </w:rPr>
              <w:t xml:space="preserve"> </w:t>
            </w:r>
            <w:r w:rsidRPr="00930639">
              <w:rPr>
                <w:rFonts w:asciiTheme="minorHAnsi" w:hAnsiTheme="minorHAnsi" w:cs="Arial"/>
                <w:sz w:val="22"/>
                <w:szCs w:val="22"/>
              </w:rPr>
              <w:t>use v.1</w:t>
            </w:r>
            <w:r w:rsidRPr="00930639">
              <w:rPr>
                <w:rFonts w:asciiTheme="minorHAnsi" w:hAnsiTheme="minorHAnsi" w:cs="Arial"/>
                <w:bCs/>
                <w:sz w:val="22"/>
                <w:szCs w:val="22"/>
              </w:rPr>
              <w:t>0.0 and EOHHS Release Notes v10.0a</w:t>
            </w:r>
          </w:p>
        </w:tc>
        <w:tc>
          <w:tcPr>
            <w:tcW w:w="3150" w:type="dxa"/>
            <w:tcBorders>
              <w:top w:val="single" w:sz="4" w:space="0" w:color="auto"/>
              <w:bottom w:val="single" w:sz="4" w:space="0" w:color="auto"/>
              <w:right w:val="nil"/>
            </w:tcBorders>
          </w:tcPr>
          <w:p w:rsidR="002C7A98" w:rsidRPr="00930639" w:rsidRDefault="00F145B6" w:rsidP="00C72AA1">
            <w:pPr>
              <w:rPr>
                <w:rFonts w:asciiTheme="minorHAnsi" w:hAnsiTheme="minorHAnsi" w:cs="Arial"/>
                <w:sz w:val="22"/>
                <w:szCs w:val="22"/>
              </w:rPr>
            </w:pPr>
            <w:r>
              <w:rPr>
                <w:rFonts w:asciiTheme="minorHAnsi" w:hAnsiTheme="minorHAnsi" w:cs="Arial"/>
                <w:sz w:val="22"/>
                <w:szCs w:val="22"/>
              </w:rPr>
              <w:t xml:space="preserve">Clarify  </w:t>
            </w:r>
            <w:r w:rsidR="002C7A98" w:rsidRPr="00930639">
              <w:rPr>
                <w:rFonts w:asciiTheme="minorHAnsi" w:hAnsiTheme="minorHAnsi" w:cs="Arial"/>
                <w:sz w:val="22"/>
                <w:szCs w:val="22"/>
              </w:rPr>
              <w:t>manual version</w:t>
            </w:r>
            <w:r>
              <w:rPr>
                <w:rFonts w:asciiTheme="minorHAnsi" w:hAnsiTheme="minorHAnsi" w:cs="Arial"/>
                <w:sz w:val="22"/>
                <w:szCs w:val="22"/>
              </w:rPr>
              <w:t>s</w:t>
            </w:r>
          </w:p>
        </w:tc>
      </w:tr>
      <w:tr w:rsidR="002C7A98" w:rsidRPr="004A515A" w:rsidTr="00F145B6">
        <w:tc>
          <w:tcPr>
            <w:tcW w:w="1975" w:type="dxa"/>
            <w:tcBorders>
              <w:top w:val="single" w:sz="4" w:space="0" w:color="auto"/>
              <w:left w:val="nil"/>
              <w:bottom w:val="single" w:sz="4" w:space="0" w:color="auto"/>
            </w:tcBorders>
            <w:shd w:val="clear" w:color="auto" w:fill="auto"/>
          </w:tcPr>
          <w:p w:rsidR="002C7A98" w:rsidRPr="004A515A" w:rsidRDefault="002C7A98" w:rsidP="00945FCD">
            <w:pPr>
              <w:contextualSpacing/>
              <w:rPr>
                <w:rFonts w:asciiTheme="minorHAnsi" w:hAnsiTheme="minorHAnsi" w:cs="Arial"/>
                <w:b/>
                <w:sz w:val="22"/>
                <w:szCs w:val="22"/>
              </w:rPr>
            </w:pPr>
            <w:r w:rsidRPr="004A515A">
              <w:rPr>
                <w:rFonts w:asciiTheme="minorHAnsi" w:hAnsiTheme="minorHAnsi" w:cs="Arial"/>
                <w:b/>
                <w:sz w:val="22"/>
                <w:szCs w:val="22"/>
              </w:rPr>
              <w:t xml:space="preserve">Section 2.B.1 </w:t>
            </w:r>
          </w:p>
        </w:tc>
        <w:tc>
          <w:tcPr>
            <w:tcW w:w="2993" w:type="dxa"/>
            <w:tcBorders>
              <w:top w:val="single" w:sz="4" w:space="0" w:color="auto"/>
              <w:bottom w:val="single" w:sz="4" w:space="0" w:color="auto"/>
            </w:tcBorders>
            <w:shd w:val="clear" w:color="auto" w:fill="auto"/>
          </w:tcPr>
          <w:p w:rsidR="002C7A98" w:rsidRPr="002C7A98" w:rsidRDefault="002C7A98" w:rsidP="00945FCD">
            <w:pPr>
              <w:tabs>
                <w:tab w:val="num" w:pos="1440"/>
              </w:tabs>
              <w:rPr>
                <w:rFonts w:asciiTheme="minorHAnsi" w:hAnsiTheme="minorHAnsi" w:cs="Arial"/>
                <w:sz w:val="22"/>
                <w:szCs w:val="22"/>
              </w:rPr>
            </w:pPr>
            <w:r w:rsidRPr="002C7A98">
              <w:rPr>
                <w:rFonts w:asciiTheme="minorHAnsi" w:hAnsiTheme="minorHAnsi" w:cs="Arial"/>
                <w:sz w:val="22"/>
                <w:szCs w:val="22"/>
              </w:rPr>
              <w:t xml:space="preserve">Data Collection  technical manual reference  </w:t>
            </w:r>
          </w:p>
        </w:tc>
        <w:tc>
          <w:tcPr>
            <w:tcW w:w="6030" w:type="dxa"/>
            <w:tcBorders>
              <w:top w:val="single" w:sz="4" w:space="0" w:color="auto"/>
              <w:bottom w:val="single" w:sz="4" w:space="0" w:color="auto"/>
              <w:right w:val="nil"/>
            </w:tcBorders>
          </w:tcPr>
          <w:p w:rsidR="002C7A98" w:rsidRPr="00930639" w:rsidRDefault="00F145B6" w:rsidP="00134A16">
            <w:pPr>
              <w:tabs>
                <w:tab w:val="num" w:pos="1440"/>
              </w:tabs>
              <w:rPr>
                <w:rFonts w:asciiTheme="minorHAnsi" w:hAnsiTheme="minorHAnsi" w:cs="Arial"/>
                <w:sz w:val="22"/>
                <w:szCs w:val="22"/>
              </w:rPr>
            </w:pPr>
            <w:r>
              <w:rPr>
                <w:rFonts w:asciiTheme="minorHAnsi" w:hAnsiTheme="minorHAnsi" w:cs="Arial"/>
                <w:sz w:val="22"/>
                <w:szCs w:val="22"/>
              </w:rPr>
              <w:t xml:space="preserve">Use v10.0a </w:t>
            </w:r>
            <w:r w:rsidR="002C7A98" w:rsidRPr="00930639">
              <w:rPr>
                <w:rFonts w:asciiTheme="minorHAnsi" w:hAnsiTheme="minorHAnsi" w:cs="Arial"/>
                <w:sz w:val="22"/>
                <w:szCs w:val="22"/>
              </w:rPr>
              <w:t xml:space="preserve">for MAT-3 as of Q1-2017  </w:t>
            </w:r>
          </w:p>
        </w:tc>
        <w:tc>
          <w:tcPr>
            <w:tcW w:w="3150" w:type="dxa"/>
            <w:tcBorders>
              <w:top w:val="single" w:sz="4" w:space="0" w:color="auto"/>
              <w:bottom w:val="single" w:sz="4" w:space="0" w:color="auto"/>
              <w:right w:val="nil"/>
            </w:tcBorders>
          </w:tcPr>
          <w:p w:rsidR="002C7A98" w:rsidRPr="00930639" w:rsidRDefault="002C7A98" w:rsidP="00134A16">
            <w:pPr>
              <w:tabs>
                <w:tab w:val="num" w:pos="1440"/>
              </w:tabs>
              <w:ind w:left="54"/>
              <w:rPr>
                <w:rFonts w:asciiTheme="minorHAnsi" w:hAnsiTheme="minorHAnsi" w:cs="Arial"/>
                <w:sz w:val="22"/>
                <w:szCs w:val="22"/>
              </w:rPr>
            </w:pPr>
            <w:r w:rsidRPr="00930639">
              <w:rPr>
                <w:rFonts w:asciiTheme="minorHAnsi" w:hAnsiTheme="minorHAnsi" w:cs="Arial"/>
                <w:sz w:val="22"/>
                <w:szCs w:val="22"/>
              </w:rPr>
              <w:t xml:space="preserve">Clarify </w:t>
            </w:r>
            <w:r w:rsidR="00930639">
              <w:rPr>
                <w:rFonts w:asciiTheme="minorHAnsi" w:hAnsiTheme="minorHAnsi" w:cs="Arial"/>
                <w:sz w:val="22"/>
                <w:szCs w:val="22"/>
              </w:rPr>
              <w:t xml:space="preserve"> </w:t>
            </w:r>
            <w:r w:rsidR="00134A16">
              <w:rPr>
                <w:rFonts w:asciiTheme="minorHAnsi" w:hAnsiTheme="minorHAnsi" w:cs="Arial"/>
                <w:sz w:val="22"/>
                <w:szCs w:val="22"/>
              </w:rPr>
              <w:t xml:space="preserve">manual </w:t>
            </w:r>
            <w:r w:rsidR="00930639">
              <w:rPr>
                <w:rFonts w:asciiTheme="minorHAnsi" w:hAnsiTheme="minorHAnsi" w:cs="Arial"/>
                <w:sz w:val="22"/>
                <w:szCs w:val="22"/>
              </w:rPr>
              <w:t>version</w:t>
            </w:r>
            <w:r w:rsidR="00134A16">
              <w:rPr>
                <w:rFonts w:asciiTheme="minorHAnsi" w:hAnsiTheme="minorHAnsi" w:cs="Arial"/>
                <w:sz w:val="22"/>
                <w:szCs w:val="22"/>
              </w:rPr>
              <w:t>s</w:t>
            </w:r>
          </w:p>
        </w:tc>
      </w:tr>
      <w:tr w:rsidR="002C7A98" w:rsidRPr="004A515A" w:rsidTr="00F145B6">
        <w:trPr>
          <w:trHeight w:val="224"/>
        </w:trPr>
        <w:tc>
          <w:tcPr>
            <w:tcW w:w="1975" w:type="dxa"/>
            <w:tcBorders>
              <w:top w:val="single" w:sz="4" w:space="0" w:color="auto"/>
              <w:left w:val="nil"/>
              <w:bottom w:val="single" w:sz="4" w:space="0" w:color="auto"/>
              <w:right w:val="single" w:sz="4" w:space="0" w:color="auto"/>
            </w:tcBorders>
            <w:shd w:val="clear" w:color="auto" w:fill="auto"/>
          </w:tcPr>
          <w:p w:rsidR="002C7A98" w:rsidRPr="004A515A" w:rsidRDefault="002C7A98" w:rsidP="00945FCD">
            <w:pPr>
              <w:contextualSpacing/>
              <w:rPr>
                <w:rFonts w:asciiTheme="minorHAnsi" w:hAnsiTheme="minorHAnsi" w:cs="Arial"/>
                <w:b/>
                <w:sz w:val="22"/>
                <w:szCs w:val="22"/>
              </w:rPr>
            </w:pPr>
            <w:r w:rsidRPr="004A515A">
              <w:rPr>
                <w:rFonts w:asciiTheme="minorHAnsi" w:hAnsiTheme="minorHAnsi" w:cs="Arial"/>
                <w:b/>
                <w:sz w:val="22"/>
                <w:szCs w:val="22"/>
              </w:rPr>
              <w:t xml:space="preserve">Section 3.C </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2C7A98" w:rsidRPr="002C7A98" w:rsidRDefault="002C7A98" w:rsidP="00D82DFD">
            <w:pPr>
              <w:rPr>
                <w:rFonts w:asciiTheme="minorHAnsi" w:hAnsiTheme="minorHAnsi" w:cs="Arial"/>
                <w:sz w:val="22"/>
                <w:szCs w:val="22"/>
              </w:rPr>
            </w:pPr>
            <w:r w:rsidRPr="002C7A98">
              <w:rPr>
                <w:rFonts w:asciiTheme="minorHAnsi" w:hAnsiTheme="minorHAnsi" w:cs="Arial"/>
                <w:sz w:val="22"/>
                <w:szCs w:val="22"/>
              </w:rPr>
              <w:t xml:space="preserve">Elective delivery measure specifications </w:t>
            </w:r>
          </w:p>
        </w:tc>
        <w:tc>
          <w:tcPr>
            <w:tcW w:w="6030" w:type="dxa"/>
            <w:tcBorders>
              <w:top w:val="single" w:sz="4" w:space="0" w:color="auto"/>
              <w:left w:val="single" w:sz="4" w:space="0" w:color="auto"/>
              <w:bottom w:val="single" w:sz="4" w:space="0" w:color="auto"/>
              <w:right w:val="nil"/>
            </w:tcBorders>
          </w:tcPr>
          <w:p w:rsidR="002C7A98" w:rsidRPr="00930639" w:rsidRDefault="002C7A98" w:rsidP="00C66EF6">
            <w:pPr>
              <w:rPr>
                <w:rFonts w:asciiTheme="minorHAnsi" w:hAnsiTheme="minorHAnsi" w:cs="Arial"/>
                <w:sz w:val="22"/>
                <w:szCs w:val="22"/>
              </w:rPr>
            </w:pPr>
            <w:r w:rsidRPr="00930639">
              <w:rPr>
                <w:rFonts w:asciiTheme="minorHAnsi" w:hAnsiTheme="minorHAnsi" w:cs="Arial"/>
                <w:sz w:val="22"/>
                <w:szCs w:val="22"/>
              </w:rPr>
              <w:t xml:space="preserve">Measure description and flowcharts are not applicable as of </w:t>
            </w:r>
            <w:r w:rsidR="00930639">
              <w:rPr>
                <w:rFonts w:asciiTheme="minorHAnsi" w:hAnsiTheme="minorHAnsi" w:cs="Arial"/>
                <w:sz w:val="22"/>
                <w:szCs w:val="22"/>
              </w:rPr>
              <w:t xml:space="preserve">    </w:t>
            </w:r>
            <w:r w:rsidRPr="00930639">
              <w:rPr>
                <w:rFonts w:asciiTheme="minorHAnsi" w:hAnsiTheme="minorHAnsi" w:cs="Arial"/>
                <w:sz w:val="22"/>
                <w:szCs w:val="22"/>
              </w:rPr>
              <w:t>Q1-2017 reporting</w:t>
            </w:r>
            <w:r w:rsidR="00F145B6">
              <w:rPr>
                <w:rFonts w:asciiTheme="minorHAnsi" w:hAnsiTheme="minorHAnsi" w:cs="Arial"/>
                <w:sz w:val="22"/>
                <w:szCs w:val="22"/>
              </w:rPr>
              <w:t>.</w:t>
            </w:r>
          </w:p>
        </w:tc>
        <w:tc>
          <w:tcPr>
            <w:tcW w:w="3150" w:type="dxa"/>
            <w:tcBorders>
              <w:top w:val="single" w:sz="4" w:space="0" w:color="auto"/>
              <w:left w:val="single" w:sz="4" w:space="0" w:color="auto"/>
              <w:bottom w:val="single" w:sz="4" w:space="0" w:color="auto"/>
              <w:right w:val="nil"/>
            </w:tcBorders>
          </w:tcPr>
          <w:p w:rsidR="002C7A98" w:rsidRPr="004A515A" w:rsidRDefault="002C7A98" w:rsidP="00134A16">
            <w:pPr>
              <w:ind w:left="54"/>
              <w:rPr>
                <w:rFonts w:asciiTheme="minorHAnsi" w:hAnsiTheme="minorHAnsi" w:cs="Arial"/>
                <w:sz w:val="22"/>
                <w:szCs w:val="22"/>
              </w:rPr>
            </w:pPr>
            <w:r>
              <w:rPr>
                <w:rFonts w:asciiTheme="minorHAnsi" w:hAnsiTheme="minorHAnsi" w:cs="Arial"/>
                <w:sz w:val="22"/>
                <w:szCs w:val="22"/>
              </w:rPr>
              <w:t xml:space="preserve">Discontinue </w:t>
            </w:r>
            <w:r w:rsidRPr="004A515A">
              <w:rPr>
                <w:rFonts w:asciiTheme="minorHAnsi" w:hAnsiTheme="minorHAnsi" w:cs="Arial"/>
                <w:sz w:val="22"/>
                <w:szCs w:val="22"/>
              </w:rPr>
              <w:t>MAT-3</w:t>
            </w:r>
            <w:r w:rsidR="00134A16">
              <w:rPr>
                <w:rFonts w:asciiTheme="minorHAnsi" w:hAnsiTheme="minorHAnsi" w:cs="Arial"/>
                <w:sz w:val="22"/>
                <w:szCs w:val="22"/>
              </w:rPr>
              <w:t xml:space="preserve"> collection </w:t>
            </w:r>
          </w:p>
        </w:tc>
      </w:tr>
      <w:tr w:rsidR="002C7A98" w:rsidRPr="004A515A" w:rsidTr="00F145B6">
        <w:tc>
          <w:tcPr>
            <w:tcW w:w="1975" w:type="dxa"/>
            <w:tcBorders>
              <w:top w:val="single" w:sz="4" w:space="0" w:color="auto"/>
              <w:left w:val="nil"/>
              <w:bottom w:val="nil"/>
            </w:tcBorders>
            <w:shd w:val="clear" w:color="auto" w:fill="auto"/>
          </w:tcPr>
          <w:p w:rsidR="002C7A98" w:rsidRPr="004A515A" w:rsidRDefault="002C7A98" w:rsidP="00945FCD">
            <w:pPr>
              <w:contextualSpacing/>
              <w:rPr>
                <w:rFonts w:asciiTheme="minorHAnsi" w:hAnsiTheme="minorHAnsi" w:cs="Arial"/>
                <w:b/>
                <w:sz w:val="22"/>
                <w:szCs w:val="22"/>
              </w:rPr>
            </w:pPr>
            <w:r w:rsidRPr="004A515A">
              <w:rPr>
                <w:rFonts w:asciiTheme="minorHAnsi" w:hAnsiTheme="minorHAnsi" w:cs="Arial"/>
                <w:b/>
                <w:sz w:val="22"/>
                <w:szCs w:val="22"/>
              </w:rPr>
              <w:t xml:space="preserve">Section 5.B.2 </w:t>
            </w:r>
          </w:p>
        </w:tc>
        <w:tc>
          <w:tcPr>
            <w:tcW w:w="2993" w:type="dxa"/>
            <w:tcBorders>
              <w:top w:val="single" w:sz="4" w:space="0" w:color="auto"/>
              <w:bottom w:val="nil"/>
            </w:tcBorders>
            <w:shd w:val="clear" w:color="auto" w:fill="auto"/>
          </w:tcPr>
          <w:p w:rsidR="002C7A98" w:rsidRPr="004A515A" w:rsidRDefault="002C7A98" w:rsidP="00160550">
            <w:pPr>
              <w:rPr>
                <w:rFonts w:asciiTheme="minorHAnsi" w:hAnsiTheme="minorHAnsi" w:cs="Arial"/>
                <w:sz w:val="22"/>
                <w:szCs w:val="22"/>
              </w:rPr>
            </w:pPr>
            <w:r w:rsidRPr="004A515A">
              <w:rPr>
                <w:rFonts w:asciiTheme="minorHAnsi" w:hAnsiTheme="minorHAnsi" w:cs="Arial"/>
                <w:sz w:val="22"/>
                <w:szCs w:val="22"/>
              </w:rPr>
              <w:t>XML Schema Versions</w:t>
            </w:r>
          </w:p>
        </w:tc>
        <w:tc>
          <w:tcPr>
            <w:tcW w:w="6030" w:type="dxa"/>
            <w:tcBorders>
              <w:top w:val="single" w:sz="4" w:space="0" w:color="auto"/>
              <w:bottom w:val="nil"/>
              <w:right w:val="nil"/>
            </w:tcBorders>
          </w:tcPr>
          <w:p w:rsidR="002C7A98" w:rsidRPr="00930639" w:rsidRDefault="002C7A98" w:rsidP="00134A16">
            <w:pPr>
              <w:rPr>
                <w:rFonts w:asciiTheme="minorHAnsi" w:hAnsiTheme="minorHAnsi" w:cs="Arial"/>
                <w:sz w:val="22"/>
                <w:szCs w:val="22"/>
              </w:rPr>
            </w:pPr>
            <w:r w:rsidRPr="00930639">
              <w:rPr>
                <w:rFonts w:asciiTheme="minorHAnsi" w:hAnsiTheme="minorHAnsi" w:cs="Arial"/>
                <w:sz w:val="22"/>
                <w:szCs w:val="22"/>
              </w:rPr>
              <w:t xml:space="preserve">Table 5.1 </w:t>
            </w:r>
            <w:r w:rsidR="00F01DD1">
              <w:rPr>
                <w:rFonts w:asciiTheme="minorHAnsi" w:hAnsiTheme="minorHAnsi" w:cs="Arial"/>
                <w:sz w:val="22"/>
                <w:szCs w:val="22"/>
              </w:rPr>
              <w:t xml:space="preserve">Continue use of </w:t>
            </w:r>
            <w:r w:rsidRPr="00930639">
              <w:rPr>
                <w:rFonts w:asciiTheme="minorHAnsi" w:hAnsiTheme="minorHAnsi" w:cs="Arial"/>
                <w:sz w:val="22"/>
                <w:szCs w:val="22"/>
              </w:rPr>
              <w:t>XML schema v</w:t>
            </w:r>
            <w:r w:rsidR="00F01DD1">
              <w:rPr>
                <w:rFonts w:asciiTheme="minorHAnsi" w:hAnsiTheme="minorHAnsi" w:cs="Arial"/>
                <w:sz w:val="22"/>
                <w:szCs w:val="22"/>
              </w:rPr>
              <w:t xml:space="preserve">ersion </w:t>
            </w:r>
            <w:r w:rsidRPr="00930639">
              <w:rPr>
                <w:rFonts w:asciiTheme="minorHAnsi" w:hAnsiTheme="minorHAnsi" w:cs="Arial"/>
                <w:sz w:val="22"/>
                <w:szCs w:val="22"/>
              </w:rPr>
              <w:t xml:space="preserve">10.0 </w:t>
            </w:r>
          </w:p>
        </w:tc>
        <w:tc>
          <w:tcPr>
            <w:tcW w:w="3150" w:type="dxa"/>
            <w:tcBorders>
              <w:top w:val="single" w:sz="4" w:space="0" w:color="auto"/>
              <w:bottom w:val="nil"/>
              <w:right w:val="nil"/>
            </w:tcBorders>
          </w:tcPr>
          <w:p w:rsidR="002C7A98" w:rsidRPr="004A515A" w:rsidRDefault="002C7A98" w:rsidP="00C72AA1">
            <w:pPr>
              <w:ind w:left="54"/>
              <w:rPr>
                <w:rFonts w:asciiTheme="minorHAnsi" w:hAnsiTheme="minorHAnsi" w:cs="Arial"/>
                <w:sz w:val="22"/>
                <w:szCs w:val="22"/>
              </w:rPr>
            </w:pPr>
            <w:r w:rsidRPr="004A515A">
              <w:rPr>
                <w:rFonts w:asciiTheme="minorHAnsi" w:hAnsiTheme="minorHAnsi" w:cs="Arial"/>
                <w:sz w:val="22"/>
                <w:szCs w:val="22"/>
              </w:rPr>
              <w:t xml:space="preserve">Clarify </w:t>
            </w:r>
            <w:r>
              <w:rPr>
                <w:rFonts w:asciiTheme="minorHAnsi" w:hAnsiTheme="minorHAnsi" w:cs="Arial"/>
                <w:sz w:val="22"/>
                <w:szCs w:val="22"/>
              </w:rPr>
              <w:t xml:space="preserve">XML </w:t>
            </w:r>
            <w:r w:rsidRPr="004A515A">
              <w:rPr>
                <w:rFonts w:asciiTheme="minorHAnsi" w:hAnsiTheme="minorHAnsi" w:cs="Arial"/>
                <w:sz w:val="22"/>
                <w:szCs w:val="22"/>
              </w:rPr>
              <w:t>version</w:t>
            </w:r>
            <w:r w:rsidR="00134A16">
              <w:rPr>
                <w:rFonts w:asciiTheme="minorHAnsi" w:hAnsiTheme="minorHAnsi" w:cs="Arial"/>
                <w:sz w:val="22"/>
                <w:szCs w:val="22"/>
              </w:rPr>
              <w:t xml:space="preserve"> that apply</w:t>
            </w:r>
            <w:r w:rsidRPr="004A515A">
              <w:rPr>
                <w:rFonts w:asciiTheme="minorHAnsi" w:hAnsiTheme="minorHAnsi" w:cs="Arial"/>
                <w:sz w:val="22"/>
                <w:szCs w:val="22"/>
              </w:rPr>
              <w:t xml:space="preserve"> </w:t>
            </w:r>
          </w:p>
        </w:tc>
      </w:tr>
      <w:tr w:rsidR="002C7A98" w:rsidRPr="004A515A" w:rsidTr="00F145B6">
        <w:tc>
          <w:tcPr>
            <w:tcW w:w="1975" w:type="dxa"/>
            <w:tcBorders>
              <w:top w:val="nil"/>
              <w:left w:val="nil"/>
              <w:bottom w:val="nil"/>
            </w:tcBorders>
            <w:shd w:val="clear" w:color="auto" w:fill="auto"/>
          </w:tcPr>
          <w:p w:rsidR="002C7A98" w:rsidRPr="004A515A" w:rsidRDefault="002C7A98" w:rsidP="00945FCD">
            <w:pPr>
              <w:contextualSpacing/>
              <w:rPr>
                <w:rFonts w:asciiTheme="minorHAnsi" w:hAnsiTheme="minorHAnsi" w:cs="Arial"/>
                <w:b/>
                <w:sz w:val="22"/>
                <w:szCs w:val="22"/>
              </w:rPr>
            </w:pPr>
            <w:r w:rsidRPr="004A515A">
              <w:rPr>
                <w:rFonts w:asciiTheme="minorHAnsi" w:hAnsiTheme="minorHAnsi" w:cs="Arial"/>
                <w:b/>
                <w:sz w:val="22"/>
                <w:szCs w:val="22"/>
              </w:rPr>
              <w:t>Section 5.B.4</w:t>
            </w:r>
          </w:p>
        </w:tc>
        <w:tc>
          <w:tcPr>
            <w:tcW w:w="2993" w:type="dxa"/>
            <w:tcBorders>
              <w:top w:val="nil"/>
              <w:bottom w:val="nil"/>
            </w:tcBorders>
            <w:shd w:val="clear" w:color="auto" w:fill="auto"/>
          </w:tcPr>
          <w:p w:rsidR="002C7A98" w:rsidRPr="004A515A" w:rsidRDefault="002C7A98" w:rsidP="0060698D">
            <w:pPr>
              <w:rPr>
                <w:rFonts w:asciiTheme="minorHAnsi" w:hAnsiTheme="minorHAnsi" w:cs="Arial"/>
                <w:sz w:val="22"/>
                <w:szCs w:val="22"/>
              </w:rPr>
            </w:pPr>
            <w:r w:rsidRPr="004A515A">
              <w:rPr>
                <w:rFonts w:asciiTheme="minorHAnsi" w:hAnsiTheme="minorHAnsi" w:cs="Arial"/>
                <w:sz w:val="22"/>
                <w:szCs w:val="22"/>
              </w:rPr>
              <w:t xml:space="preserve">XML File content </w:t>
            </w:r>
          </w:p>
        </w:tc>
        <w:tc>
          <w:tcPr>
            <w:tcW w:w="6030" w:type="dxa"/>
            <w:tcBorders>
              <w:top w:val="nil"/>
              <w:bottom w:val="nil"/>
              <w:right w:val="nil"/>
            </w:tcBorders>
          </w:tcPr>
          <w:p w:rsidR="002C7A98" w:rsidRPr="00930639" w:rsidRDefault="002C7A98" w:rsidP="00134A16">
            <w:pPr>
              <w:rPr>
                <w:rFonts w:asciiTheme="minorHAnsi" w:hAnsiTheme="minorHAnsi" w:cs="Arial"/>
                <w:sz w:val="22"/>
                <w:szCs w:val="22"/>
              </w:rPr>
            </w:pPr>
            <w:r w:rsidRPr="00930639">
              <w:rPr>
                <w:rFonts w:asciiTheme="minorHAnsi" w:hAnsiTheme="minorHAnsi" w:cs="Arial"/>
                <w:sz w:val="22"/>
                <w:szCs w:val="22"/>
              </w:rPr>
              <w:t>Table 5.</w:t>
            </w:r>
            <w:r w:rsidRPr="00A23127">
              <w:rPr>
                <w:rFonts w:asciiTheme="minorHAnsi" w:hAnsiTheme="minorHAnsi" w:cs="Arial"/>
                <w:sz w:val="22"/>
                <w:szCs w:val="22"/>
              </w:rPr>
              <w:t>2 Omit MAT-3</w:t>
            </w:r>
            <w:r w:rsidRPr="00930639">
              <w:rPr>
                <w:rFonts w:asciiTheme="minorHAnsi" w:hAnsiTheme="minorHAnsi" w:cs="Arial"/>
                <w:sz w:val="22"/>
                <w:szCs w:val="22"/>
              </w:rPr>
              <w:t xml:space="preserve"> from MassHealth Measure File</w:t>
            </w:r>
            <w:r w:rsidR="00134A16">
              <w:rPr>
                <w:rFonts w:asciiTheme="minorHAnsi" w:hAnsiTheme="minorHAnsi" w:cs="Arial"/>
                <w:sz w:val="22"/>
                <w:szCs w:val="22"/>
              </w:rPr>
              <w:t xml:space="preserve"> content</w:t>
            </w:r>
            <w:r w:rsidRPr="00930639">
              <w:rPr>
                <w:rFonts w:asciiTheme="minorHAnsi" w:hAnsiTheme="minorHAnsi" w:cs="Arial"/>
                <w:sz w:val="22"/>
                <w:szCs w:val="22"/>
              </w:rPr>
              <w:t xml:space="preserve"> </w:t>
            </w:r>
          </w:p>
        </w:tc>
        <w:tc>
          <w:tcPr>
            <w:tcW w:w="3150" w:type="dxa"/>
            <w:tcBorders>
              <w:top w:val="nil"/>
              <w:bottom w:val="nil"/>
              <w:right w:val="nil"/>
            </w:tcBorders>
          </w:tcPr>
          <w:p w:rsidR="002C7A98" w:rsidRPr="004A515A" w:rsidRDefault="002C7A98" w:rsidP="002C7A98">
            <w:pPr>
              <w:ind w:left="54"/>
              <w:rPr>
                <w:rFonts w:asciiTheme="minorHAnsi" w:hAnsiTheme="minorHAnsi" w:cs="Arial"/>
                <w:sz w:val="22"/>
                <w:szCs w:val="22"/>
              </w:rPr>
            </w:pPr>
            <w:r>
              <w:rPr>
                <w:rFonts w:asciiTheme="minorHAnsi" w:hAnsiTheme="minorHAnsi" w:cs="Arial"/>
                <w:sz w:val="22"/>
                <w:szCs w:val="22"/>
              </w:rPr>
              <w:t xml:space="preserve">Clarify file content </w:t>
            </w:r>
          </w:p>
        </w:tc>
      </w:tr>
      <w:tr w:rsidR="002C7A98" w:rsidRPr="004A515A" w:rsidTr="00F145B6">
        <w:tc>
          <w:tcPr>
            <w:tcW w:w="1975" w:type="dxa"/>
            <w:tcBorders>
              <w:top w:val="nil"/>
              <w:left w:val="nil"/>
              <w:bottom w:val="single" w:sz="4" w:space="0" w:color="auto"/>
            </w:tcBorders>
            <w:shd w:val="clear" w:color="auto" w:fill="auto"/>
          </w:tcPr>
          <w:p w:rsidR="002C7A98" w:rsidRPr="004A515A" w:rsidRDefault="002C7A98" w:rsidP="00945FCD">
            <w:pPr>
              <w:contextualSpacing/>
              <w:rPr>
                <w:rFonts w:asciiTheme="minorHAnsi" w:hAnsiTheme="minorHAnsi" w:cs="Arial"/>
                <w:b/>
                <w:sz w:val="22"/>
                <w:szCs w:val="22"/>
              </w:rPr>
            </w:pPr>
            <w:r w:rsidRPr="004A515A">
              <w:rPr>
                <w:rFonts w:asciiTheme="minorHAnsi" w:hAnsiTheme="minorHAnsi" w:cs="Arial"/>
                <w:b/>
                <w:sz w:val="22"/>
                <w:szCs w:val="22"/>
              </w:rPr>
              <w:t xml:space="preserve">Section 5.B.6  </w:t>
            </w:r>
          </w:p>
        </w:tc>
        <w:tc>
          <w:tcPr>
            <w:tcW w:w="2993" w:type="dxa"/>
            <w:tcBorders>
              <w:top w:val="nil"/>
              <w:bottom w:val="single" w:sz="4" w:space="0" w:color="auto"/>
            </w:tcBorders>
            <w:shd w:val="clear" w:color="auto" w:fill="auto"/>
          </w:tcPr>
          <w:p w:rsidR="002C7A98" w:rsidRPr="004A515A" w:rsidRDefault="002C7A98" w:rsidP="00160550">
            <w:pPr>
              <w:rPr>
                <w:rFonts w:asciiTheme="minorHAnsi" w:hAnsiTheme="minorHAnsi" w:cs="Arial"/>
                <w:sz w:val="22"/>
                <w:szCs w:val="22"/>
              </w:rPr>
            </w:pPr>
            <w:r w:rsidRPr="004A515A">
              <w:rPr>
                <w:rFonts w:asciiTheme="minorHAnsi" w:hAnsiTheme="minorHAnsi" w:cs="Arial"/>
                <w:sz w:val="22"/>
                <w:szCs w:val="22"/>
              </w:rPr>
              <w:t xml:space="preserve">ICD online entry form   </w:t>
            </w:r>
          </w:p>
        </w:tc>
        <w:tc>
          <w:tcPr>
            <w:tcW w:w="6030" w:type="dxa"/>
            <w:tcBorders>
              <w:top w:val="nil"/>
              <w:bottom w:val="single" w:sz="4" w:space="0" w:color="auto"/>
              <w:right w:val="nil"/>
            </w:tcBorders>
          </w:tcPr>
          <w:p w:rsidR="002C7A98" w:rsidRPr="00134A16" w:rsidRDefault="00F01DD1" w:rsidP="00134A16">
            <w:pPr>
              <w:rPr>
                <w:rFonts w:asciiTheme="minorHAnsi" w:hAnsiTheme="minorHAnsi" w:cs="Arial"/>
                <w:sz w:val="22"/>
                <w:szCs w:val="22"/>
              </w:rPr>
            </w:pPr>
            <w:r w:rsidRPr="00134A16">
              <w:rPr>
                <w:rFonts w:asciiTheme="minorHAnsi" w:hAnsiTheme="minorHAnsi" w:cs="Arial"/>
                <w:sz w:val="22"/>
                <w:szCs w:val="22"/>
              </w:rPr>
              <w:t xml:space="preserve">The </w:t>
            </w:r>
            <w:r w:rsidR="00A23127" w:rsidRPr="00134A16">
              <w:rPr>
                <w:rFonts w:asciiTheme="minorHAnsi" w:hAnsiTheme="minorHAnsi" w:cs="Arial"/>
                <w:sz w:val="22"/>
                <w:szCs w:val="22"/>
              </w:rPr>
              <w:t xml:space="preserve">MAT-3 data entry field is removed </w:t>
            </w:r>
            <w:r w:rsidRPr="00134A16">
              <w:rPr>
                <w:rFonts w:asciiTheme="minorHAnsi" w:hAnsiTheme="minorHAnsi" w:cs="Arial"/>
                <w:sz w:val="22"/>
                <w:szCs w:val="22"/>
              </w:rPr>
              <w:t xml:space="preserve">for both the quarterly and monthly </w:t>
            </w:r>
            <w:r w:rsidR="00C66EF6" w:rsidRPr="00134A16">
              <w:rPr>
                <w:rFonts w:asciiTheme="minorHAnsi" w:hAnsiTheme="minorHAnsi" w:cs="Arial"/>
                <w:sz w:val="22"/>
                <w:szCs w:val="22"/>
              </w:rPr>
              <w:t xml:space="preserve">ICD online entry </w:t>
            </w:r>
            <w:r w:rsidRPr="00134A16">
              <w:rPr>
                <w:rFonts w:asciiTheme="minorHAnsi" w:hAnsiTheme="minorHAnsi" w:cs="Arial"/>
                <w:sz w:val="22"/>
                <w:szCs w:val="22"/>
              </w:rPr>
              <w:t xml:space="preserve">form as of Q1-2017 </w:t>
            </w:r>
          </w:p>
        </w:tc>
        <w:tc>
          <w:tcPr>
            <w:tcW w:w="3150" w:type="dxa"/>
            <w:tcBorders>
              <w:top w:val="nil"/>
              <w:bottom w:val="single" w:sz="4" w:space="0" w:color="auto"/>
              <w:right w:val="nil"/>
            </w:tcBorders>
          </w:tcPr>
          <w:p w:rsidR="002C7A98" w:rsidRPr="00134A16" w:rsidRDefault="002C7A98" w:rsidP="00C72AA1">
            <w:pPr>
              <w:ind w:left="54"/>
              <w:rPr>
                <w:rFonts w:asciiTheme="minorHAnsi" w:hAnsiTheme="minorHAnsi" w:cs="Arial"/>
                <w:sz w:val="22"/>
                <w:szCs w:val="22"/>
              </w:rPr>
            </w:pPr>
            <w:r w:rsidRPr="00134A16">
              <w:rPr>
                <w:rFonts w:asciiTheme="minorHAnsi" w:hAnsiTheme="minorHAnsi" w:cs="Arial"/>
                <w:sz w:val="22"/>
                <w:szCs w:val="22"/>
              </w:rPr>
              <w:t xml:space="preserve">Clarify ICD data entry </w:t>
            </w:r>
          </w:p>
        </w:tc>
      </w:tr>
      <w:tr w:rsidR="002C7A98" w:rsidRPr="004A515A" w:rsidTr="00F145B6">
        <w:tc>
          <w:tcPr>
            <w:tcW w:w="1975" w:type="dxa"/>
            <w:tcBorders>
              <w:top w:val="single" w:sz="4" w:space="0" w:color="auto"/>
              <w:left w:val="nil"/>
              <w:bottom w:val="single" w:sz="4" w:space="0" w:color="auto"/>
            </w:tcBorders>
            <w:shd w:val="clear" w:color="auto" w:fill="auto"/>
          </w:tcPr>
          <w:p w:rsidR="002C7A98" w:rsidRPr="002C7A98" w:rsidRDefault="002C7A98" w:rsidP="0025561B">
            <w:pPr>
              <w:contextualSpacing/>
              <w:rPr>
                <w:rFonts w:asciiTheme="minorHAnsi" w:hAnsiTheme="minorHAnsi" w:cs="Arial"/>
                <w:b/>
                <w:sz w:val="22"/>
                <w:szCs w:val="22"/>
              </w:rPr>
            </w:pPr>
            <w:r w:rsidRPr="002C7A98">
              <w:rPr>
                <w:rFonts w:asciiTheme="minorHAnsi" w:hAnsiTheme="minorHAnsi" w:cs="Arial"/>
                <w:b/>
                <w:sz w:val="22"/>
                <w:szCs w:val="22"/>
              </w:rPr>
              <w:t xml:space="preserve">Section 6.B  </w:t>
            </w:r>
          </w:p>
        </w:tc>
        <w:tc>
          <w:tcPr>
            <w:tcW w:w="2993" w:type="dxa"/>
            <w:tcBorders>
              <w:top w:val="single" w:sz="4" w:space="0" w:color="auto"/>
              <w:bottom w:val="single" w:sz="4" w:space="0" w:color="auto"/>
            </w:tcBorders>
            <w:shd w:val="clear" w:color="auto" w:fill="auto"/>
          </w:tcPr>
          <w:p w:rsidR="002C7A98" w:rsidRPr="004A515A" w:rsidRDefault="002C7A98" w:rsidP="0060698D">
            <w:pPr>
              <w:rPr>
                <w:rFonts w:asciiTheme="minorHAnsi" w:hAnsiTheme="minorHAnsi" w:cs="Arial"/>
                <w:sz w:val="22"/>
                <w:szCs w:val="22"/>
              </w:rPr>
            </w:pPr>
            <w:r w:rsidRPr="004A515A">
              <w:rPr>
                <w:rFonts w:asciiTheme="minorHAnsi" w:hAnsiTheme="minorHAnsi" w:cs="Arial"/>
                <w:sz w:val="22"/>
                <w:szCs w:val="22"/>
              </w:rPr>
              <w:t xml:space="preserve">Data Validation Methods </w:t>
            </w:r>
          </w:p>
          <w:p w:rsidR="002C7A98" w:rsidRPr="004A515A" w:rsidRDefault="002C7A98" w:rsidP="0060698D">
            <w:pPr>
              <w:rPr>
                <w:rFonts w:asciiTheme="minorHAnsi" w:hAnsiTheme="minorHAnsi" w:cs="Arial"/>
                <w:sz w:val="22"/>
                <w:szCs w:val="22"/>
              </w:rPr>
            </w:pPr>
          </w:p>
        </w:tc>
        <w:tc>
          <w:tcPr>
            <w:tcW w:w="6030" w:type="dxa"/>
            <w:tcBorders>
              <w:top w:val="single" w:sz="4" w:space="0" w:color="auto"/>
              <w:bottom w:val="single" w:sz="4" w:space="0" w:color="auto"/>
              <w:right w:val="nil"/>
            </w:tcBorders>
          </w:tcPr>
          <w:p w:rsidR="002C7A98" w:rsidRPr="00134A16" w:rsidRDefault="002C7A98" w:rsidP="00134A16">
            <w:pPr>
              <w:rPr>
                <w:rFonts w:asciiTheme="minorHAnsi" w:hAnsiTheme="minorHAnsi" w:cs="Arial"/>
                <w:sz w:val="22"/>
                <w:szCs w:val="22"/>
              </w:rPr>
            </w:pPr>
            <w:r w:rsidRPr="00134A16">
              <w:rPr>
                <w:rFonts w:asciiTheme="minorHAnsi" w:hAnsiTheme="minorHAnsi" w:cs="Arial"/>
                <w:sz w:val="22"/>
                <w:szCs w:val="22"/>
              </w:rPr>
              <w:t xml:space="preserve">Table 6.1 Scored data elements for MAT-3 </w:t>
            </w:r>
            <w:r w:rsidR="00F145B6" w:rsidRPr="00134A16">
              <w:rPr>
                <w:rFonts w:asciiTheme="minorHAnsi" w:hAnsiTheme="minorHAnsi" w:cs="Arial"/>
                <w:sz w:val="22"/>
                <w:szCs w:val="22"/>
              </w:rPr>
              <w:t xml:space="preserve">are </w:t>
            </w:r>
            <w:r w:rsidRPr="00134A16">
              <w:rPr>
                <w:rFonts w:asciiTheme="minorHAnsi" w:hAnsiTheme="minorHAnsi" w:cs="Arial"/>
                <w:sz w:val="22"/>
                <w:szCs w:val="22"/>
              </w:rPr>
              <w:t xml:space="preserve">removed as of Q1-2017 </w:t>
            </w:r>
          </w:p>
        </w:tc>
        <w:tc>
          <w:tcPr>
            <w:tcW w:w="3150" w:type="dxa"/>
            <w:tcBorders>
              <w:top w:val="single" w:sz="4" w:space="0" w:color="auto"/>
              <w:bottom w:val="single" w:sz="4" w:space="0" w:color="auto"/>
              <w:right w:val="nil"/>
            </w:tcBorders>
          </w:tcPr>
          <w:p w:rsidR="002C7A98" w:rsidRPr="00134A16" w:rsidRDefault="001F0782" w:rsidP="001F0782">
            <w:pPr>
              <w:ind w:left="54"/>
              <w:rPr>
                <w:rFonts w:asciiTheme="minorHAnsi" w:hAnsiTheme="minorHAnsi" w:cs="Arial"/>
                <w:sz w:val="22"/>
                <w:szCs w:val="22"/>
              </w:rPr>
            </w:pPr>
            <w:r w:rsidRPr="00134A16">
              <w:rPr>
                <w:rFonts w:asciiTheme="minorHAnsi" w:hAnsiTheme="minorHAnsi" w:cs="Arial"/>
                <w:sz w:val="22"/>
                <w:szCs w:val="22"/>
              </w:rPr>
              <w:t>Discontinue MAT-3 scoring</w:t>
            </w:r>
          </w:p>
        </w:tc>
      </w:tr>
      <w:tr w:rsidR="002C7A98" w:rsidRPr="004A515A" w:rsidTr="00F145B6">
        <w:tc>
          <w:tcPr>
            <w:tcW w:w="1975" w:type="dxa"/>
            <w:tcBorders>
              <w:top w:val="single" w:sz="4" w:space="0" w:color="auto"/>
              <w:left w:val="nil"/>
              <w:bottom w:val="single" w:sz="4" w:space="0" w:color="auto"/>
              <w:right w:val="single" w:sz="4" w:space="0" w:color="auto"/>
            </w:tcBorders>
            <w:shd w:val="clear" w:color="auto" w:fill="auto"/>
          </w:tcPr>
          <w:p w:rsidR="002C7A98" w:rsidRPr="002C7A98" w:rsidRDefault="002C7A98" w:rsidP="0025561B">
            <w:pPr>
              <w:contextualSpacing/>
              <w:rPr>
                <w:rFonts w:asciiTheme="minorHAnsi" w:hAnsiTheme="minorHAnsi" w:cs="Arial"/>
                <w:b/>
                <w:sz w:val="22"/>
                <w:szCs w:val="22"/>
              </w:rPr>
            </w:pPr>
            <w:r w:rsidRPr="002C7A98">
              <w:rPr>
                <w:rFonts w:asciiTheme="minorHAnsi" w:hAnsiTheme="minorHAnsi" w:cs="Arial"/>
                <w:b/>
                <w:sz w:val="22"/>
                <w:szCs w:val="22"/>
              </w:rPr>
              <w:t xml:space="preserve">Section 7.D </w:t>
            </w:r>
          </w:p>
        </w:tc>
        <w:tc>
          <w:tcPr>
            <w:tcW w:w="2993" w:type="dxa"/>
            <w:tcBorders>
              <w:top w:val="single" w:sz="4" w:space="0" w:color="auto"/>
              <w:left w:val="single" w:sz="4" w:space="0" w:color="auto"/>
              <w:bottom w:val="single" w:sz="4" w:space="0" w:color="auto"/>
              <w:right w:val="single" w:sz="4" w:space="0" w:color="auto"/>
            </w:tcBorders>
            <w:shd w:val="clear" w:color="auto" w:fill="auto"/>
          </w:tcPr>
          <w:p w:rsidR="002C7A98" w:rsidRPr="004A515A" w:rsidRDefault="002C7A98" w:rsidP="00945FCD">
            <w:pPr>
              <w:tabs>
                <w:tab w:val="num" w:pos="1440"/>
              </w:tabs>
              <w:rPr>
                <w:rFonts w:asciiTheme="minorHAnsi" w:hAnsiTheme="minorHAnsi" w:cs="Arial"/>
                <w:sz w:val="22"/>
                <w:szCs w:val="22"/>
              </w:rPr>
            </w:pPr>
            <w:r w:rsidRPr="004A515A">
              <w:rPr>
                <w:rFonts w:asciiTheme="minorHAnsi" w:hAnsiTheme="minorHAnsi" w:cs="Arial"/>
                <w:sz w:val="22"/>
                <w:szCs w:val="22"/>
              </w:rPr>
              <w:t xml:space="preserve">Health Disparities Composite </w:t>
            </w:r>
          </w:p>
        </w:tc>
        <w:tc>
          <w:tcPr>
            <w:tcW w:w="6030" w:type="dxa"/>
            <w:tcBorders>
              <w:top w:val="single" w:sz="4" w:space="0" w:color="auto"/>
              <w:left w:val="single" w:sz="4" w:space="0" w:color="auto"/>
              <w:bottom w:val="single" w:sz="4" w:space="0" w:color="auto"/>
              <w:right w:val="nil"/>
            </w:tcBorders>
          </w:tcPr>
          <w:p w:rsidR="002C7A98" w:rsidRPr="00134A16" w:rsidRDefault="002C7A98" w:rsidP="00C66EF6">
            <w:pPr>
              <w:tabs>
                <w:tab w:val="num" w:pos="1440"/>
              </w:tabs>
              <w:rPr>
                <w:rFonts w:asciiTheme="minorHAnsi" w:hAnsiTheme="minorHAnsi" w:cs="Arial"/>
                <w:sz w:val="22"/>
                <w:szCs w:val="22"/>
              </w:rPr>
            </w:pPr>
            <w:r w:rsidRPr="00134A16">
              <w:rPr>
                <w:rFonts w:asciiTheme="minorHAnsi" w:hAnsiTheme="minorHAnsi" w:cs="Arial"/>
                <w:sz w:val="22"/>
                <w:szCs w:val="22"/>
              </w:rPr>
              <w:t xml:space="preserve">Table 7.3 MAT-3 </w:t>
            </w:r>
            <w:r w:rsidR="00A23127" w:rsidRPr="00134A16">
              <w:rPr>
                <w:rFonts w:asciiTheme="minorHAnsi" w:hAnsiTheme="minorHAnsi" w:cs="Arial"/>
                <w:sz w:val="22"/>
                <w:szCs w:val="22"/>
              </w:rPr>
              <w:t>is removed for R</w:t>
            </w:r>
            <w:r w:rsidRPr="00134A16">
              <w:rPr>
                <w:rFonts w:asciiTheme="minorHAnsi" w:hAnsiTheme="minorHAnsi" w:cs="Arial"/>
                <w:sz w:val="22"/>
                <w:szCs w:val="22"/>
              </w:rPr>
              <w:t xml:space="preserve">Y18 health disparities report </w:t>
            </w:r>
          </w:p>
        </w:tc>
        <w:tc>
          <w:tcPr>
            <w:tcW w:w="3150" w:type="dxa"/>
            <w:tcBorders>
              <w:top w:val="single" w:sz="4" w:space="0" w:color="auto"/>
              <w:left w:val="single" w:sz="4" w:space="0" w:color="auto"/>
              <w:bottom w:val="single" w:sz="4" w:space="0" w:color="auto"/>
              <w:right w:val="nil"/>
            </w:tcBorders>
          </w:tcPr>
          <w:p w:rsidR="002C7A98" w:rsidRPr="00134A16" w:rsidRDefault="00930639" w:rsidP="00930639">
            <w:pPr>
              <w:tabs>
                <w:tab w:val="num" w:pos="1440"/>
              </w:tabs>
              <w:ind w:left="54"/>
              <w:rPr>
                <w:rFonts w:asciiTheme="minorHAnsi" w:hAnsiTheme="minorHAnsi" w:cs="Arial"/>
                <w:sz w:val="22"/>
                <w:szCs w:val="22"/>
              </w:rPr>
            </w:pPr>
            <w:r w:rsidRPr="00134A16">
              <w:rPr>
                <w:rFonts w:asciiTheme="minorHAnsi" w:hAnsiTheme="minorHAnsi" w:cs="Arial"/>
                <w:sz w:val="22"/>
                <w:szCs w:val="22"/>
              </w:rPr>
              <w:t>Clarify i</w:t>
            </w:r>
            <w:r w:rsidR="002C7A98" w:rsidRPr="00134A16">
              <w:rPr>
                <w:rFonts w:asciiTheme="minorHAnsi" w:hAnsiTheme="minorHAnsi" w:cs="Arial"/>
                <w:sz w:val="22"/>
                <w:szCs w:val="22"/>
              </w:rPr>
              <w:t>mpact on HD2</w:t>
            </w:r>
            <w:r w:rsidRPr="00134A16">
              <w:rPr>
                <w:rFonts w:asciiTheme="minorHAnsi" w:hAnsiTheme="minorHAnsi" w:cs="Arial"/>
                <w:sz w:val="22"/>
                <w:szCs w:val="22"/>
              </w:rPr>
              <w:t xml:space="preserve"> results</w:t>
            </w:r>
          </w:p>
        </w:tc>
      </w:tr>
      <w:tr w:rsidR="002C7A98" w:rsidRPr="004A515A" w:rsidTr="00F145B6">
        <w:tc>
          <w:tcPr>
            <w:tcW w:w="1975" w:type="dxa"/>
            <w:tcBorders>
              <w:bottom w:val="single" w:sz="4" w:space="0" w:color="auto"/>
            </w:tcBorders>
            <w:shd w:val="clear" w:color="auto" w:fill="002060"/>
          </w:tcPr>
          <w:p w:rsidR="002C7A98" w:rsidRPr="004A515A" w:rsidRDefault="002C7A98" w:rsidP="004A515A">
            <w:pPr>
              <w:rPr>
                <w:rFonts w:asciiTheme="minorHAnsi" w:hAnsiTheme="minorHAnsi" w:cs="Arial"/>
                <w:b/>
                <w:sz w:val="24"/>
                <w:szCs w:val="24"/>
                <w:lang w:eastAsia="ja-JP"/>
              </w:rPr>
            </w:pPr>
            <w:r w:rsidRPr="004A515A">
              <w:rPr>
                <w:rFonts w:asciiTheme="minorHAnsi" w:hAnsiTheme="minorHAnsi" w:cs="Arial"/>
                <w:b/>
                <w:sz w:val="24"/>
                <w:szCs w:val="24"/>
                <w:lang w:eastAsia="ja-JP"/>
              </w:rPr>
              <w:t xml:space="preserve">Appendix Section </w:t>
            </w:r>
          </w:p>
        </w:tc>
        <w:tc>
          <w:tcPr>
            <w:tcW w:w="2993" w:type="dxa"/>
            <w:tcBorders>
              <w:bottom w:val="single" w:sz="4" w:space="0" w:color="auto"/>
            </w:tcBorders>
            <w:shd w:val="clear" w:color="auto" w:fill="002060"/>
          </w:tcPr>
          <w:p w:rsidR="002C7A98" w:rsidRPr="004A515A" w:rsidRDefault="002C7A98" w:rsidP="00254FF9">
            <w:pPr>
              <w:rPr>
                <w:rFonts w:asciiTheme="minorHAnsi" w:hAnsiTheme="minorHAnsi" w:cs="Arial"/>
                <w:b/>
                <w:color w:val="FFFFFF" w:themeColor="background1"/>
                <w:sz w:val="16"/>
                <w:szCs w:val="16"/>
              </w:rPr>
            </w:pPr>
          </w:p>
        </w:tc>
        <w:tc>
          <w:tcPr>
            <w:tcW w:w="6030" w:type="dxa"/>
            <w:tcBorders>
              <w:bottom w:val="single" w:sz="4" w:space="0" w:color="auto"/>
              <w:right w:val="nil"/>
            </w:tcBorders>
            <w:shd w:val="clear" w:color="auto" w:fill="002060"/>
          </w:tcPr>
          <w:p w:rsidR="002C7A98" w:rsidRPr="00134A16" w:rsidRDefault="002C7A98" w:rsidP="00AC0C40">
            <w:pPr>
              <w:ind w:left="54"/>
              <w:rPr>
                <w:rFonts w:asciiTheme="minorHAnsi" w:hAnsiTheme="minorHAnsi" w:cs="Arial"/>
                <w:b/>
                <w:sz w:val="18"/>
                <w:szCs w:val="18"/>
              </w:rPr>
            </w:pPr>
          </w:p>
        </w:tc>
        <w:tc>
          <w:tcPr>
            <w:tcW w:w="3150" w:type="dxa"/>
            <w:tcBorders>
              <w:bottom w:val="single" w:sz="4" w:space="0" w:color="auto"/>
              <w:right w:val="nil"/>
            </w:tcBorders>
            <w:shd w:val="clear" w:color="auto" w:fill="002060"/>
          </w:tcPr>
          <w:p w:rsidR="002C7A98" w:rsidRPr="00134A16" w:rsidRDefault="002C7A98" w:rsidP="00AC0C40">
            <w:pPr>
              <w:ind w:left="54"/>
              <w:rPr>
                <w:rFonts w:cs="Arial"/>
                <w:b/>
                <w:sz w:val="18"/>
                <w:szCs w:val="18"/>
              </w:rPr>
            </w:pPr>
          </w:p>
        </w:tc>
      </w:tr>
      <w:tr w:rsidR="002C7A98" w:rsidRPr="004A515A" w:rsidTr="00F145B6">
        <w:tc>
          <w:tcPr>
            <w:tcW w:w="1975" w:type="dxa"/>
            <w:tcBorders>
              <w:top w:val="nil"/>
              <w:left w:val="nil"/>
              <w:bottom w:val="single" w:sz="4" w:space="0" w:color="auto"/>
            </w:tcBorders>
            <w:shd w:val="clear" w:color="auto" w:fill="auto"/>
          </w:tcPr>
          <w:p w:rsidR="002C7A98" w:rsidRPr="004A515A" w:rsidRDefault="002C7A98" w:rsidP="0025561B">
            <w:pPr>
              <w:contextualSpacing/>
              <w:rPr>
                <w:rFonts w:asciiTheme="minorHAnsi" w:hAnsiTheme="minorHAnsi" w:cs="Arial"/>
                <w:sz w:val="22"/>
                <w:szCs w:val="22"/>
              </w:rPr>
            </w:pPr>
            <w:r w:rsidRPr="004A515A">
              <w:rPr>
                <w:rFonts w:asciiTheme="minorHAnsi" w:hAnsiTheme="minorHAnsi" w:cs="Arial"/>
                <w:b/>
                <w:sz w:val="22"/>
                <w:szCs w:val="22"/>
              </w:rPr>
              <w:t>Appendix A-3</w:t>
            </w:r>
            <w:r w:rsidRPr="004A515A">
              <w:rPr>
                <w:rFonts w:asciiTheme="minorHAnsi" w:hAnsiTheme="minorHAnsi" w:cs="Arial"/>
                <w:color w:val="FF0000"/>
                <w:sz w:val="22"/>
                <w:szCs w:val="22"/>
              </w:rPr>
              <w:t xml:space="preserve">  </w:t>
            </w:r>
          </w:p>
        </w:tc>
        <w:tc>
          <w:tcPr>
            <w:tcW w:w="2993" w:type="dxa"/>
            <w:tcBorders>
              <w:top w:val="nil"/>
              <w:bottom w:val="single" w:sz="4" w:space="0" w:color="auto"/>
            </w:tcBorders>
            <w:shd w:val="clear" w:color="auto" w:fill="auto"/>
          </w:tcPr>
          <w:p w:rsidR="002C7A98" w:rsidRPr="004A515A" w:rsidRDefault="002C7A98" w:rsidP="0025561B">
            <w:pPr>
              <w:rPr>
                <w:rFonts w:asciiTheme="minorHAnsi" w:hAnsiTheme="minorHAnsi" w:cs="Arial"/>
                <w:sz w:val="22"/>
                <w:szCs w:val="22"/>
              </w:rPr>
            </w:pPr>
            <w:r w:rsidRPr="004A515A">
              <w:rPr>
                <w:rFonts w:asciiTheme="minorHAnsi" w:hAnsiTheme="minorHAnsi" w:cs="Arial"/>
                <w:sz w:val="22"/>
                <w:szCs w:val="22"/>
              </w:rPr>
              <w:t xml:space="preserve">MAT-3 data abstraction tool  </w:t>
            </w:r>
            <w:r w:rsidR="00F145B6">
              <w:rPr>
                <w:rFonts w:asciiTheme="minorHAnsi" w:hAnsiTheme="minorHAnsi" w:cs="Arial"/>
                <w:sz w:val="22"/>
                <w:szCs w:val="22"/>
              </w:rPr>
              <w:t>(v10.0)</w:t>
            </w:r>
          </w:p>
        </w:tc>
        <w:tc>
          <w:tcPr>
            <w:tcW w:w="6030" w:type="dxa"/>
            <w:tcBorders>
              <w:top w:val="nil"/>
              <w:bottom w:val="single" w:sz="4" w:space="0" w:color="auto"/>
              <w:right w:val="nil"/>
            </w:tcBorders>
          </w:tcPr>
          <w:p w:rsidR="001F0782" w:rsidRPr="00134A16" w:rsidRDefault="002C7A98" w:rsidP="00134A16">
            <w:pPr>
              <w:rPr>
                <w:rFonts w:asciiTheme="minorHAnsi" w:hAnsiTheme="minorHAnsi" w:cs="Arial"/>
                <w:sz w:val="22"/>
                <w:szCs w:val="22"/>
              </w:rPr>
            </w:pPr>
            <w:r w:rsidRPr="00134A16">
              <w:rPr>
                <w:rFonts w:asciiTheme="minorHAnsi" w:hAnsiTheme="minorHAnsi" w:cs="Arial"/>
                <w:sz w:val="22"/>
                <w:szCs w:val="22"/>
              </w:rPr>
              <w:t xml:space="preserve">Discontinue use of </w:t>
            </w:r>
            <w:r w:rsidR="00F145B6" w:rsidRPr="00134A16">
              <w:rPr>
                <w:rFonts w:asciiTheme="minorHAnsi" w:hAnsiTheme="minorHAnsi" w:cs="Arial"/>
                <w:sz w:val="22"/>
                <w:szCs w:val="22"/>
              </w:rPr>
              <w:t xml:space="preserve">abstraction </w:t>
            </w:r>
            <w:r w:rsidRPr="00134A16">
              <w:rPr>
                <w:rFonts w:asciiTheme="minorHAnsi" w:hAnsiTheme="minorHAnsi" w:cs="Arial"/>
                <w:sz w:val="22"/>
                <w:szCs w:val="22"/>
              </w:rPr>
              <w:t>tool as of Q1-2017 data collection</w:t>
            </w:r>
          </w:p>
        </w:tc>
        <w:tc>
          <w:tcPr>
            <w:tcW w:w="3150" w:type="dxa"/>
            <w:tcBorders>
              <w:top w:val="nil"/>
              <w:bottom w:val="single" w:sz="4" w:space="0" w:color="auto"/>
              <w:right w:val="nil"/>
            </w:tcBorders>
          </w:tcPr>
          <w:p w:rsidR="002C7A98" w:rsidRPr="00134A16" w:rsidRDefault="002C7A98" w:rsidP="002C7A98">
            <w:pPr>
              <w:rPr>
                <w:rFonts w:cs="Arial"/>
              </w:rPr>
            </w:pPr>
            <w:r w:rsidRPr="00134A16">
              <w:rPr>
                <w:rFonts w:asciiTheme="minorHAnsi" w:hAnsiTheme="minorHAnsi" w:cs="Arial"/>
                <w:sz w:val="22"/>
                <w:szCs w:val="22"/>
              </w:rPr>
              <w:t>Discontinue MAT-3 collection</w:t>
            </w:r>
          </w:p>
        </w:tc>
      </w:tr>
      <w:tr w:rsidR="002C7A98" w:rsidRPr="004A515A" w:rsidTr="00F145B6">
        <w:tc>
          <w:tcPr>
            <w:tcW w:w="1975" w:type="dxa"/>
            <w:tcBorders>
              <w:top w:val="single" w:sz="4" w:space="0" w:color="auto"/>
              <w:left w:val="nil"/>
              <w:bottom w:val="single" w:sz="4" w:space="0" w:color="auto"/>
            </w:tcBorders>
            <w:shd w:val="clear" w:color="auto" w:fill="auto"/>
          </w:tcPr>
          <w:p w:rsidR="002C7A98" w:rsidRPr="004A515A" w:rsidRDefault="001F0782" w:rsidP="0025561B">
            <w:pPr>
              <w:contextualSpacing/>
              <w:rPr>
                <w:rFonts w:asciiTheme="minorHAnsi" w:hAnsiTheme="minorHAnsi" w:cs="Arial"/>
                <w:sz w:val="22"/>
                <w:szCs w:val="22"/>
              </w:rPr>
            </w:pPr>
            <w:r>
              <w:rPr>
                <w:rFonts w:asciiTheme="minorHAnsi" w:hAnsiTheme="minorHAnsi" w:cs="Arial"/>
                <w:b/>
                <w:sz w:val="22"/>
                <w:szCs w:val="22"/>
              </w:rPr>
              <w:t>A</w:t>
            </w:r>
            <w:r w:rsidR="002C7A98" w:rsidRPr="004A515A">
              <w:rPr>
                <w:rFonts w:asciiTheme="minorHAnsi" w:hAnsiTheme="minorHAnsi" w:cs="Arial"/>
                <w:b/>
                <w:sz w:val="22"/>
                <w:szCs w:val="22"/>
              </w:rPr>
              <w:t>ppendix A-7</w:t>
            </w:r>
            <w:r w:rsidR="002C7A98" w:rsidRPr="004A515A">
              <w:rPr>
                <w:rFonts w:asciiTheme="minorHAnsi" w:hAnsiTheme="minorHAnsi" w:cs="Arial"/>
                <w:sz w:val="22"/>
                <w:szCs w:val="22"/>
              </w:rPr>
              <w:t xml:space="preserve"> </w:t>
            </w:r>
          </w:p>
        </w:tc>
        <w:tc>
          <w:tcPr>
            <w:tcW w:w="2993" w:type="dxa"/>
            <w:tcBorders>
              <w:top w:val="single" w:sz="4" w:space="0" w:color="auto"/>
              <w:bottom w:val="single" w:sz="4" w:space="0" w:color="auto"/>
            </w:tcBorders>
            <w:shd w:val="clear" w:color="auto" w:fill="auto"/>
          </w:tcPr>
          <w:p w:rsidR="002C7A98" w:rsidRPr="004A515A" w:rsidRDefault="002C7A98" w:rsidP="00F145B6">
            <w:pPr>
              <w:rPr>
                <w:rFonts w:asciiTheme="minorHAnsi" w:hAnsiTheme="minorHAnsi" w:cs="Arial"/>
                <w:sz w:val="22"/>
                <w:szCs w:val="22"/>
              </w:rPr>
            </w:pPr>
            <w:r w:rsidRPr="004A515A">
              <w:rPr>
                <w:rFonts w:asciiTheme="minorHAnsi" w:hAnsiTheme="minorHAnsi" w:cs="Arial"/>
                <w:sz w:val="22"/>
                <w:szCs w:val="22"/>
              </w:rPr>
              <w:t xml:space="preserve">XML Schema: MassHealth </w:t>
            </w:r>
            <w:r w:rsidR="00C66EF6">
              <w:rPr>
                <w:rFonts w:asciiTheme="minorHAnsi" w:hAnsiTheme="minorHAnsi" w:cs="Arial"/>
                <w:sz w:val="22"/>
                <w:szCs w:val="22"/>
              </w:rPr>
              <w:t xml:space="preserve">Specific </w:t>
            </w:r>
            <w:r w:rsidRPr="004A515A">
              <w:rPr>
                <w:rFonts w:asciiTheme="minorHAnsi" w:hAnsiTheme="minorHAnsi" w:cs="Arial"/>
                <w:sz w:val="22"/>
                <w:szCs w:val="22"/>
              </w:rPr>
              <w:t>Measures File</w:t>
            </w:r>
            <w:r w:rsidR="00F145B6">
              <w:rPr>
                <w:rFonts w:asciiTheme="minorHAnsi" w:hAnsiTheme="minorHAnsi" w:cs="Arial"/>
                <w:sz w:val="22"/>
                <w:szCs w:val="22"/>
              </w:rPr>
              <w:t xml:space="preserve"> (v10.0)</w:t>
            </w:r>
          </w:p>
        </w:tc>
        <w:tc>
          <w:tcPr>
            <w:tcW w:w="6030" w:type="dxa"/>
            <w:tcBorders>
              <w:top w:val="single" w:sz="4" w:space="0" w:color="auto"/>
              <w:bottom w:val="single" w:sz="4" w:space="0" w:color="auto"/>
              <w:right w:val="nil"/>
            </w:tcBorders>
          </w:tcPr>
          <w:p w:rsidR="00C66EF6" w:rsidRPr="00134A16" w:rsidRDefault="00A23127" w:rsidP="00134A16">
            <w:pPr>
              <w:rPr>
                <w:rFonts w:asciiTheme="minorHAnsi" w:hAnsiTheme="minorHAnsi" w:cs="Arial"/>
              </w:rPr>
            </w:pPr>
            <w:r w:rsidRPr="00134A16">
              <w:rPr>
                <w:rFonts w:asciiTheme="minorHAnsi" w:hAnsiTheme="minorHAnsi" w:cs="Arial"/>
              </w:rPr>
              <w:t xml:space="preserve">XML </w:t>
            </w:r>
            <w:r w:rsidR="00F145B6" w:rsidRPr="00134A16">
              <w:rPr>
                <w:rFonts w:asciiTheme="minorHAnsi" w:hAnsiTheme="minorHAnsi" w:cs="Arial"/>
              </w:rPr>
              <w:t xml:space="preserve">files </w:t>
            </w:r>
            <w:r w:rsidRPr="00134A16">
              <w:rPr>
                <w:rFonts w:asciiTheme="minorHAnsi" w:hAnsiTheme="minorHAnsi" w:cs="Arial"/>
              </w:rPr>
              <w:t xml:space="preserve">submitted </w:t>
            </w:r>
            <w:r w:rsidR="00C66EF6" w:rsidRPr="00134A16">
              <w:rPr>
                <w:rFonts w:asciiTheme="minorHAnsi" w:hAnsiTheme="minorHAnsi" w:cs="Arial"/>
              </w:rPr>
              <w:t xml:space="preserve">with </w:t>
            </w:r>
            <w:r w:rsidRPr="00134A16">
              <w:rPr>
                <w:rFonts w:asciiTheme="minorHAnsi" w:hAnsiTheme="minorHAnsi" w:cs="Arial"/>
              </w:rPr>
              <w:t xml:space="preserve">MAT-3 </w:t>
            </w:r>
            <w:r w:rsidR="00C66EF6" w:rsidRPr="00134A16">
              <w:rPr>
                <w:rFonts w:asciiTheme="minorHAnsi" w:hAnsiTheme="minorHAnsi" w:cs="Arial"/>
              </w:rPr>
              <w:t xml:space="preserve">data </w:t>
            </w:r>
            <w:r w:rsidRPr="00134A16">
              <w:rPr>
                <w:rFonts w:asciiTheme="minorHAnsi" w:hAnsiTheme="minorHAnsi" w:cs="Arial"/>
              </w:rPr>
              <w:t>will yield a</w:t>
            </w:r>
            <w:r w:rsidR="00F145B6" w:rsidRPr="00134A16">
              <w:rPr>
                <w:rFonts w:asciiTheme="minorHAnsi" w:hAnsiTheme="minorHAnsi" w:cs="Arial"/>
              </w:rPr>
              <w:t>n automatic</w:t>
            </w:r>
            <w:r w:rsidRPr="00134A16">
              <w:rPr>
                <w:rFonts w:asciiTheme="minorHAnsi" w:hAnsiTheme="minorHAnsi" w:cs="Arial"/>
              </w:rPr>
              <w:t xml:space="preserve"> rejection by the portal.  This rejection will be noted </w:t>
            </w:r>
            <w:r w:rsidR="00C66EF6" w:rsidRPr="00134A16">
              <w:rPr>
                <w:rFonts w:asciiTheme="minorHAnsi" w:hAnsiTheme="minorHAnsi" w:cs="Arial"/>
              </w:rPr>
              <w:t xml:space="preserve">in your </w:t>
            </w:r>
            <w:r w:rsidRPr="00134A16">
              <w:rPr>
                <w:rFonts w:asciiTheme="minorHAnsi" w:hAnsiTheme="minorHAnsi" w:cs="Arial"/>
              </w:rPr>
              <w:t>Input file report</w:t>
            </w:r>
          </w:p>
        </w:tc>
        <w:tc>
          <w:tcPr>
            <w:tcW w:w="3150" w:type="dxa"/>
            <w:tcBorders>
              <w:top w:val="single" w:sz="4" w:space="0" w:color="auto"/>
              <w:bottom w:val="single" w:sz="4" w:space="0" w:color="auto"/>
              <w:right w:val="nil"/>
            </w:tcBorders>
          </w:tcPr>
          <w:p w:rsidR="00A23127" w:rsidRPr="00134A16" w:rsidRDefault="00C66EF6" w:rsidP="00134A16">
            <w:pPr>
              <w:ind w:left="54"/>
              <w:rPr>
                <w:rFonts w:asciiTheme="minorHAnsi" w:hAnsiTheme="minorHAnsi" w:cs="Arial"/>
              </w:rPr>
            </w:pPr>
            <w:r w:rsidRPr="00134A16">
              <w:rPr>
                <w:rFonts w:asciiTheme="minorHAnsi" w:hAnsiTheme="minorHAnsi" w:cs="Arial"/>
              </w:rPr>
              <w:t xml:space="preserve">Clarify impact of MAT-3 data file submission error </w:t>
            </w:r>
          </w:p>
        </w:tc>
      </w:tr>
      <w:tr w:rsidR="002C7A98" w:rsidRPr="004A515A" w:rsidTr="00F145B6">
        <w:tc>
          <w:tcPr>
            <w:tcW w:w="1975" w:type="dxa"/>
            <w:tcBorders>
              <w:top w:val="single" w:sz="4" w:space="0" w:color="auto"/>
              <w:left w:val="nil"/>
              <w:bottom w:val="single" w:sz="4" w:space="0" w:color="auto"/>
            </w:tcBorders>
            <w:shd w:val="clear" w:color="auto" w:fill="auto"/>
          </w:tcPr>
          <w:p w:rsidR="002C7A98" w:rsidRPr="004A515A" w:rsidRDefault="002C7A98" w:rsidP="0025561B">
            <w:pPr>
              <w:contextualSpacing/>
              <w:rPr>
                <w:rFonts w:asciiTheme="minorHAnsi" w:hAnsiTheme="minorHAnsi" w:cs="Arial"/>
                <w:sz w:val="22"/>
                <w:szCs w:val="22"/>
              </w:rPr>
            </w:pPr>
            <w:r w:rsidRPr="004A515A">
              <w:rPr>
                <w:rFonts w:asciiTheme="minorHAnsi" w:hAnsiTheme="minorHAnsi" w:cs="Arial"/>
                <w:b/>
                <w:sz w:val="22"/>
                <w:szCs w:val="22"/>
              </w:rPr>
              <w:t>Appendix A-9</w:t>
            </w:r>
            <w:r w:rsidRPr="004A515A">
              <w:rPr>
                <w:rFonts w:asciiTheme="minorHAnsi" w:hAnsiTheme="minorHAnsi" w:cs="Arial"/>
                <w:sz w:val="22"/>
                <w:szCs w:val="22"/>
              </w:rPr>
              <w:t xml:space="preserve"> </w:t>
            </w:r>
          </w:p>
        </w:tc>
        <w:tc>
          <w:tcPr>
            <w:tcW w:w="2993" w:type="dxa"/>
            <w:tcBorders>
              <w:top w:val="single" w:sz="4" w:space="0" w:color="auto"/>
              <w:bottom w:val="single" w:sz="4" w:space="0" w:color="auto"/>
            </w:tcBorders>
            <w:shd w:val="clear" w:color="auto" w:fill="auto"/>
          </w:tcPr>
          <w:p w:rsidR="002C7A98" w:rsidRPr="004A515A" w:rsidRDefault="002C7A98" w:rsidP="0025561B">
            <w:pPr>
              <w:rPr>
                <w:rFonts w:asciiTheme="minorHAnsi" w:hAnsiTheme="minorHAnsi" w:cs="Arial"/>
                <w:sz w:val="22"/>
                <w:szCs w:val="22"/>
              </w:rPr>
            </w:pPr>
            <w:r w:rsidRPr="004A515A">
              <w:rPr>
                <w:rFonts w:asciiTheme="minorHAnsi" w:hAnsiTheme="minorHAnsi" w:cs="Arial"/>
                <w:sz w:val="22"/>
                <w:szCs w:val="22"/>
              </w:rPr>
              <w:t>XML Schema: Data Deletion Request File</w:t>
            </w:r>
            <w:r w:rsidR="00F145B6">
              <w:rPr>
                <w:rFonts w:asciiTheme="minorHAnsi" w:hAnsiTheme="minorHAnsi" w:cs="Arial"/>
                <w:sz w:val="22"/>
                <w:szCs w:val="22"/>
              </w:rPr>
              <w:t xml:space="preserve"> (v10.0)</w:t>
            </w:r>
            <w:r w:rsidRPr="004A515A">
              <w:rPr>
                <w:rFonts w:asciiTheme="minorHAnsi" w:hAnsiTheme="minorHAnsi" w:cs="Arial"/>
                <w:sz w:val="22"/>
                <w:szCs w:val="22"/>
              </w:rPr>
              <w:t xml:space="preserve">  </w:t>
            </w:r>
          </w:p>
        </w:tc>
        <w:tc>
          <w:tcPr>
            <w:tcW w:w="6030" w:type="dxa"/>
            <w:tcBorders>
              <w:top w:val="single" w:sz="4" w:space="0" w:color="auto"/>
              <w:bottom w:val="single" w:sz="4" w:space="0" w:color="auto"/>
              <w:right w:val="nil"/>
            </w:tcBorders>
          </w:tcPr>
          <w:p w:rsidR="002C7A98" w:rsidRPr="00134A16" w:rsidRDefault="00A23127" w:rsidP="00134A16">
            <w:pPr>
              <w:rPr>
                <w:rFonts w:asciiTheme="minorHAnsi" w:hAnsiTheme="minorHAnsi" w:cs="Arial"/>
                <w:sz w:val="22"/>
                <w:szCs w:val="22"/>
              </w:rPr>
            </w:pPr>
            <w:r w:rsidRPr="00134A16">
              <w:rPr>
                <w:rFonts w:asciiTheme="minorHAnsi" w:hAnsiTheme="minorHAnsi" w:cs="Arial"/>
                <w:sz w:val="22"/>
                <w:szCs w:val="22"/>
              </w:rPr>
              <w:t xml:space="preserve">XML data deletion file is not required to remove </w:t>
            </w:r>
            <w:r w:rsidR="002C7A98" w:rsidRPr="00134A16">
              <w:rPr>
                <w:rFonts w:asciiTheme="minorHAnsi" w:hAnsiTheme="minorHAnsi" w:cs="Arial"/>
                <w:sz w:val="22"/>
                <w:szCs w:val="22"/>
              </w:rPr>
              <w:t xml:space="preserve">MAT-3 </w:t>
            </w:r>
            <w:r w:rsidRPr="00134A16">
              <w:rPr>
                <w:rFonts w:asciiTheme="minorHAnsi" w:hAnsiTheme="minorHAnsi" w:cs="Arial"/>
                <w:sz w:val="22"/>
                <w:szCs w:val="22"/>
              </w:rPr>
              <w:t xml:space="preserve">files that </w:t>
            </w:r>
            <w:r w:rsidR="00F145B6" w:rsidRPr="00134A16">
              <w:rPr>
                <w:rFonts w:asciiTheme="minorHAnsi" w:hAnsiTheme="minorHAnsi" w:cs="Arial"/>
                <w:sz w:val="22"/>
                <w:szCs w:val="22"/>
              </w:rPr>
              <w:t xml:space="preserve">resulted in rejection by the portal </w:t>
            </w:r>
          </w:p>
        </w:tc>
        <w:tc>
          <w:tcPr>
            <w:tcW w:w="3150" w:type="dxa"/>
            <w:tcBorders>
              <w:top w:val="single" w:sz="4" w:space="0" w:color="auto"/>
              <w:bottom w:val="single" w:sz="4" w:space="0" w:color="auto"/>
              <w:right w:val="nil"/>
            </w:tcBorders>
          </w:tcPr>
          <w:p w:rsidR="002C7A98" w:rsidRPr="00134A16" w:rsidRDefault="00A23127" w:rsidP="00A23127">
            <w:pPr>
              <w:ind w:left="54"/>
              <w:rPr>
                <w:rFonts w:asciiTheme="minorHAnsi" w:hAnsiTheme="minorHAnsi" w:cs="Arial"/>
              </w:rPr>
            </w:pPr>
            <w:r w:rsidRPr="00134A16">
              <w:rPr>
                <w:rFonts w:asciiTheme="minorHAnsi" w:hAnsiTheme="minorHAnsi" w:cs="Arial"/>
              </w:rPr>
              <w:t xml:space="preserve">Discontinue MAT-3 deletion file option. </w:t>
            </w:r>
            <w:r w:rsidR="001F0782" w:rsidRPr="00134A16">
              <w:rPr>
                <w:rFonts w:asciiTheme="minorHAnsi" w:hAnsiTheme="minorHAnsi" w:cs="Arial"/>
              </w:rPr>
              <w:t xml:space="preserve">  </w:t>
            </w:r>
          </w:p>
        </w:tc>
      </w:tr>
      <w:tr w:rsidR="002C7A98" w:rsidRPr="004A515A" w:rsidTr="00F145B6">
        <w:trPr>
          <w:trHeight w:val="70"/>
        </w:trPr>
        <w:tc>
          <w:tcPr>
            <w:tcW w:w="1975" w:type="dxa"/>
            <w:tcBorders>
              <w:top w:val="single" w:sz="4" w:space="0" w:color="auto"/>
              <w:left w:val="nil"/>
              <w:bottom w:val="single" w:sz="4" w:space="0" w:color="auto"/>
            </w:tcBorders>
            <w:shd w:val="clear" w:color="auto" w:fill="auto"/>
          </w:tcPr>
          <w:p w:rsidR="002C7A98" w:rsidRPr="004A515A" w:rsidRDefault="002C7A98" w:rsidP="0025561B">
            <w:pPr>
              <w:contextualSpacing/>
              <w:rPr>
                <w:rFonts w:asciiTheme="minorHAnsi" w:hAnsiTheme="minorHAnsi" w:cs="Arial"/>
                <w:smallCaps/>
                <w:sz w:val="22"/>
                <w:szCs w:val="22"/>
              </w:rPr>
            </w:pPr>
            <w:r w:rsidRPr="004A515A">
              <w:rPr>
                <w:rFonts w:asciiTheme="minorHAnsi" w:hAnsiTheme="minorHAnsi" w:cs="Arial"/>
                <w:b/>
                <w:sz w:val="22"/>
                <w:szCs w:val="22"/>
              </w:rPr>
              <w:t>Appendix A-10</w:t>
            </w:r>
            <w:r w:rsidRPr="004A515A">
              <w:rPr>
                <w:rFonts w:asciiTheme="minorHAnsi" w:hAnsiTheme="minorHAnsi" w:cs="Arial"/>
                <w:sz w:val="22"/>
                <w:szCs w:val="22"/>
              </w:rPr>
              <w:t xml:space="preserve"> </w:t>
            </w:r>
          </w:p>
        </w:tc>
        <w:tc>
          <w:tcPr>
            <w:tcW w:w="2993" w:type="dxa"/>
            <w:tcBorders>
              <w:top w:val="single" w:sz="4" w:space="0" w:color="auto"/>
              <w:bottom w:val="single" w:sz="4" w:space="0" w:color="auto"/>
            </w:tcBorders>
            <w:shd w:val="clear" w:color="auto" w:fill="auto"/>
          </w:tcPr>
          <w:p w:rsidR="002C7A98" w:rsidRPr="002C7A98" w:rsidRDefault="002C7A98" w:rsidP="00C66EF6">
            <w:pPr>
              <w:rPr>
                <w:rFonts w:asciiTheme="minorHAnsi" w:hAnsiTheme="minorHAnsi" w:cs="Arial"/>
                <w:sz w:val="22"/>
                <w:szCs w:val="22"/>
              </w:rPr>
            </w:pPr>
            <w:r w:rsidRPr="002C7A98">
              <w:rPr>
                <w:rFonts w:asciiTheme="minorHAnsi" w:hAnsiTheme="minorHAnsi" w:cs="Arial"/>
                <w:sz w:val="22"/>
                <w:szCs w:val="22"/>
              </w:rPr>
              <w:t xml:space="preserve">MassHealth </w:t>
            </w:r>
            <w:r w:rsidR="00C66EF6">
              <w:rPr>
                <w:rFonts w:asciiTheme="minorHAnsi" w:hAnsiTheme="minorHAnsi" w:cs="Arial"/>
                <w:sz w:val="22"/>
                <w:szCs w:val="22"/>
              </w:rPr>
              <w:t xml:space="preserve">Specific Measures </w:t>
            </w:r>
            <w:r w:rsidR="00F145B6">
              <w:rPr>
                <w:rFonts w:asciiTheme="minorHAnsi" w:hAnsiTheme="minorHAnsi" w:cs="Arial"/>
                <w:sz w:val="22"/>
                <w:szCs w:val="22"/>
              </w:rPr>
              <w:t>Data Dictionary  (v10.0)</w:t>
            </w:r>
          </w:p>
        </w:tc>
        <w:tc>
          <w:tcPr>
            <w:tcW w:w="6030" w:type="dxa"/>
            <w:tcBorders>
              <w:top w:val="single" w:sz="4" w:space="0" w:color="auto"/>
              <w:bottom w:val="single" w:sz="4" w:space="0" w:color="auto"/>
              <w:right w:val="nil"/>
            </w:tcBorders>
          </w:tcPr>
          <w:p w:rsidR="002C7A98" w:rsidRPr="00134A16" w:rsidRDefault="00134A16" w:rsidP="00134A16">
            <w:pPr>
              <w:rPr>
                <w:rFonts w:asciiTheme="minorHAnsi" w:hAnsiTheme="minorHAnsi" w:cs="Arial"/>
                <w:sz w:val="22"/>
                <w:szCs w:val="22"/>
              </w:rPr>
            </w:pPr>
            <w:r>
              <w:rPr>
                <w:rFonts w:asciiTheme="minorHAnsi" w:hAnsiTheme="minorHAnsi" w:cs="Arial"/>
                <w:sz w:val="22"/>
                <w:szCs w:val="22"/>
              </w:rPr>
              <w:t>MAT-3 l</w:t>
            </w:r>
            <w:r w:rsidR="002C7A98" w:rsidRPr="00134A16">
              <w:rPr>
                <w:rFonts w:asciiTheme="minorHAnsi" w:hAnsiTheme="minorHAnsi" w:cs="Arial"/>
                <w:sz w:val="22"/>
                <w:szCs w:val="22"/>
              </w:rPr>
              <w:t xml:space="preserve">abor and prior uterine surgery data </w:t>
            </w:r>
            <w:r>
              <w:rPr>
                <w:rFonts w:asciiTheme="minorHAnsi" w:hAnsiTheme="minorHAnsi" w:cs="Arial"/>
                <w:sz w:val="22"/>
                <w:szCs w:val="22"/>
              </w:rPr>
              <w:t xml:space="preserve">element </w:t>
            </w:r>
            <w:r w:rsidR="002C7A98" w:rsidRPr="00134A16">
              <w:rPr>
                <w:rFonts w:asciiTheme="minorHAnsi" w:hAnsiTheme="minorHAnsi" w:cs="Arial"/>
                <w:sz w:val="22"/>
                <w:szCs w:val="22"/>
              </w:rPr>
              <w:t xml:space="preserve">definitions are not applicable as of Q1-2017 </w:t>
            </w:r>
          </w:p>
        </w:tc>
        <w:tc>
          <w:tcPr>
            <w:tcW w:w="3150" w:type="dxa"/>
            <w:tcBorders>
              <w:top w:val="single" w:sz="4" w:space="0" w:color="auto"/>
              <w:bottom w:val="single" w:sz="4" w:space="0" w:color="auto"/>
              <w:right w:val="nil"/>
            </w:tcBorders>
          </w:tcPr>
          <w:p w:rsidR="002C7A98" w:rsidRPr="00134A16" w:rsidRDefault="002C7A98" w:rsidP="001F0782">
            <w:pPr>
              <w:ind w:left="54"/>
              <w:rPr>
                <w:rFonts w:cs="Arial"/>
              </w:rPr>
            </w:pPr>
            <w:r w:rsidRPr="00134A16">
              <w:rPr>
                <w:rFonts w:asciiTheme="minorHAnsi" w:hAnsiTheme="minorHAnsi" w:cs="Arial"/>
                <w:sz w:val="22"/>
                <w:szCs w:val="22"/>
              </w:rPr>
              <w:t xml:space="preserve">Discontinue MAT-3 </w:t>
            </w:r>
            <w:r w:rsidR="001F0782" w:rsidRPr="00134A16">
              <w:rPr>
                <w:rFonts w:asciiTheme="minorHAnsi" w:hAnsiTheme="minorHAnsi" w:cs="Arial"/>
                <w:sz w:val="22"/>
                <w:szCs w:val="22"/>
              </w:rPr>
              <w:t>data elements</w:t>
            </w:r>
          </w:p>
        </w:tc>
      </w:tr>
      <w:tr w:rsidR="002C7A98" w:rsidRPr="004A515A" w:rsidTr="00F145B6">
        <w:tc>
          <w:tcPr>
            <w:tcW w:w="1975" w:type="dxa"/>
            <w:tcBorders>
              <w:top w:val="single" w:sz="4" w:space="0" w:color="auto"/>
              <w:left w:val="nil"/>
              <w:bottom w:val="single" w:sz="4" w:space="0" w:color="auto"/>
            </w:tcBorders>
            <w:shd w:val="clear" w:color="auto" w:fill="auto"/>
          </w:tcPr>
          <w:p w:rsidR="002C7A98" w:rsidRPr="004A515A" w:rsidRDefault="002C7A98" w:rsidP="004A515A">
            <w:pPr>
              <w:contextualSpacing/>
              <w:rPr>
                <w:rFonts w:asciiTheme="minorHAnsi" w:hAnsiTheme="minorHAnsi" w:cs="Arial"/>
                <w:bCs/>
                <w:sz w:val="22"/>
                <w:szCs w:val="22"/>
              </w:rPr>
            </w:pPr>
            <w:r w:rsidRPr="004A515A">
              <w:rPr>
                <w:rFonts w:asciiTheme="minorHAnsi" w:hAnsiTheme="minorHAnsi" w:cs="Arial"/>
                <w:b/>
                <w:bCs/>
                <w:sz w:val="22"/>
                <w:szCs w:val="22"/>
              </w:rPr>
              <w:t>Appendix A-11</w:t>
            </w:r>
          </w:p>
        </w:tc>
        <w:tc>
          <w:tcPr>
            <w:tcW w:w="2993" w:type="dxa"/>
            <w:tcBorders>
              <w:top w:val="single" w:sz="4" w:space="0" w:color="auto"/>
              <w:bottom w:val="single" w:sz="4" w:space="0" w:color="auto"/>
            </w:tcBorders>
            <w:shd w:val="clear" w:color="auto" w:fill="auto"/>
          </w:tcPr>
          <w:p w:rsidR="002C7A98" w:rsidRPr="002C7A98" w:rsidRDefault="002C7A98" w:rsidP="0025561B">
            <w:pPr>
              <w:rPr>
                <w:rFonts w:asciiTheme="minorHAnsi" w:hAnsiTheme="minorHAnsi" w:cs="Arial"/>
                <w:bCs/>
                <w:sz w:val="22"/>
                <w:szCs w:val="22"/>
              </w:rPr>
            </w:pPr>
            <w:r w:rsidRPr="002C7A98">
              <w:rPr>
                <w:rFonts w:asciiTheme="minorHAnsi" w:hAnsiTheme="minorHAnsi" w:cs="Arial"/>
                <w:bCs/>
                <w:sz w:val="22"/>
                <w:szCs w:val="22"/>
              </w:rPr>
              <w:t xml:space="preserve">MassHealth Measure Calculation Rules  </w:t>
            </w:r>
            <w:r w:rsidR="00F145B6">
              <w:rPr>
                <w:rFonts w:asciiTheme="minorHAnsi" w:hAnsiTheme="minorHAnsi" w:cs="Arial"/>
                <w:bCs/>
                <w:sz w:val="22"/>
                <w:szCs w:val="22"/>
              </w:rPr>
              <w:t xml:space="preserve"> (v10.0)</w:t>
            </w:r>
          </w:p>
        </w:tc>
        <w:tc>
          <w:tcPr>
            <w:tcW w:w="6030" w:type="dxa"/>
            <w:tcBorders>
              <w:top w:val="single" w:sz="4" w:space="0" w:color="auto"/>
              <w:bottom w:val="single" w:sz="4" w:space="0" w:color="auto"/>
              <w:right w:val="nil"/>
            </w:tcBorders>
          </w:tcPr>
          <w:p w:rsidR="002C7A98" w:rsidRPr="00134A16" w:rsidRDefault="002C7A98" w:rsidP="00134A16">
            <w:pPr>
              <w:rPr>
                <w:rFonts w:asciiTheme="minorHAnsi" w:hAnsiTheme="minorHAnsi" w:cs="Arial"/>
                <w:bCs/>
                <w:sz w:val="22"/>
                <w:szCs w:val="22"/>
              </w:rPr>
            </w:pPr>
            <w:r w:rsidRPr="00134A16">
              <w:rPr>
                <w:rFonts w:asciiTheme="minorHAnsi" w:hAnsiTheme="minorHAnsi" w:cs="Arial"/>
                <w:bCs/>
                <w:sz w:val="22"/>
                <w:szCs w:val="22"/>
              </w:rPr>
              <w:t>MAT-3 rules are not applicable as of Q1-2017</w:t>
            </w:r>
          </w:p>
        </w:tc>
        <w:tc>
          <w:tcPr>
            <w:tcW w:w="3150" w:type="dxa"/>
            <w:tcBorders>
              <w:top w:val="single" w:sz="4" w:space="0" w:color="auto"/>
              <w:bottom w:val="single" w:sz="4" w:space="0" w:color="auto"/>
              <w:right w:val="nil"/>
            </w:tcBorders>
          </w:tcPr>
          <w:p w:rsidR="002C7A98" w:rsidRPr="00134A16" w:rsidRDefault="002C7A98" w:rsidP="001F0782">
            <w:pPr>
              <w:ind w:left="54"/>
              <w:rPr>
                <w:rFonts w:cs="Arial"/>
                <w:bCs/>
              </w:rPr>
            </w:pPr>
            <w:r w:rsidRPr="00134A16">
              <w:rPr>
                <w:rFonts w:asciiTheme="minorHAnsi" w:hAnsiTheme="minorHAnsi" w:cs="Arial"/>
                <w:sz w:val="22"/>
                <w:szCs w:val="22"/>
              </w:rPr>
              <w:t xml:space="preserve">Discontinue MAT-3 </w:t>
            </w:r>
            <w:r w:rsidR="001F0782" w:rsidRPr="00134A16">
              <w:rPr>
                <w:rFonts w:asciiTheme="minorHAnsi" w:hAnsiTheme="minorHAnsi" w:cs="Arial"/>
                <w:sz w:val="22"/>
                <w:szCs w:val="22"/>
              </w:rPr>
              <w:t>calculation</w:t>
            </w:r>
          </w:p>
        </w:tc>
      </w:tr>
    </w:tbl>
    <w:p w:rsidR="004A515A" w:rsidRPr="004A515A" w:rsidRDefault="004A515A" w:rsidP="00CC1B7F">
      <w:pPr>
        <w:tabs>
          <w:tab w:val="left" w:pos="720"/>
        </w:tabs>
        <w:autoSpaceDE w:val="0"/>
        <w:autoSpaceDN w:val="0"/>
        <w:adjustRightInd w:val="0"/>
        <w:spacing w:after="0" w:line="240" w:lineRule="auto"/>
        <w:rPr>
          <w:rFonts w:cs="Arial"/>
        </w:rPr>
      </w:pPr>
    </w:p>
    <w:p w:rsidR="00CC1B7F" w:rsidRPr="004A515A" w:rsidRDefault="004A515A" w:rsidP="00F72CE9">
      <w:pPr>
        <w:tabs>
          <w:tab w:val="left" w:pos="720"/>
        </w:tabs>
        <w:autoSpaceDE w:val="0"/>
        <w:autoSpaceDN w:val="0"/>
        <w:adjustRightInd w:val="0"/>
        <w:spacing w:after="0" w:line="240" w:lineRule="auto"/>
        <w:rPr>
          <w:rFonts w:cs="Arial"/>
        </w:rPr>
      </w:pPr>
      <w:r>
        <w:rPr>
          <w:rFonts w:cs="Arial"/>
        </w:rPr>
        <w:t xml:space="preserve">Contact the </w:t>
      </w:r>
      <w:r w:rsidR="00CC1B7F" w:rsidRPr="004A515A">
        <w:rPr>
          <w:rFonts w:cs="Arial"/>
        </w:rPr>
        <w:t xml:space="preserve">MassQEX Help Desk at 844-546-1343 or  </w:t>
      </w:r>
      <w:hyperlink r:id="rId18" w:history="1">
        <w:r w:rsidR="00CC1B7F" w:rsidRPr="004A515A">
          <w:rPr>
            <w:rStyle w:val="Hyperlink"/>
            <w:rFonts w:cs="Arial"/>
          </w:rPr>
          <w:t>massqexhelp@telligen.com</w:t>
        </w:r>
      </w:hyperlink>
      <w:r w:rsidR="00CC1B7F" w:rsidRPr="004A515A">
        <w:rPr>
          <w:rFonts w:cs="Arial"/>
        </w:rPr>
        <w:t xml:space="preserve">  </w:t>
      </w:r>
      <w:r w:rsidR="00134A16">
        <w:rPr>
          <w:rFonts w:cs="Arial"/>
        </w:rPr>
        <w:t xml:space="preserve">if you have any questions about </w:t>
      </w:r>
      <w:r w:rsidR="001F0782">
        <w:rPr>
          <w:rFonts w:cs="Arial"/>
        </w:rPr>
        <w:t xml:space="preserve">EOHHS manual versions that apply to quarter reporting. </w:t>
      </w:r>
    </w:p>
    <w:sectPr w:rsidR="00CC1B7F" w:rsidRPr="004A515A" w:rsidSect="000F1139">
      <w:pgSz w:w="15840" w:h="12240" w:orient="landscape"/>
      <w:pgMar w:top="1008" w:right="547" w:bottom="1008" w:left="1008" w:header="36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986" w:rsidRDefault="00631986" w:rsidP="00BA5A8B">
      <w:pPr>
        <w:spacing w:after="0" w:line="240" w:lineRule="auto"/>
      </w:pPr>
      <w:r>
        <w:separator/>
      </w:r>
    </w:p>
  </w:endnote>
  <w:endnote w:type="continuationSeparator" w:id="0">
    <w:p w:rsidR="00631986" w:rsidRDefault="00631986" w:rsidP="00BA5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4FB" w:rsidRDefault="00FA44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DD9" w:rsidRPr="002C7A98" w:rsidRDefault="00342DD9" w:rsidP="00A96BF2">
    <w:pPr>
      <w:pBdr>
        <w:top w:val="single" w:sz="4" w:space="1" w:color="auto"/>
      </w:pBdr>
      <w:tabs>
        <w:tab w:val="center" w:pos="8460"/>
        <w:tab w:val="right" w:pos="8640"/>
      </w:tabs>
      <w:spacing w:after="0" w:line="240" w:lineRule="auto"/>
      <w:rPr>
        <w:rFonts w:eastAsia="Times New Roman" w:cs="Arial"/>
        <w:sz w:val="20"/>
        <w:szCs w:val="20"/>
        <w:lang w:eastAsia="x-none"/>
      </w:rPr>
    </w:pPr>
    <w:r w:rsidRPr="001F0782">
      <w:rPr>
        <w:rFonts w:eastAsia="Times New Roman" w:cs="Arial"/>
        <w:sz w:val="16"/>
        <w:szCs w:val="16"/>
        <w:lang w:val="x-none" w:eastAsia="x-none"/>
      </w:rPr>
      <w:t>RY201</w:t>
    </w:r>
    <w:r w:rsidRPr="001F0782">
      <w:rPr>
        <w:rFonts w:eastAsia="Times New Roman" w:cs="Arial"/>
        <w:sz w:val="16"/>
        <w:szCs w:val="16"/>
        <w:lang w:eastAsia="x-none"/>
      </w:rPr>
      <w:t>7</w:t>
    </w:r>
    <w:r w:rsidRPr="001F0782">
      <w:rPr>
        <w:rFonts w:eastAsia="Times New Roman" w:cs="Arial"/>
        <w:sz w:val="16"/>
        <w:szCs w:val="16"/>
        <w:lang w:val="x-none" w:eastAsia="x-none"/>
      </w:rPr>
      <w:t xml:space="preserve"> EOHHS </w:t>
    </w:r>
    <w:r w:rsidRPr="001F0782">
      <w:rPr>
        <w:rFonts w:eastAsia="Times New Roman" w:cs="Arial"/>
        <w:sz w:val="16"/>
        <w:szCs w:val="16"/>
        <w:lang w:eastAsia="x-none"/>
      </w:rPr>
      <w:t xml:space="preserve">Manual Release Notes </w:t>
    </w:r>
    <w:r w:rsidRPr="001F0782">
      <w:rPr>
        <w:rFonts w:eastAsia="Times New Roman" w:cs="Arial"/>
        <w:sz w:val="16"/>
        <w:szCs w:val="16"/>
        <w:lang w:val="x-none" w:eastAsia="x-none"/>
      </w:rPr>
      <w:t>(</w:t>
    </w:r>
    <w:r w:rsidRPr="001F0782">
      <w:rPr>
        <w:rFonts w:eastAsia="Times New Roman" w:cs="Arial"/>
        <w:sz w:val="16"/>
        <w:szCs w:val="16"/>
        <w:lang w:eastAsia="x-none"/>
      </w:rPr>
      <w:t>Version 10.</w:t>
    </w:r>
    <w:r w:rsidR="00254FF9" w:rsidRPr="001F0782">
      <w:rPr>
        <w:rFonts w:eastAsia="Times New Roman" w:cs="Arial"/>
        <w:sz w:val="16"/>
        <w:szCs w:val="16"/>
        <w:lang w:eastAsia="x-none"/>
      </w:rPr>
      <w:t>0a</w:t>
    </w:r>
    <w:r w:rsidRPr="001F0782">
      <w:rPr>
        <w:rFonts w:eastAsia="Times New Roman" w:cs="Arial"/>
        <w:sz w:val="16"/>
        <w:szCs w:val="16"/>
        <w:lang w:val="x-none" w:eastAsia="x-none"/>
      </w:rPr>
      <w:t>)</w:t>
    </w:r>
    <w:r w:rsidRPr="001F0782">
      <w:rPr>
        <w:rFonts w:cs="Arial"/>
        <w:sz w:val="20"/>
        <w:szCs w:val="20"/>
      </w:rPr>
      <w:t xml:space="preserve">                      </w:t>
    </w:r>
    <w:r w:rsidRPr="001F0782">
      <w:rPr>
        <w:rFonts w:cs="Arial"/>
        <w:sz w:val="20"/>
        <w:szCs w:val="20"/>
      </w:rPr>
      <w:tab/>
    </w:r>
    <w:r w:rsidRPr="001F0782">
      <w:rPr>
        <w:rFonts w:cs="Arial"/>
        <w:sz w:val="20"/>
        <w:szCs w:val="20"/>
      </w:rPr>
      <w:tab/>
      <w:t xml:space="preserve">           </w:t>
    </w:r>
    <w:r w:rsidR="001F0782">
      <w:rPr>
        <w:rFonts w:cs="Arial"/>
        <w:sz w:val="20"/>
        <w:szCs w:val="20"/>
      </w:rPr>
      <w:t xml:space="preserve">               </w:t>
    </w:r>
    <w:r w:rsidRPr="001F0782">
      <w:rPr>
        <w:rFonts w:cs="Arial"/>
        <w:sz w:val="20"/>
        <w:szCs w:val="20"/>
      </w:rPr>
      <w:t xml:space="preserve"> </w:t>
    </w:r>
    <w:r w:rsidRPr="001F0782">
      <w:rPr>
        <w:rFonts w:cs="Arial"/>
        <w:sz w:val="18"/>
        <w:szCs w:val="18"/>
      </w:rPr>
      <w:t xml:space="preserve">Page </w:t>
    </w:r>
    <w:sdt>
      <w:sdtPr>
        <w:rPr>
          <w:rFonts w:cs="Arial"/>
          <w:sz w:val="18"/>
          <w:szCs w:val="18"/>
        </w:rPr>
        <w:id w:val="1182314468"/>
        <w:docPartObj>
          <w:docPartGallery w:val="Page Numbers (Bottom of Page)"/>
          <w:docPartUnique/>
        </w:docPartObj>
      </w:sdtPr>
      <w:sdtEndPr>
        <w:rPr>
          <w:noProof/>
        </w:rPr>
      </w:sdtEndPr>
      <w:sdtContent>
        <w:r w:rsidRPr="001F0782">
          <w:rPr>
            <w:rFonts w:cs="Arial"/>
            <w:sz w:val="18"/>
            <w:szCs w:val="18"/>
          </w:rPr>
          <w:fldChar w:fldCharType="begin"/>
        </w:r>
        <w:r w:rsidRPr="001F0782">
          <w:rPr>
            <w:rFonts w:cs="Arial"/>
            <w:sz w:val="18"/>
            <w:szCs w:val="18"/>
          </w:rPr>
          <w:instrText xml:space="preserve"> PAGE   \* MERGEFORMAT </w:instrText>
        </w:r>
        <w:r w:rsidRPr="001F0782">
          <w:rPr>
            <w:rFonts w:cs="Arial"/>
            <w:sz w:val="18"/>
            <w:szCs w:val="18"/>
          </w:rPr>
          <w:fldChar w:fldCharType="separate"/>
        </w:r>
        <w:r w:rsidR="005E0F2C">
          <w:rPr>
            <w:rFonts w:cs="Arial"/>
            <w:noProof/>
            <w:sz w:val="18"/>
            <w:szCs w:val="18"/>
          </w:rPr>
          <w:t>2</w:t>
        </w:r>
        <w:r w:rsidRPr="001F0782">
          <w:rPr>
            <w:rFonts w:cs="Arial"/>
            <w:noProof/>
            <w:sz w:val="18"/>
            <w:szCs w:val="18"/>
          </w:rPr>
          <w:fldChar w:fldCharType="end"/>
        </w:r>
        <w:r w:rsidRPr="001F0782">
          <w:rPr>
            <w:rFonts w:cs="Arial"/>
            <w:noProof/>
            <w:sz w:val="18"/>
            <w:szCs w:val="18"/>
          </w:rPr>
          <w:t xml:space="preserve">                                                                                                                </w:t>
        </w:r>
        <w:r w:rsidRPr="001F0782">
          <w:rPr>
            <w:rFonts w:eastAsia="Times New Roman" w:cs="Arial"/>
            <w:sz w:val="16"/>
            <w:szCs w:val="16"/>
            <w:lang w:val="x-none" w:eastAsia="x-none"/>
          </w:rPr>
          <w:t xml:space="preserve"> Effective with Q</w:t>
        </w:r>
        <w:r w:rsidRPr="001F0782">
          <w:rPr>
            <w:rFonts w:eastAsia="Times New Roman" w:cs="Arial"/>
            <w:sz w:val="16"/>
            <w:szCs w:val="16"/>
            <w:lang w:eastAsia="x-none"/>
          </w:rPr>
          <w:t>1</w:t>
        </w:r>
        <w:r w:rsidRPr="001F0782">
          <w:rPr>
            <w:rFonts w:eastAsia="Times New Roman" w:cs="Arial"/>
            <w:sz w:val="16"/>
            <w:szCs w:val="16"/>
            <w:lang w:val="x-none" w:eastAsia="x-none"/>
          </w:rPr>
          <w:t>-201</w:t>
        </w:r>
        <w:r w:rsidRPr="001F0782">
          <w:rPr>
            <w:rFonts w:eastAsia="Times New Roman" w:cs="Arial"/>
            <w:sz w:val="16"/>
            <w:szCs w:val="16"/>
            <w:lang w:eastAsia="x-none"/>
          </w:rPr>
          <w:t>7</w:t>
        </w:r>
        <w:r w:rsidRPr="001F0782">
          <w:rPr>
            <w:rFonts w:eastAsia="Times New Roman" w:cs="Arial"/>
            <w:sz w:val="16"/>
            <w:szCs w:val="16"/>
            <w:lang w:val="x-none" w:eastAsia="x-none"/>
          </w:rPr>
          <w:t xml:space="preserve"> discharge (</w:t>
        </w:r>
        <w:r w:rsidRPr="001F0782">
          <w:rPr>
            <w:rFonts w:eastAsia="Times New Roman" w:cs="Arial"/>
            <w:sz w:val="16"/>
            <w:szCs w:val="16"/>
            <w:lang w:eastAsia="x-none"/>
          </w:rPr>
          <w:t xml:space="preserve">01/01/17 – 03/01/17) </w:t>
        </w:r>
      </w:sdtContent>
    </w:sdt>
  </w:p>
  <w:p w:rsidR="00342DD9" w:rsidRPr="00AD0261" w:rsidRDefault="00342DD9" w:rsidP="00AD02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4FB" w:rsidRDefault="00FA44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986" w:rsidRDefault="00631986" w:rsidP="00BA5A8B">
      <w:pPr>
        <w:spacing w:after="0" w:line="240" w:lineRule="auto"/>
      </w:pPr>
      <w:r>
        <w:separator/>
      </w:r>
    </w:p>
  </w:footnote>
  <w:footnote w:type="continuationSeparator" w:id="0">
    <w:p w:rsidR="00631986" w:rsidRDefault="00631986" w:rsidP="00BA5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4FB" w:rsidRDefault="00FA44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DD9" w:rsidRPr="003B770E" w:rsidRDefault="00342DD9" w:rsidP="009054D7">
    <w:pPr>
      <w:tabs>
        <w:tab w:val="center" w:pos="5040"/>
        <w:tab w:val="left" w:pos="7272"/>
      </w:tabs>
      <w:spacing w:after="0" w:line="240" w:lineRule="auto"/>
      <w:jc w:val="right"/>
      <w:rPr>
        <w:rFonts w:ascii="Times New Roman" w:hAnsi="Times New Roman" w:cs="Times New Roman"/>
        <w:i/>
      </w:rPr>
    </w:pPr>
    <w:r w:rsidRPr="00BA5A8B">
      <w:rPr>
        <w:rFonts w:asciiTheme="majorHAnsi" w:hAnsiTheme="majorHAnsi"/>
        <w:b/>
        <w:color w:val="0070C0"/>
        <w:sz w:val="28"/>
        <w:szCs w:val="28"/>
      </w:rPr>
      <w:tab/>
    </w:r>
    <w:r w:rsidRPr="003B770E">
      <w:rPr>
        <w:rFonts w:ascii="Times New Roman" w:hAnsi="Times New Roman" w:cs="Times New Roman"/>
        <w:i/>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4FB" w:rsidRDefault="00FA44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1E0"/>
    <w:multiLevelType w:val="hybridMultilevel"/>
    <w:tmpl w:val="1584A7FC"/>
    <w:lvl w:ilvl="0" w:tplc="86BE9BCA">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F3D4D"/>
    <w:multiLevelType w:val="hybridMultilevel"/>
    <w:tmpl w:val="99C21E1C"/>
    <w:lvl w:ilvl="0" w:tplc="CF42A252">
      <w:start w:val="1"/>
      <w:numFmt w:val="bullet"/>
      <w:lvlText w:val=""/>
      <w:lvlJc w:val="left"/>
      <w:pPr>
        <w:ind w:left="360" w:hanging="360"/>
      </w:pPr>
      <w:rPr>
        <w:rFonts w:ascii="Symbol" w:hAnsi="Symbol" w:hint="default"/>
        <w:b w:val="0"/>
        <w:i w:val="0"/>
        <w:color w:val="auto"/>
        <w:sz w:val="16"/>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596CE4"/>
    <w:multiLevelType w:val="hybridMultilevel"/>
    <w:tmpl w:val="7A860DCE"/>
    <w:lvl w:ilvl="0" w:tplc="706AF20C">
      <w:start w:val="1"/>
      <w:numFmt w:val="bullet"/>
      <w:lvlText w:val=""/>
      <w:lvlJc w:val="left"/>
      <w:pPr>
        <w:ind w:left="720" w:hanging="360"/>
      </w:pPr>
      <w:rPr>
        <w:rFonts w:ascii="Symbol" w:hAnsi="Symbol" w:hint="default"/>
        <w:b w:val="0"/>
        <w:i w:val="0"/>
        <w:color w:val="auto"/>
        <w:sz w:val="16"/>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8198D"/>
    <w:multiLevelType w:val="hybridMultilevel"/>
    <w:tmpl w:val="F94CA3E4"/>
    <w:lvl w:ilvl="0" w:tplc="B81CB6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D7685"/>
    <w:multiLevelType w:val="hybridMultilevel"/>
    <w:tmpl w:val="E1A28D0C"/>
    <w:lvl w:ilvl="0" w:tplc="B5502AC8">
      <w:start w:val="1"/>
      <w:numFmt w:val="bullet"/>
      <w:lvlText w:val=""/>
      <w:lvlJc w:val="left"/>
      <w:pPr>
        <w:ind w:left="180" w:hanging="360"/>
      </w:pPr>
      <w:rPr>
        <w:rFonts w:ascii="Symbol" w:hAnsi="Symbol" w:hint="default"/>
        <w:color w:val="auto"/>
        <w:sz w:val="18"/>
        <w:szCs w:val="28"/>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nsid w:val="147D314D"/>
    <w:multiLevelType w:val="hybridMultilevel"/>
    <w:tmpl w:val="345049FE"/>
    <w:lvl w:ilvl="0" w:tplc="0AAE0F24">
      <w:start w:val="1"/>
      <w:numFmt w:val="bullet"/>
      <w:lvlText w:val=""/>
      <w:lvlJc w:val="left"/>
      <w:pPr>
        <w:ind w:left="720" w:hanging="360"/>
      </w:pPr>
      <w:rPr>
        <w:rFonts w:ascii="Symbol" w:hAnsi="Symbol" w:hint="default"/>
        <w:b w:val="0"/>
        <w:i w:val="0"/>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A04C6"/>
    <w:multiLevelType w:val="hybridMultilevel"/>
    <w:tmpl w:val="B1C66458"/>
    <w:lvl w:ilvl="0" w:tplc="E95AA7A0">
      <w:start w:val="1"/>
      <w:numFmt w:val="bullet"/>
      <w:lvlText w:val=""/>
      <w:lvlJc w:val="left"/>
      <w:pPr>
        <w:ind w:left="360" w:hanging="360"/>
      </w:pPr>
      <w:rPr>
        <w:rFonts w:ascii="Symbol" w:hAnsi="Symbol" w:hint="default"/>
        <w:b w:val="0"/>
        <w:i w:val="0"/>
        <w:color w:val="auto"/>
        <w:sz w:val="16"/>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D712BF"/>
    <w:multiLevelType w:val="hybridMultilevel"/>
    <w:tmpl w:val="FE48DA3A"/>
    <w:lvl w:ilvl="0" w:tplc="706AF20C">
      <w:start w:val="1"/>
      <w:numFmt w:val="bullet"/>
      <w:lvlText w:val=""/>
      <w:lvlJc w:val="left"/>
      <w:pPr>
        <w:ind w:left="360" w:hanging="360"/>
      </w:pPr>
      <w:rPr>
        <w:rFonts w:ascii="Symbol" w:hAnsi="Symbol" w:hint="default"/>
        <w:b w:val="0"/>
        <w:i w:val="0"/>
        <w:color w:val="auto"/>
        <w:sz w:val="16"/>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516442"/>
    <w:multiLevelType w:val="hybridMultilevel"/>
    <w:tmpl w:val="6D502DC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291D4A"/>
    <w:multiLevelType w:val="hybridMultilevel"/>
    <w:tmpl w:val="C4E29C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DF42FC2"/>
    <w:multiLevelType w:val="hybridMultilevel"/>
    <w:tmpl w:val="E7E4CE6C"/>
    <w:lvl w:ilvl="0" w:tplc="706AF20C">
      <w:start w:val="1"/>
      <w:numFmt w:val="bullet"/>
      <w:lvlText w:val=""/>
      <w:lvlJc w:val="left"/>
      <w:pPr>
        <w:ind w:left="720" w:hanging="360"/>
      </w:pPr>
      <w:rPr>
        <w:rFonts w:ascii="Symbol" w:hAnsi="Symbol" w:hint="default"/>
        <w:b w:val="0"/>
        <w:i w:val="0"/>
        <w:color w:val="auto"/>
        <w:sz w:val="16"/>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8D616F"/>
    <w:multiLevelType w:val="hybridMultilevel"/>
    <w:tmpl w:val="04BE5148"/>
    <w:lvl w:ilvl="0" w:tplc="D0DCFD4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DD23791"/>
    <w:multiLevelType w:val="hybridMultilevel"/>
    <w:tmpl w:val="062C345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2862C1D"/>
    <w:multiLevelType w:val="hybridMultilevel"/>
    <w:tmpl w:val="D4766D66"/>
    <w:lvl w:ilvl="0" w:tplc="B81CB64C">
      <w:start w:val="1"/>
      <w:numFmt w:val="bullet"/>
      <w:lvlText w:val=""/>
      <w:lvlJc w:val="left"/>
      <w:pPr>
        <w:ind w:left="720" w:hanging="360"/>
      </w:pPr>
      <w:rPr>
        <w:rFonts w:ascii="Symbol" w:hAnsi="Symbol" w:hint="default"/>
        <w:b w:val="0"/>
        <w:i w:val="0"/>
        <w:color w:val="auto"/>
        <w:sz w:val="16"/>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9844A4"/>
    <w:multiLevelType w:val="hybridMultilevel"/>
    <w:tmpl w:val="051C8318"/>
    <w:lvl w:ilvl="0" w:tplc="E4A2C07A">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7A7308"/>
    <w:multiLevelType w:val="hybridMultilevel"/>
    <w:tmpl w:val="A140C06E"/>
    <w:lvl w:ilvl="0" w:tplc="BCFA5308">
      <w:start w:val="1"/>
      <w:numFmt w:val="bullet"/>
      <w:lvlText w:val=""/>
      <w:lvlJc w:val="left"/>
      <w:pPr>
        <w:ind w:left="720" w:hanging="360"/>
      </w:pPr>
      <w:rPr>
        <w:rFonts w:ascii="Symbol" w:hAnsi="Symbol" w:hint="default"/>
        <w:b w:val="0"/>
        <w:i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320CA2"/>
    <w:multiLevelType w:val="hybridMultilevel"/>
    <w:tmpl w:val="A2EE3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DB36C9B"/>
    <w:multiLevelType w:val="hybridMultilevel"/>
    <w:tmpl w:val="2CD8C43A"/>
    <w:lvl w:ilvl="0" w:tplc="04090013">
      <w:start w:val="1"/>
      <w:numFmt w:val="upperRoman"/>
      <w:lvlText w:val="%1."/>
      <w:lvlJc w:val="right"/>
      <w:pPr>
        <w:ind w:left="360" w:hanging="360"/>
      </w:pPr>
      <w:rPr>
        <w:rFonts w:hint="default"/>
      </w:rPr>
    </w:lvl>
    <w:lvl w:ilvl="1" w:tplc="04090001">
      <w:start w:val="1"/>
      <w:numFmt w:val="bullet"/>
      <w:lvlText w:val=""/>
      <w:lvlJc w:val="left"/>
      <w:pPr>
        <w:ind w:left="1080" w:hanging="360"/>
      </w:pPr>
      <w:rPr>
        <w:rFonts w:ascii="Symbol" w:hAnsi="Symbol" w:hint="default"/>
      </w:rPr>
    </w:lvl>
    <w:lvl w:ilvl="2" w:tplc="3EE2D8F0">
      <w:start w:val="2"/>
      <w:numFmt w:val="upperLetter"/>
      <w:lvlText w:val="%3."/>
      <w:lvlJc w:val="left"/>
      <w:pPr>
        <w:ind w:left="1980" w:hanging="360"/>
      </w:pPr>
      <w:rPr>
        <w:rFonts w:hint="default"/>
      </w:rPr>
    </w:lvl>
    <w:lvl w:ilvl="3" w:tplc="04090011">
      <w:start w:val="1"/>
      <w:numFmt w:val="decimal"/>
      <w:lvlText w:val="%4)"/>
      <w:lvlJc w:val="left"/>
      <w:pPr>
        <w:ind w:left="2520" w:hanging="360"/>
      </w:pPr>
      <w:rPr>
        <w:rFonts w:hint="default"/>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30308D"/>
    <w:multiLevelType w:val="hybridMultilevel"/>
    <w:tmpl w:val="371E0AD0"/>
    <w:lvl w:ilvl="0" w:tplc="AF5E5348">
      <w:start w:val="1"/>
      <w:numFmt w:val="bullet"/>
      <w:lvlText w:val=""/>
      <w:lvlJc w:val="left"/>
      <w:pPr>
        <w:ind w:left="360" w:hanging="360"/>
      </w:pPr>
      <w:rPr>
        <w:rFonts w:ascii="Wingdings" w:hAnsi="Wingdings" w:hint="default"/>
        <w:b w:val="0"/>
        <w:i w:val="0"/>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B330C0"/>
    <w:multiLevelType w:val="hybridMultilevel"/>
    <w:tmpl w:val="050CE0AC"/>
    <w:lvl w:ilvl="0" w:tplc="706AF20C">
      <w:start w:val="1"/>
      <w:numFmt w:val="bullet"/>
      <w:lvlText w:val=""/>
      <w:lvlJc w:val="left"/>
      <w:pPr>
        <w:ind w:left="360" w:hanging="360"/>
      </w:pPr>
      <w:rPr>
        <w:rFonts w:ascii="Symbol" w:hAnsi="Symbol" w:hint="default"/>
        <w:b w:val="0"/>
        <w:i w:val="0"/>
        <w:color w:val="auto"/>
        <w:sz w:val="16"/>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C7C2A69"/>
    <w:multiLevelType w:val="hybridMultilevel"/>
    <w:tmpl w:val="DE6A3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8"/>
  </w:num>
  <w:num w:numId="3">
    <w:abstractNumId w:val="1"/>
  </w:num>
  <w:num w:numId="4">
    <w:abstractNumId w:val="6"/>
  </w:num>
  <w:num w:numId="5">
    <w:abstractNumId w:val="19"/>
  </w:num>
  <w:num w:numId="6">
    <w:abstractNumId w:val="10"/>
  </w:num>
  <w:num w:numId="7">
    <w:abstractNumId w:val="16"/>
  </w:num>
  <w:num w:numId="8">
    <w:abstractNumId w:val="17"/>
  </w:num>
  <w:num w:numId="9">
    <w:abstractNumId w:val="8"/>
  </w:num>
  <w:num w:numId="10">
    <w:abstractNumId w:val="12"/>
  </w:num>
  <w:num w:numId="11">
    <w:abstractNumId w:val="11"/>
  </w:num>
  <w:num w:numId="12">
    <w:abstractNumId w:val="9"/>
  </w:num>
  <w:num w:numId="13">
    <w:abstractNumId w:val="4"/>
  </w:num>
  <w:num w:numId="14">
    <w:abstractNumId w:val="20"/>
  </w:num>
  <w:num w:numId="15">
    <w:abstractNumId w:val="7"/>
  </w:num>
  <w:num w:numId="16">
    <w:abstractNumId w:val="14"/>
  </w:num>
  <w:num w:numId="17">
    <w:abstractNumId w:val="0"/>
  </w:num>
  <w:num w:numId="18">
    <w:abstractNumId w:val="15"/>
  </w:num>
  <w:num w:numId="19">
    <w:abstractNumId w:val="5"/>
  </w:num>
  <w:num w:numId="20">
    <w:abstractNumId w:val="3"/>
  </w:num>
  <w:num w:numId="21">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FA"/>
    <w:rsid w:val="00003E74"/>
    <w:rsid w:val="00004ED7"/>
    <w:rsid w:val="00015A33"/>
    <w:rsid w:val="00015DAF"/>
    <w:rsid w:val="00017721"/>
    <w:rsid w:val="000273D3"/>
    <w:rsid w:val="00027D8F"/>
    <w:rsid w:val="00027FBF"/>
    <w:rsid w:val="000334C9"/>
    <w:rsid w:val="00034C57"/>
    <w:rsid w:val="00047F33"/>
    <w:rsid w:val="00047F7E"/>
    <w:rsid w:val="00052097"/>
    <w:rsid w:val="000521FE"/>
    <w:rsid w:val="00052FC2"/>
    <w:rsid w:val="00053624"/>
    <w:rsid w:val="00056D7C"/>
    <w:rsid w:val="000573D3"/>
    <w:rsid w:val="00060B46"/>
    <w:rsid w:val="00061EB2"/>
    <w:rsid w:val="00064FAC"/>
    <w:rsid w:val="00067425"/>
    <w:rsid w:val="00067922"/>
    <w:rsid w:val="000722DD"/>
    <w:rsid w:val="0007484C"/>
    <w:rsid w:val="00074B79"/>
    <w:rsid w:val="00082F6E"/>
    <w:rsid w:val="000877C0"/>
    <w:rsid w:val="0009177D"/>
    <w:rsid w:val="00091812"/>
    <w:rsid w:val="000A1A50"/>
    <w:rsid w:val="000A2481"/>
    <w:rsid w:val="000B2639"/>
    <w:rsid w:val="000B3AEF"/>
    <w:rsid w:val="000C5261"/>
    <w:rsid w:val="000C5F33"/>
    <w:rsid w:val="000D19C6"/>
    <w:rsid w:val="000D3AA1"/>
    <w:rsid w:val="000D719D"/>
    <w:rsid w:val="000D7B4A"/>
    <w:rsid w:val="000E0D15"/>
    <w:rsid w:val="000E237D"/>
    <w:rsid w:val="000E51CC"/>
    <w:rsid w:val="000E6BB5"/>
    <w:rsid w:val="000E7B5D"/>
    <w:rsid w:val="000E7F68"/>
    <w:rsid w:val="000F1139"/>
    <w:rsid w:val="000F234A"/>
    <w:rsid w:val="000F4F23"/>
    <w:rsid w:val="000F55B7"/>
    <w:rsid w:val="00100641"/>
    <w:rsid w:val="00101DAE"/>
    <w:rsid w:val="00101DB5"/>
    <w:rsid w:val="00105B94"/>
    <w:rsid w:val="00105EA8"/>
    <w:rsid w:val="00106BCF"/>
    <w:rsid w:val="00112454"/>
    <w:rsid w:val="00114FAB"/>
    <w:rsid w:val="00115E7D"/>
    <w:rsid w:val="00116A1B"/>
    <w:rsid w:val="00117C6A"/>
    <w:rsid w:val="0012778C"/>
    <w:rsid w:val="001330CB"/>
    <w:rsid w:val="00134A16"/>
    <w:rsid w:val="001548E7"/>
    <w:rsid w:val="001563E8"/>
    <w:rsid w:val="00160550"/>
    <w:rsid w:val="00184EB5"/>
    <w:rsid w:val="00190852"/>
    <w:rsid w:val="00191B22"/>
    <w:rsid w:val="001A1EEA"/>
    <w:rsid w:val="001A3F40"/>
    <w:rsid w:val="001A5198"/>
    <w:rsid w:val="001B388A"/>
    <w:rsid w:val="001B576C"/>
    <w:rsid w:val="001B7BE6"/>
    <w:rsid w:val="001C68B9"/>
    <w:rsid w:val="001C70F7"/>
    <w:rsid w:val="001D32C4"/>
    <w:rsid w:val="001E2117"/>
    <w:rsid w:val="001E2CED"/>
    <w:rsid w:val="001E31EC"/>
    <w:rsid w:val="001E332B"/>
    <w:rsid w:val="001E6B18"/>
    <w:rsid w:val="001F0782"/>
    <w:rsid w:val="001F5F67"/>
    <w:rsid w:val="001F7574"/>
    <w:rsid w:val="002002AA"/>
    <w:rsid w:val="00200953"/>
    <w:rsid w:val="0020453D"/>
    <w:rsid w:val="002079C4"/>
    <w:rsid w:val="00210754"/>
    <w:rsid w:val="00212909"/>
    <w:rsid w:val="00215423"/>
    <w:rsid w:val="00217FBD"/>
    <w:rsid w:val="00225A3F"/>
    <w:rsid w:val="00227BD5"/>
    <w:rsid w:val="002329EC"/>
    <w:rsid w:val="00237723"/>
    <w:rsid w:val="00243D05"/>
    <w:rsid w:val="00254FF9"/>
    <w:rsid w:val="0025561B"/>
    <w:rsid w:val="00265FD9"/>
    <w:rsid w:val="00266308"/>
    <w:rsid w:val="002756C8"/>
    <w:rsid w:val="00280A04"/>
    <w:rsid w:val="00284075"/>
    <w:rsid w:val="0028759F"/>
    <w:rsid w:val="00287C62"/>
    <w:rsid w:val="00287EC2"/>
    <w:rsid w:val="002926A1"/>
    <w:rsid w:val="002A063D"/>
    <w:rsid w:val="002A704B"/>
    <w:rsid w:val="002B58F4"/>
    <w:rsid w:val="002C07CB"/>
    <w:rsid w:val="002C5853"/>
    <w:rsid w:val="002C6B64"/>
    <w:rsid w:val="002C7A98"/>
    <w:rsid w:val="002D2353"/>
    <w:rsid w:val="002D6B86"/>
    <w:rsid w:val="002E6C76"/>
    <w:rsid w:val="002E6ED5"/>
    <w:rsid w:val="002E743A"/>
    <w:rsid w:val="002E7D0D"/>
    <w:rsid w:val="002F1839"/>
    <w:rsid w:val="002F18C7"/>
    <w:rsid w:val="002F2E25"/>
    <w:rsid w:val="002F5057"/>
    <w:rsid w:val="002F6797"/>
    <w:rsid w:val="002F7FA1"/>
    <w:rsid w:val="003003C5"/>
    <w:rsid w:val="003020EF"/>
    <w:rsid w:val="00306B98"/>
    <w:rsid w:val="00310BB4"/>
    <w:rsid w:val="00314260"/>
    <w:rsid w:val="00316192"/>
    <w:rsid w:val="00323B40"/>
    <w:rsid w:val="00326100"/>
    <w:rsid w:val="0032614A"/>
    <w:rsid w:val="00331641"/>
    <w:rsid w:val="003322C8"/>
    <w:rsid w:val="00334FE8"/>
    <w:rsid w:val="00342DD9"/>
    <w:rsid w:val="0034777C"/>
    <w:rsid w:val="003544DC"/>
    <w:rsid w:val="0035555F"/>
    <w:rsid w:val="00356DD4"/>
    <w:rsid w:val="00357596"/>
    <w:rsid w:val="00380FC8"/>
    <w:rsid w:val="003843A5"/>
    <w:rsid w:val="0038469B"/>
    <w:rsid w:val="00386588"/>
    <w:rsid w:val="003A0AE2"/>
    <w:rsid w:val="003A1575"/>
    <w:rsid w:val="003A6FE9"/>
    <w:rsid w:val="003B1993"/>
    <w:rsid w:val="003B2B96"/>
    <w:rsid w:val="003B3EB5"/>
    <w:rsid w:val="003B770E"/>
    <w:rsid w:val="003C24D7"/>
    <w:rsid w:val="003C5B8F"/>
    <w:rsid w:val="003C74E1"/>
    <w:rsid w:val="003D103E"/>
    <w:rsid w:val="003D56A9"/>
    <w:rsid w:val="003E7F23"/>
    <w:rsid w:val="003F32D8"/>
    <w:rsid w:val="00411926"/>
    <w:rsid w:val="0042718F"/>
    <w:rsid w:val="00446AD9"/>
    <w:rsid w:val="00451C90"/>
    <w:rsid w:val="00452BC8"/>
    <w:rsid w:val="004604B6"/>
    <w:rsid w:val="00461836"/>
    <w:rsid w:val="00470CC0"/>
    <w:rsid w:val="004759BC"/>
    <w:rsid w:val="0048314C"/>
    <w:rsid w:val="00484A98"/>
    <w:rsid w:val="00486EAD"/>
    <w:rsid w:val="00492887"/>
    <w:rsid w:val="00494926"/>
    <w:rsid w:val="004A2368"/>
    <w:rsid w:val="004A515A"/>
    <w:rsid w:val="004B0A9C"/>
    <w:rsid w:val="004C46BE"/>
    <w:rsid w:val="004D17EF"/>
    <w:rsid w:val="004D2D16"/>
    <w:rsid w:val="004D4CEF"/>
    <w:rsid w:val="004E377B"/>
    <w:rsid w:val="004E68E5"/>
    <w:rsid w:val="004F39CD"/>
    <w:rsid w:val="004F7A88"/>
    <w:rsid w:val="00502D10"/>
    <w:rsid w:val="00505342"/>
    <w:rsid w:val="005068AB"/>
    <w:rsid w:val="00510C5F"/>
    <w:rsid w:val="0051168B"/>
    <w:rsid w:val="00516D14"/>
    <w:rsid w:val="0052040E"/>
    <w:rsid w:val="0052185A"/>
    <w:rsid w:val="005227B0"/>
    <w:rsid w:val="00534C38"/>
    <w:rsid w:val="00544388"/>
    <w:rsid w:val="00547B57"/>
    <w:rsid w:val="00554184"/>
    <w:rsid w:val="00555237"/>
    <w:rsid w:val="00563AA7"/>
    <w:rsid w:val="00563D7A"/>
    <w:rsid w:val="00564A1F"/>
    <w:rsid w:val="005719CB"/>
    <w:rsid w:val="0057408A"/>
    <w:rsid w:val="00574424"/>
    <w:rsid w:val="005870A7"/>
    <w:rsid w:val="00590512"/>
    <w:rsid w:val="005922EA"/>
    <w:rsid w:val="00593DF0"/>
    <w:rsid w:val="00595F1F"/>
    <w:rsid w:val="005966A4"/>
    <w:rsid w:val="00597846"/>
    <w:rsid w:val="005A1E42"/>
    <w:rsid w:val="005A3615"/>
    <w:rsid w:val="005A6FD4"/>
    <w:rsid w:val="005B23BE"/>
    <w:rsid w:val="005C01E8"/>
    <w:rsid w:val="005C4371"/>
    <w:rsid w:val="005C4B78"/>
    <w:rsid w:val="005C4C73"/>
    <w:rsid w:val="005D5C15"/>
    <w:rsid w:val="005D6F1F"/>
    <w:rsid w:val="005E0F2C"/>
    <w:rsid w:val="005E34CB"/>
    <w:rsid w:val="00600DAB"/>
    <w:rsid w:val="00602557"/>
    <w:rsid w:val="00603A8D"/>
    <w:rsid w:val="00604881"/>
    <w:rsid w:val="0060698D"/>
    <w:rsid w:val="00613AEE"/>
    <w:rsid w:val="00617555"/>
    <w:rsid w:val="006177E2"/>
    <w:rsid w:val="00620050"/>
    <w:rsid w:val="006272C6"/>
    <w:rsid w:val="00627D84"/>
    <w:rsid w:val="00631986"/>
    <w:rsid w:val="006339FA"/>
    <w:rsid w:val="00633F09"/>
    <w:rsid w:val="00653A13"/>
    <w:rsid w:val="006607F5"/>
    <w:rsid w:val="006647FF"/>
    <w:rsid w:val="006657C9"/>
    <w:rsid w:val="00665BA7"/>
    <w:rsid w:val="006715A6"/>
    <w:rsid w:val="00673DCE"/>
    <w:rsid w:val="00675644"/>
    <w:rsid w:val="00682C03"/>
    <w:rsid w:val="00687123"/>
    <w:rsid w:val="00691DD6"/>
    <w:rsid w:val="006A382F"/>
    <w:rsid w:val="006B18FA"/>
    <w:rsid w:val="006C1A86"/>
    <w:rsid w:val="006D245A"/>
    <w:rsid w:val="006D5650"/>
    <w:rsid w:val="006D725A"/>
    <w:rsid w:val="006E0364"/>
    <w:rsid w:val="006E08BC"/>
    <w:rsid w:val="006E16DE"/>
    <w:rsid w:val="006E2586"/>
    <w:rsid w:val="006E52F2"/>
    <w:rsid w:val="006E703A"/>
    <w:rsid w:val="006F4DC5"/>
    <w:rsid w:val="00706695"/>
    <w:rsid w:val="007107A9"/>
    <w:rsid w:val="00722B4D"/>
    <w:rsid w:val="00732553"/>
    <w:rsid w:val="007376FA"/>
    <w:rsid w:val="0073786E"/>
    <w:rsid w:val="00742966"/>
    <w:rsid w:val="0074589E"/>
    <w:rsid w:val="007535A8"/>
    <w:rsid w:val="00754E71"/>
    <w:rsid w:val="00756705"/>
    <w:rsid w:val="00762962"/>
    <w:rsid w:val="00767C2F"/>
    <w:rsid w:val="0077036D"/>
    <w:rsid w:val="00775437"/>
    <w:rsid w:val="00783026"/>
    <w:rsid w:val="00786EC3"/>
    <w:rsid w:val="00793553"/>
    <w:rsid w:val="00795680"/>
    <w:rsid w:val="007A0CB1"/>
    <w:rsid w:val="007A3BC5"/>
    <w:rsid w:val="007A5D25"/>
    <w:rsid w:val="007A61F8"/>
    <w:rsid w:val="007B6671"/>
    <w:rsid w:val="007C1CC7"/>
    <w:rsid w:val="007C40BA"/>
    <w:rsid w:val="007C7EDC"/>
    <w:rsid w:val="007D26B1"/>
    <w:rsid w:val="007D3033"/>
    <w:rsid w:val="007D79C1"/>
    <w:rsid w:val="007F57F8"/>
    <w:rsid w:val="007F7A03"/>
    <w:rsid w:val="00800168"/>
    <w:rsid w:val="00802EC8"/>
    <w:rsid w:val="0080300F"/>
    <w:rsid w:val="00806ADC"/>
    <w:rsid w:val="00807844"/>
    <w:rsid w:val="00811F4C"/>
    <w:rsid w:val="00814C54"/>
    <w:rsid w:val="00816274"/>
    <w:rsid w:val="00816EBB"/>
    <w:rsid w:val="00820140"/>
    <w:rsid w:val="00825B3D"/>
    <w:rsid w:val="00830E56"/>
    <w:rsid w:val="00835908"/>
    <w:rsid w:val="008375CD"/>
    <w:rsid w:val="00846B99"/>
    <w:rsid w:val="00850338"/>
    <w:rsid w:val="0085391A"/>
    <w:rsid w:val="008625AB"/>
    <w:rsid w:val="00863353"/>
    <w:rsid w:val="00872788"/>
    <w:rsid w:val="00875A44"/>
    <w:rsid w:val="00887C73"/>
    <w:rsid w:val="00887D79"/>
    <w:rsid w:val="00892887"/>
    <w:rsid w:val="00894219"/>
    <w:rsid w:val="008B404F"/>
    <w:rsid w:val="008C3FBC"/>
    <w:rsid w:val="008C4312"/>
    <w:rsid w:val="008C4F10"/>
    <w:rsid w:val="008D18BF"/>
    <w:rsid w:val="008D5AF1"/>
    <w:rsid w:val="008D7E2D"/>
    <w:rsid w:val="008E3193"/>
    <w:rsid w:val="008E7D5F"/>
    <w:rsid w:val="008F3707"/>
    <w:rsid w:val="008F53F5"/>
    <w:rsid w:val="008F59FE"/>
    <w:rsid w:val="008F6308"/>
    <w:rsid w:val="00904A7E"/>
    <w:rsid w:val="009054D7"/>
    <w:rsid w:val="009071F8"/>
    <w:rsid w:val="00912B22"/>
    <w:rsid w:val="009140B0"/>
    <w:rsid w:val="00914265"/>
    <w:rsid w:val="009160A0"/>
    <w:rsid w:val="00916655"/>
    <w:rsid w:val="009170F2"/>
    <w:rsid w:val="00920A31"/>
    <w:rsid w:val="009212C0"/>
    <w:rsid w:val="00922BCE"/>
    <w:rsid w:val="00927A27"/>
    <w:rsid w:val="009302D9"/>
    <w:rsid w:val="00930639"/>
    <w:rsid w:val="0094248B"/>
    <w:rsid w:val="00945B7B"/>
    <w:rsid w:val="00945FCD"/>
    <w:rsid w:val="009548B3"/>
    <w:rsid w:val="009551DF"/>
    <w:rsid w:val="0095792C"/>
    <w:rsid w:val="00965B69"/>
    <w:rsid w:val="009725D2"/>
    <w:rsid w:val="009775A4"/>
    <w:rsid w:val="00980030"/>
    <w:rsid w:val="00981EAF"/>
    <w:rsid w:val="00987FBF"/>
    <w:rsid w:val="00997D83"/>
    <w:rsid w:val="009A4CDF"/>
    <w:rsid w:val="009B584B"/>
    <w:rsid w:val="009B5DE5"/>
    <w:rsid w:val="009B5F28"/>
    <w:rsid w:val="009C36B9"/>
    <w:rsid w:val="009C4243"/>
    <w:rsid w:val="009D16E9"/>
    <w:rsid w:val="009D34F7"/>
    <w:rsid w:val="009D5EA9"/>
    <w:rsid w:val="009E16CA"/>
    <w:rsid w:val="009F0B45"/>
    <w:rsid w:val="009F61A3"/>
    <w:rsid w:val="009F6C5D"/>
    <w:rsid w:val="00A0345B"/>
    <w:rsid w:val="00A0433F"/>
    <w:rsid w:val="00A0448D"/>
    <w:rsid w:val="00A04CAD"/>
    <w:rsid w:val="00A11C01"/>
    <w:rsid w:val="00A14482"/>
    <w:rsid w:val="00A1689C"/>
    <w:rsid w:val="00A16A09"/>
    <w:rsid w:val="00A17F25"/>
    <w:rsid w:val="00A23127"/>
    <w:rsid w:val="00A261B3"/>
    <w:rsid w:val="00A32230"/>
    <w:rsid w:val="00A42716"/>
    <w:rsid w:val="00A450A8"/>
    <w:rsid w:val="00A462CC"/>
    <w:rsid w:val="00A553A4"/>
    <w:rsid w:val="00A55AAE"/>
    <w:rsid w:val="00A62842"/>
    <w:rsid w:val="00A65B0E"/>
    <w:rsid w:val="00A670E0"/>
    <w:rsid w:val="00A70E39"/>
    <w:rsid w:val="00A716F8"/>
    <w:rsid w:val="00A751B4"/>
    <w:rsid w:val="00A769A0"/>
    <w:rsid w:val="00A8380E"/>
    <w:rsid w:val="00A91A12"/>
    <w:rsid w:val="00A96BF2"/>
    <w:rsid w:val="00AA7106"/>
    <w:rsid w:val="00AB425A"/>
    <w:rsid w:val="00AB73F3"/>
    <w:rsid w:val="00AC02C6"/>
    <w:rsid w:val="00AC1413"/>
    <w:rsid w:val="00AC31FE"/>
    <w:rsid w:val="00AC7348"/>
    <w:rsid w:val="00AC75BF"/>
    <w:rsid w:val="00AC793E"/>
    <w:rsid w:val="00AD0261"/>
    <w:rsid w:val="00AD24D7"/>
    <w:rsid w:val="00AE3728"/>
    <w:rsid w:val="00B05755"/>
    <w:rsid w:val="00B069D1"/>
    <w:rsid w:val="00B175EF"/>
    <w:rsid w:val="00B2013F"/>
    <w:rsid w:val="00B2528F"/>
    <w:rsid w:val="00B325B0"/>
    <w:rsid w:val="00B529C3"/>
    <w:rsid w:val="00B57966"/>
    <w:rsid w:val="00B60878"/>
    <w:rsid w:val="00B636DA"/>
    <w:rsid w:val="00B6470F"/>
    <w:rsid w:val="00B70EAA"/>
    <w:rsid w:val="00B75373"/>
    <w:rsid w:val="00B756D9"/>
    <w:rsid w:val="00B76EDC"/>
    <w:rsid w:val="00B80AAB"/>
    <w:rsid w:val="00B85F5D"/>
    <w:rsid w:val="00B86868"/>
    <w:rsid w:val="00B86FFF"/>
    <w:rsid w:val="00B918AD"/>
    <w:rsid w:val="00B935AA"/>
    <w:rsid w:val="00B93CBF"/>
    <w:rsid w:val="00B94089"/>
    <w:rsid w:val="00BA0AD5"/>
    <w:rsid w:val="00BA1802"/>
    <w:rsid w:val="00BA34E4"/>
    <w:rsid w:val="00BA5A8B"/>
    <w:rsid w:val="00BB01F8"/>
    <w:rsid w:val="00BB10FD"/>
    <w:rsid w:val="00BB18E0"/>
    <w:rsid w:val="00BB7DBA"/>
    <w:rsid w:val="00BC1E1F"/>
    <w:rsid w:val="00BC6622"/>
    <w:rsid w:val="00BC72DA"/>
    <w:rsid w:val="00BC759E"/>
    <w:rsid w:val="00BD13C2"/>
    <w:rsid w:val="00BD470E"/>
    <w:rsid w:val="00BD4E5C"/>
    <w:rsid w:val="00BD75E1"/>
    <w:rsid w:val="00BE21D1"/>
    <w:rsid w:val="00BF59F0"/>
    <w:rsid w:val="00BF7E84"/>
    <w:rsid w:val="00C03E65"/>
    <w:rsid w:val="00C0641B"/>
    <w:rsid w:val="00C0695C"/>
    <w:rsid w:val="00C13586"/>
    <w:rsid w:val="00C17523"/>
    <w:rsid w:val="00C21E1C"/>
    <w:rsid w:val="00C24349"/>
    <w:rsid w:val="00C30FC9"/>
    <w:rsid w:val="00C3705A"/>
    <w:rsid w:val="00C40479"/>
    <w:rsid w:val="00C40C77"/>
    <w:rsid w:val="00C45943"/>
    <w:rsid w:val="00C47CA2"/>
    <w:rsid w:val="00C5489B"/>
    <w:rsid w:val="00C55F3B"/>
    <w:rsid w:val="00C5707D"/>
    <w:rsid w:val="00C64D7E"/>
    <w:rsid w:val="00C65891"/>
    <w:rsid w:val="00C65B54"/>
    <w:rsid w:val="00C66EF6"/>
    <w:rsid w:val="00C67EDA"/>
    <w:rsid w:val="00C73C7E"/>
    <w:rsid w:val="00C76346"/>
    <w:rsid w:val="00C77168"/>
    <w:rsid w:val="00C82B00"/>
    <w:rsid w:val="00C85E17"/>
    <w:rsid w:val="00C9609B"/>
    <w:rsid w:val="00CA11A5"/>
    <w:rsid w:val="00CA5F35"/>
    <w:rsid w:val="00CA6F25"/>
    <w:rsid w:val="00CA6FA0"/>
    <w:rsid w:val="00CB0D80"/>
    <w:rsid w:val="00CB3CED"/>
    <w:rsid w:val="00CB3F56"/>
    <w:rsid w:val="00CB521B"/>
    <w:rsid w:val="00CB541C"/>
    <w:rsid w:val="00CC02A3"/>
    <w:rsid w:val="00CC1B7F"/>
    <w:rsid w:val="00CC26C5"/>
    <w:rsid w:val="00CC33F6"/>
    <w:rsid w:val="00CC4948"/>
    <w:rsid w:val="00CC4D82"/>
    <w:rsid w:val="00CD5440"/>
    <w:rsid w:val="00CD697D"/>
    <w:rsid w:val="00CE148C"/>
    <w:rsid w:val="00CE5B54"/>
    <w:rsid w:val="00CE6F0E"/>
    <w:rsid w:val="00CF2E3B"/>
    <w:rsid w:val="00D013B9"/>
    <w:rsid w:val="00D01B74"/>
    <w:rsid w:val="00D04147"/>
    <w:rsid w:val="00D04B76"/>
    <w:rsid w:val="00D062C5"/>
    <w:rsid w:val="00D1666F"/>
    <w:rsid w:val="00D229D5"/>
    <w:rsid w:val="00D237BB"/>
    <w:rsid w:val="00D24560"/>
    <w:rsid w:val="00D306B3"/>
    <w:rsid w:val="00D314DD"/>
    <w:rsid w:val="00D42FEB"/>
    <w:rsid w:val="00D47F01"/>
    <w:rsid w:val="00D54C81"/>
    <w:rsid w:val="00D5675C"/>
    <w:rsid w:val="00D60AE5"/>
    <w:rsid w:val="00D6358E"/>
    <w:rsid w:val="00D66223"/>
    <w:rsid w:val="00D77246"/>
    <w:rsid w:val="00D82DFD"/>
    <w:rsid w:val="00D832BB"/>
    <w:rsid w:val="00D85F88"/>
    <w:rsid w:val="00D973BE"/>
    <w:rsid w:val="00D976DD"/>
    <w:rsid w:val="00DA1C51"/>
    <w:rsid w:val="00DA6806"/>
    <w:rsid w:val="00DB0AD2"/>
    <w:rsid w:val="00DB4B37"/>
    <w:rsid w:val="00DB6EEE"/>
    <w:rsid w:val="00DC478C"/>
    <w:rsid w:val="00DD18EE"/>
    <w:rsid w:val="00DD259F"/>
    <w:rsid w:val="00DD66A7"/>
    <w:rsid w:val="00DE1810"/>
    <w:rsid w:val="00DE1CF8"/>
    <w:rsid w:val="00DE3915"/>
    <w:rsid w:val="00DF111E"/>
    <w:rsid w:val="00DF46E9"/>
    <w:rsid w:val="00E00F5C"/>
    <w:rsid w:val="00E0199A"/>
    <w:rsid w:val="00E06643"/>
    <w:rsid w:val="00E0738A"/>
    <w:rsid w:val="00E11030"/>
    <w:rsid w:val="00E11B06"/>
    <w:rsid w:val="00E17696"/>
    <w:rsid w:val="00E33851"/>
    <w:rsid w:val="00E34A34"/>
    <w:rsid w:val="00E455BB"/>
    <w:rsid w:val="00E464A3"/>
    <w:rsid w:val="00E46542"/>
    <w:rsid w:val="00E467BB"/>
    <w:rsid w:val="00E46B52"/>
    <w:rsid w:val="00E52C03"/>
    <w:rsid w:val="00E66A16"/>
    <w:rsid w:val="00E6753B"/>
    <w:rsid w:val="00E67A6F"/>
    <w:rsid w:val="00E67F15"/>
    <w:rsid w:val="00E70EF3"/>
    <w:rsid w:val="00E72815"/>
    <w:rsid w:val="00E77671"/>
    <w:rsid w:val="00E83C2E"/>
    <w:rsid w:val="00E86A12"/>
    <w:rsid w:val="00E87CC0"/>
    <w:rsid w:val="00E9062C"/>
    <w:rsid w:val="00E9764D"/>
    <w:rsid w:val="00EA1461"/>
    <w:rsid w:val="00EA4AB1"/>
    <w:rsid w:val="00EB0761"/>
    <w:rsid w:val="00EB2A28"/>
    <w:rsid w:val="00EB5681"/>
    <w:rsid w:val="00EC1894"/>
    <w:rsid w:val="00EC756D"/>
    <w:rsid w:val="00ED0820"/>
    <w:rsid w:val="00ED1F8D"/>
    <w:rsid w:val="00EE5F74"/>
    <w:rsid w:val="00EF2AB7"/>
    <w:rsid w:val="00EF4F9B"/>
    <w:rsid w:val="00F00556"/>
    <w:rsid w:val="00F01DD1"/>
    <w:rsid w:val="00F04139"/>
    <w:rsid w:val="00F07C8B"/>
    <w:rsid w:val="00F101C2"/>
    <w:rsid w:val="00F11588"/>
    <w:rsid w:val="00F12431"/>
    <w:rsid w:val="00F13CB1"/>
    <w:rsid w:val="00F145B6"/>
    <w:rsid w:val="00F148D5"/>
    <w:rsid w:val="00F15C55"/>
    <w:rsid w:val="00F15DAD"/>
    <w:rsid w:val="00F17EB3"/>
    <w:rsid w:val="00F24A40"/>
    <w:rsid w:val="00F314EF"/>
    <w:rsid w:val="00F31DB8"/>
    <w:rsid w:val="00F3317D"/>
    <w:rsid w:val="00F35D64"/>
    <w:rsid w:val="00F44C35"/>
    <w:rsid w:val="00F46666"/>
    <w:rsid w:val="00F50E42"/>
    <w:rsid w:val="00F53ED1"/>
    <w:rsid w:val="00F670C6"/>
    <w:rsid w:val="00F70592"/>
    <w:rsid w:val="00F72CE9"/>
    <w:rsid w:val="00F74343"/>
    <w:rsid w:val="00F77C41"/>
    <w:rsid w:val="00F80D84"/>
    <w:rsid w:val="00F9276B"/>
    <w:rsid w:val="00F962BD"/>
    <w:rsid w:val="00FA3D59"/>
    <w:rsid w:val="00FA44FB"/>
    <w:rsid w:val="00FA4EE7"/>
    <w:rsid w:val="00FA55E6"/>
    <w:rsid w:val="00FC2B5E"/>
    <w:rsid w:val="00FC409B"/>
    <w:rsid w:val="00FC7C49"/>
    <w:rsid w:val="00FD0A0F"/>
    <w:rsid w:val="00FD485F"/>
    <w:rsid w:val="00FE05D5"/>
    <w:rsid w:val="00FE6699"/>
    <w:rsid w:val="00FE7E7E"/>
    <w:rsid w:val="00FF119C"/>
    <w:rsid w:val="00FF18A5"/>
    <w:rsid w:val="00FF3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75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69D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A5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A8B"/>
  </w:style>
  <w:style w:type="paragraph" w:styleId="Footer">
    <w:name w:val="footer"/>
    <w:basedOn w:val="Normal"/>
    <w:link w:val="FooterChar"/>
    <w:uiPriority w:val="99"/>
    <w:unhideWhenUsed/>
    <w:rsid w:val="00BA5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A8B"/>
  </w:style>
  <w:style w:type="paragraph" w:styleId="BalloonText">
    <w:name w:val="Balloon Text"/>
    <w:basedOn w:val="Normal"/>
    <w:link w:val="BalloonTextChar"/>
    <w:uiPriority w:val="99"/>
    <w:semiHidden/>
    <w:unhideWhenUsed/>
    <w:rsid w:val="00BA5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A8B"/>
    <w:rPr>
      <w:rFonts w:ascii="Tahoma" w:hAnsi="Tahoma" w:cs="Tahoma"/>
      <w:sz w:val="16"/>
      <w:szCs w:val="16"/>
    </w:rPr>
  </w:style>
  <w:style w:type="paragraph" w:customStyle="1" w:styleId="3372873BB58A4DED866D2BE34882C06C">
    <w:name w:val="3372873BB58A4DED866D2BE34882C06C"/>
    <w:rsid w:val="00BA5A8B"/>
    <w:rPr>
      <w:rFonts w:eastAsiaTheme="minorEastAsia"/>
      <w:lang w:eastAsia="ja-JP"/>
    </w:rPr>
  </w:style>
  <w:style w:type="table" w:styleId="TableGrid">
    <w:name w:val="Table Grid"/>
    <w:basedOn w:val="TableNormal"/>
    <w:uiPriority w:val="1"/>
    <w:rsid w:val="003261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100"/>
    <w:pPr>
      <w:ind w:left="720"/>
      <w:contextualSpacing/>
    </w:pPr>
  </w:style>
  <w:style w:type="table" w:customStyle="1" w:styleId="Calendar1">
    <w:name w:val="Calendar 1"/>
    <w:basedOn w:val="TableNormal"/>
    <w:uiPriority w:val="99"/>
    <w:qFormat/>
    <w:rsid w:val="000F234A"/>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LightShading-Accent4">
    <w:name w:val="Light Shading Accent 4"/>
    <w:basedOn w:val="TableNormal"/>
    <w:uiPriority w:val="60"/>
    <w:rsid w:val="00CD697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1">
    <w:name w:val="Light Grid Accent 1"/>
    <w:basedOn w:val="TableNormal"/>
    <w:uiPriority w:val="62"/>
    <w:rsid w:val="00CD697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3020EF"/>
    <w:rPr>
      <w:color w:val="0000FF" w:themeColor="hyperlink"/>
      <w:u w:val="single"/>
    </w:rPr>
  </w:style>
  <w:style w:type="character" w:customStyle="1" w:styleId="Heading1Char">
    <w:name w:val="Heading 1 Char"/>
    <w:basedOn w:val="DefaultParagraphFont"/>
    <w:link w:val="Heading1"/>
    <w:uiPriority w:val="9"/>
    <w:rsid w:val="001F7574"/>
    <w:rPr>
      <w:rFonts w:asciiTheme="majorHAnsi" w:eastAsiaTheme="majorEastAsia" w:hAnsiTheme="majorHAnsi" w:cstheme="majorBidi"/>
      <w:b/>
      <w:bCs/>
      <w:color w:val="365F91" w:themeColor="accent1" w:themeShade="BF"/>
      <w:sz w:val="28"/>
      <w:szCs w:val="28"/>
    </w:rPr>
  </w:style>
  <w:style w:type="table" w:styleId="LightShading-Accent1">
    <w:name w:val="Light Shading Accent 1"/>
    <w:basedOn w:val="TableNormal"/>
    <w:uiPriority w:val="60"/>
    <w:rsid w:val="00F4666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7D303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D303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ColorfulList-Accent4">
    <w:name w:val="Colorful List Accent 4"/>
    <w:basedOn w:val="TableNormal"/>
    <w:uiPriority w:val="72"/>
    <w:rsid w:val="00F31DB8"/>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F31DB8"/>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F31DB8"/>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ghtGrid">
    <w:name w:val="Light Grid"/>
    <w:basedOn w:val="TableNormal"/>
    <w:uiPriority w:val="62"/>
    <w:rsid w:val="00E3385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4">
    <w:name w:val="Light List Accent 4"/>
    <w:basedOn w:val="TableNormal"/>
    <w:uiPriority w:val="61"/>
    <w:rsid w:val="003D56A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List1-Accent3">
    <w:name w:val="Medium List 1 Accent 3"/>
    <w:basedOn w:val="TableNormal"/>
    <w:uiPriority w:val="65"/>
    <w:rsid w:val="003D56A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1">
    <w:name w:val="Medium List 1 Accent 1"/>
    <w:basedOn w:val="TableNormal"/>
    <w:uiPriority w:val="65"/>
    <w:rsid w:val="003D56A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D56A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ghtList-Accent1">
    <w:name w:val="Light List Accent 1"/>
    <w:basedOn w:val="TableNormal"/>
    <w:uiPriority w:val="61"/>
    <w:rsid w:val="00EE5F7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FD48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485F"/>
    <w:rPr>
      <w:sz w:val="20"/>
      <w:szCs w:val="20"/>
    </w:rPr>
  </w:style>
  <w:style w:type="character" w:styleId="FootnoteReference">
    <w:name w:val="footnote reference"/>
    <w:basedOn w:val="DefaultParagraphFont"/>
    <w:uiPriority w:val="99"/>
    <w:semiHidden/>
    <w:unhideWhenUsed/>
    <w:rsid w:val="00FD485F"/>
    <w:rPr>
      <w:vertAlign w:val="superscript"/>
    </w:rPr>
  </w:style>
  <w:style w:type="paragraph" w:styleId="Title">
    <w:name w:val="Title"/>
    <w:basedOn w:val="Normal"/>
    <w:next w:val="Normal"/>
    <w:link w:val="TitleChar"/>
    <w:uiPriority w:val="10"/>
    <w:qFormat/>
    <w:rsid w:val="00F115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158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A1802"/>
    <w:pPr>
      <w:spacing w:after="0" w:line="240" w:lineRule="auto"/>
    </w:pPr>
  </w:style>
  <w:style w:type="table" w:styleId="TableClassic1">
    <w:name w:val="Table Classic 1"/>
    <w:basedOn w:val="TableNormal"/>
    <w:rsid w:val="00593DF0"/>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4">
    <w:name w:val="Table Grid4"/>
    <w:basedOn w:val="TableNormal"/>
    <w:next w:val="TableGrid"/>
    <w:uiPriority w:val="1"/>
    <w:rsid w:val="00342D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F75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69D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A5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A8B"/>
  </w:style>
  <w:style w:type="paragraph" w:styleId="Footer">
    <w:name w:val="footer"/>
    <w:basedOn w:val="Normal"/>
    <w:link w:val="FooterChar"/>
    <w:uiPriority w:val="99"/>
    <w:unhideWhenUsed/>
    <w:rsid w:val="00BA5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A8B"/>
  </w:style>
  <w:style w:type="paragraph" w:styleId="BalloonText">
    <w:name w:val="Balloon Text"/>
    <w:basedOn w:val="Normal"/>
    <w:link w:val="BalloonTextChar"/>
    <w:uiPriority w:val="99"/>
    <w:semiHidden/>
    <w:unhideWhenUsed/>
    <w:rsid w:val="00BA5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A8B"/>
    <w:rPr>
      <w:rFonts w:ascii="Tahoma" w:hAnsi="Tahoma" w:cs="Tahoma"/>
      <w:sz w:val="16"/>
      <w:szCs w:val="16"/>
    </w:rPr>
  </w:style>
  <w:style w:type="paragraph" w:customStyle="1" w:styleId="3372873BB58A4DED866D2BE34882C06C">
    <w:name w:val="3372873BB58A4DED866D2BE34882C06C"/>
    <w:rsid w:val="00BA5A8B"/>
    <w:rPr>
      <w:rFonts w:eastAsiaTheme="minorEastAsia"/>
      <w:lang w:eastAsia="ja-JP"/>
    </w:rPr>
  </w:style>
  <w:style w:type="table" w:styleId="TableGrid">
    <w:name w:val="Table Grid"/>
    <w:basedOn w:val="TableNormal"/>
    <w:uiPriority w:val="1"/>
    <w:rsid w:val="003261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100"/>
    <w:pPr>
      <w:ind w:left="720"/>
      <w:contextualSpacing/>
    </w:pPr>
  </w:style>
  <w:style w:type="table" w:customStyle="1" w:styleId="Calendar1">
    <w:name w:val="Calendar 1"/>
    <w:basedOn w:val="TableNormal"/>
    <w:uiPriority w:val="99"/>
    <w:qFormat/>
    <w:rsid w:val="000F234A"/>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LightShading-Accent4">
    <w:name w:val="Light Shading Accent 4"/>
    <w:basedOn w:val="TableNormal"/>
    <w:uiPriority w:val="60"/>
    <w:rsid w:val="00CD697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1">
    <w:name w:val="Light Grid Accent 1"/>
    <w:basedOn w:val="TableNormal"/>
    <w:uiPriority w:val="62"/>
    <w:rsid w:val="00CD697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3020EF"/>
    <w:rPr>
      <w:color w:val="0000FF" w:themeColor="hyperlink"/>
      <w:u w:val="single"/>
    </w:rPr>
  </w:style>
  <w:style w:type="character" w:customStyle="1" w:styleId="Heading1Char">
    <w:name w:val="Heading 1 Char"/>
    <w:basedOn w:val="DefaultParagraphFont"/>
    <w:link w:val="Heading1"/>
    <w:uiPriority w:val="9"/>
    <w:rsid w:val="001F7574"/>
    <w:rPr>
      <w:rFonts w:asciiTheme="majorHAnsi" w:eastAsiaTheme="majorEastAsia" w:hAnsiTheme="majorHAnsi" w:cstheme="majorBidi"/>
      <w:b/>
      <w:bCs/>
      <w:color w:val="365F91" w:themeColor="accent1" w:themeShade="BF"/>
      <w:sz w:val="28"/>
      <w:szCs w:val="28"/>
    </w:rPr>
  </w:style>
  <w:style w:type="table" w:styleId="LightShading-Accent1">
    <w:name w:val="Light Shading Accent 1"/>
    <w:basedOn w:val="TableNormal"/>
    <w:uiPriority w:val="60"/>
    <w:rsid w:val="00F4666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7D303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7D303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ColorfulList-Accent4">
    <w:name w:val="Colorful List Accent 4"/>
    <w:basedOn w:val="TableNormal"/>
    <w:uiPriority w:val="72"/>
    <w:rsid w:val="00F31DB8"/>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F31DB8"/>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F31DB8"/>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ghtGrid">
    <w:name w:val="Light Grid"/>
    <w:basedOn w:val="TableNormal"/>
    <w:uiPriority w:val="62"/>
    <w:rsid w:val="00E3385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4">
    <w:name w:val="Light List Accent 4"/>
    <w:basedOn w:val="TableNormal"/>
    <w:uiPriority w:val="61"/>
    <w:rsid w:val="003D56A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List1-Accent3">
    <w:name w:val="Medium List 1 Accent 3"/>
    <w:basedOn w:val="TableNormal"/>
    <w:uiPriority w:val="65"/>
    <w:rsid w:val="003D56A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1">
    <w:name w:val="Medium List 1 Accent 1"/>
    <w:basedOn w:val="TableNormal"/>
    <w:uiPriority w:val="65"/>
    <w:rsid w:val="003D56A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D56A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ghtList-Accent1">
    <w:name w:val="Light List Accent 1"/>
    <w:basedOn w:val="TableNormal"/>
    <w:uiPriority w:val="61"/>
    <w:rsid w:val="00EE5F7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noteText">
    <w:name w:val="footnote text"/>
    <w:basedOn w:val="Normal"/>
    <w:link w:val="FootnoteTextChar"/>
    <w:uiPriority w:val="99"/>
    <w:semiHidden/>
    <w:unhideWhenUsed/>
    <w:rsid w:val="00FD48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485F"/>
    <w:rPr>
      <w:sz w:val="20"/>
      <w:szCs w:val="20"/>
    </w:rPr>
  </w:style>
  <w:style w:type="character" w:styleId="FootnoteReference">
    <w:name w:val="footnote reference"/>
    <w:basedOn w:val="DefaultParagraphFont"/>
    <w:uiPriority w:val="99"/>
    <w:semiHidden/>
    <w:unhideWhenUsed/>
    <w:rsid w:val="00FD485F"/>
    <w:rPr>
      <w:vertAlign w:val="superscript"/>
    </w:rPr>
  </w:style>
  <w:style w:type="paragraph" w:styleId="Title">
    <w:name w:val="Title"/>
    <w:basedOn w:val="Normal"/>
    <w:next w:val="Normal"/>
    <w:link w:val="TitleChar"/>
    <w:uiPriority w:val="10"/>
    <w:qFormat/>
    <w:rsid w:val="00F115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158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A1802"/>
    <w:pPr>
      <w:spacing w:after="0" w:line="240" w:lineRule="auto"/>
    </w:pPr>
  </w:style>
  <w:style w:type="table" w:styleId="TableClassic1">
    <w:name w:val="Table Classic 1"/>
    <w:basedOn w:val="TableNormal"/>
    <w:rsid w:val="00593DF0"/>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4">
    <w:name w:val="Table Grid4"/>
    <w:basedOn w:val="TableNormal"/>
    <w:next w:val="TableGrid"/>
    <w:uiPriority w:val="1"/>
    <w:rsid w:val="00342D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09577">
      <w:bodyDiv w:val="1"/>
      <w:marLeft w:val="0"/>
      <w:marRight w:val="0"/>
      <w:marTop w:val="0"/>
      <w:marBottom w:val="0"/>
      <w:divBdr>
        <w:top w:val="none" w:sz="0" w:space="0" w:color="auto"/>
        <w:left w:val="none" w:sz="0" w:space="0" w:color="auto"/>
        <w:bottom w:val="none" w:sz="0" w:space="0" w:color="auto"/>
        <w:right w:val="none" w:sz="0" w:space="0" w:color="auto"/>
      </w:divBdr>
    </w:div>
    <w:div w:id="72097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massqexhelp@telligen.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masshealthhospitalquality@state.ma.u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81F43-F7DD-4F44-AEFA-227D8422D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EHS</dc:creator>
  <cp:lastModifiedBy>Jenna</cp:lastModifiedBy>
  <cp:revision>2</cp:revision>
  <cp:lastPrinted>2017-05-11T13:21:00Z</cp:lastPrinted>
  <dcterms:created xsi:type="dcterms:W3CDTF">2017-12-27T13:23:00Z</dcterms:created>
  <dcterms:modified xsi:type="dcterms:W3CDTF">2017-12-27T13:23:00Z</dcterms:modified>
</cp:coreProperties>
</file>