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6F" w:rsidRPr="00037990" w:rsidRDefault="0010536F" w:rsidP="0010536F">
      <w:r w:rsidRPr="00037990">
        <w:rPr>
          <w:noProof/>
        </w:rPr>
        <mc:AlternateContent>
          <mc:Choice Requires="wps">
            <w:drawing>
              <wp:anchor distT="0" distB="0" distL="114300" distR="114300" simplePos="0" relativeHeight="251679744" behindDoc="1" locked="0" layoutInCell="1" allowOverlap="1" wp14:anchorId="7A189965" wp14:editId="1CC1B13A">
                <wp:simplePos x="0" y="0"/>
                <wp:positionH relativeFrom="column">
                  <wp:posOffset>38100</wp:posOffset>
                </wp:positionH>
                <wp:positionV relativeFrom="paragraph">
                  <wp:posOffset>883920</wp:posOffset>
                </wp:positionV>
                <wp:extent cx="6772275" cy="266700"/>
                <wp:effectExtent l="0" t="0" r="28575"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10536F" w:rsidRPr="00573EED" w:rsidRDefault="0010536F" w:rsidP="0010536F">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sidR="003F0434">
                              <w:rPr>
                                <w:rFonts w:ascii="Calibri" w:hAnsi="Calibri"/>
                                <w:caps/>
                                <w:sz w:val="18"/>
                                <w:szCs w:val="16"/>
                              </w:rPr>
                              <w:t>MARCH</w:t>
                            </w:r>
                            <w:r w:rsidR="00A0591B">
                              <w:rPr>
                                <w:rFonts w:ascii="Calibri" w:hAnsi="Calibri"/>
                                <w:caps/>
                                <w:sz w:val="18"/>
                                <w:szCs w:val="16"/>
                              </w:rPr>
                              <w:t>, 2018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A189965" id="_x0000_t202" coordsize="21600,21600" o:spt="202" path="m,l,21600r21600,l21600,xe">
                <v:stroke joinstyle="miter"/>
                <v:path gradientshapeok="t" o:connecttype="rect"/>
              </v:shapetype>
              <v:shape id="Text Box 4" o:spid="_x0000_s1026" type="#_x0000_t202" style="position:absolute;margin-left:3pt;margin-top:69.6pt;width:533.25pt;height: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" strokeweight="1pt">
                <v:textbox inset=",0,,0">
                  <w:txbxContent>
                    <w:p w:rsidR="0010536F" w:rsidRPr="00573EED" w:rsidRDefault="0010536F" w:rsidP="0010536F">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proofErr w:type="gramStart"/>
                      <w:r w:rsidR="003F0434">
                        <w:rPr>
                          <w:rFonts w:ascii="Calibri" w:hAnsi="Calibri"/>
                          <w:caps/>
                          <w:sz w:val="18"/>
                          <w:szCs w:val="16"/>
                        </w:rPr>
                        <w:t>MARCH</w:t>
                      </w:r>
                      <w:r w:rsidR="00A0591B">
                        <w:rPr>
                          <w:rFonts w:ascii="Calibri" w:hAnsi="Calibri"/>
                          <w:caps/>
                          <w:sz w:val="18"/>
                          <w:szCs w:val="16"/>
                        </w:rPr>
                        <w:t>,</w:t>
                      </w:r>
                      <w:proofErr w:type="gramEnd"/>
                      <w:r w:rsidR="00A0591B">
                        <w:rPr>
                          <w:rFonts w:ascii="Calibri" w:hAnsi="Calibri"/>
                          <w:caps/>
                          <w:sz w:val="18"/>
                          <w:szCs w:val="16"/>
                        </w:rPr>
                        <w:t xml:space="preserve"> 2018</w:t>
                      </w:r>
                    </w:p>
                  </w:txbxContent>
                </v:textbox>
              </v:shape>
            </w:pict>
          </mc:Fallback>
        </mc:AlternateContent>
      </w:r>
      <w:r w:rsidRPr="00037990">
        <w:rPr>
          <w:noProof/>
        </w:rPr>
        <mc:AlternateContent>
          <mc:Choice Requires="wps">
            <w:drawing>
              <wp:anchor distT="0" distB="274320" distL="114300" distR="114300" simplePos="0" relativeHeight="251680768" behindDoc="1" locked="0" layoutInCell="1" allowOverlap="1" wp14:anchorId="7DE70A50" wp14:editId="2383AC87">
                <wp:simplePos x="0" y="0"/>
                <wp:positionH relativeFrom="column">
                  <wp:posOffset>35560</wp:posOffset>
                </wp:positionH>
                <wp:positionV relativeFrom="paragraph">
                  <wp:posOffset>-132715</wp:posOffset>
                </wp:positionV>
                <wp:extent cx="6772275" cy="1016000"/>
                <wp:effectExtent l="0" t="0" r="2857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0160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1EA1210" id="Rectangle 11" o:spid="_x0000_s1026" style="position:absolute;margin-left:2.8pt;margin-top:-10.45pt;width:533.25pt;height:80pt;z-index:-25163571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" strokeweight="1pt"/>
            </w:pict>
          </mc:Fallback>
        </mc:AlternateContent>
      </w:r>
      <w:r w:rsidRPr="00037990">
        <w:rPr>
          <w:noProof/>
        </w:rPr>
        <mc:AlternateContent>
          <mc:Choice Requires="wps">
            <w:drawing>
              <wp:anchor distT="0" distB="0" distL="114300" distR="114300" simplePos="0" relativeHeight="251681792" behindDoc="0" locked="0" layoutInCell="1" allowOverlap="1" wp14:anchorId="0D7E8E7D" wp14:editId="4B2D03E9">
                <wp:simplePos x="0" y="0"/>
                <wp:positionH relativeFrom="column">
                  <wp:posOffset>1318260</wp:posOffset>
                </wp:positionH>
                <wp:positionV relativeFrom="paragraph">
                  <wp:posOffset>-81914</wp:posOffset>
                </wp:positionV>
                <wp:extent cx="5181600" cy="9652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965200"/>
                        </a:xfrm>
                        <a:prstGeom prst="rect">
                          <a:avLst/>
                        </a:prstGeom>
                        <a:noFill/>
                        <a:ln>
                          <a:noFill/>
                        </a:ln>
                        <a:effectLst/>
                      </wps:spPr>
                      <wps:txbx>
                        <w:txbxContent>
                          <w:p w:rsidR="0010536F" w:rsidRPr="0010536F" w:rsidRDefault="0010536F" w:rsidP="0010536F">
                            <w:pPr>
                              <w:jc w:val="center"/>
                              <w:rPr>
                                <w:b/>
                                <w:color w:val="1F497D" w:themeColor="text2"/>
                                <w:sz w:val="48"/>
                                <w:szCs w:val="52"/>
                              </w:rPr>
                            </w:pPr>
                            <w:r w:rsidRPr="0010536F">
                              <w:rPr>
                                <w:b/>
                                <w:color w:val="1F497D" w:themeColor="text2"/>
                                <w:sz w:val="48"/>
                                <w:szCs w:val="52"/>
                              </w:rPr>
                              <w:t xml:space="preserve">Data Brief: </w:t>
                            </w:r>
                            <w:r w:rsidRPr="0010536F">
                              <w:rPr>
                                <w:b/>
                                <w:color w:val="1F497D" w:themeColor="text2"/>
                                <w:sz w:val="48"/>
                                <w:szCs w:val="52"/>
                              </w:rPr>
                              <w:br/>
                              <w:t>Cervical Cancer in 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D7E8E7D" id="Text Box 1" o:spid="_x0000_s1027" type="#_x0000_t202" style="position:absolute;margin-left:103.8pt;margin-top:-6.45pt;width:408pt;height: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" filled="f" stroked="f">
                <v:textbox>
                  <w:txbxContent>
                    <w:p w:rsidR="0010536F" w:rsidRPr="0010536F" w:rsidRDefault="0010536F" w:rsidP="0010536F">
                      <w:pPr>
                        <w:jc w:val="center"/>
                        <w:rPr>
                          <w:b/>
                          <w:color w:val="1F497D" w:themeColor="text2"/>
                          <w:sz w:val="48"/>
                          <w:szCs w:val="52"/>
                        </w:rPr>
                      </w:pPr>
                      <w:r w:rsidRPr="0010536F">
                        <w:rPr>
                          <w:b/>
                          <w:color w:val="1F497D" w:themeColor="text2"/>
                          <w:sz w:val="48"/>
                          <w:szCs w:val="52"/>
                        </w:rPr>
                        <w:t xml:space="preserve">Data Brief: </w:t>
                      </w:r>
                      <w:r w:rsidRPr="0010536F">
                        <w:rPr>
                          <w:b/>
                          <w:color w:val="1F497D" w:themeColor="text2"/>
                          <w:sz w:val="48"/>
                          <w:szCs w:val="52"/>
                        </w:rPr>
                        <w:br/>
                        <w:t>Cervical Cancer in Massachusetts</w:t>
                      </w:r>
                    </w:p>
                  </w:txbxContent>
                </v:textbox>
              </v:shape>
            </w:pict>
          </mc:Fallback>
        </mc:AlternateContent>
      </w:r>
      <w:r w:rsidRPr="00037990">
        <w:t xml:space="preserve">      </w:t>
      </w:r>
      <w:r w:rsidRPr="00037990">
        <w:rPr>
          <w:noProof/>
        </w:rPr>
        <w:drawing>
          <wp:inline distT="0" distB="0" distL="0" distR="0" wp14:anchorId="18FBEBD2" wp14:editId="13929987">
            <wp:extent cx="838200" cy="846107"/>
            <wp:effectExtent l="0" t="0" r="0" b="0"/>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819" cy="848751"/>
                    </a:xfrm>
                    <a:prstGeom prst="rect">
                      <a:avLst/>
                    </a:prstGeom>
                    <a:noFill/>
                    <a:ln>
                      <a:noFill/>
                    </a:ln>
                  </pic:spPr>
                </pic:pic>
              </a:graphicData>
            </a:graphic>
          </wp:inline>
        </w:drawing>
      </w:r>
    </w:p>
    <w:p w:rsidR="0010536F" w:rsidRPr="0010536F" w:rsidRDefault="0010536F" w:rsidP="0010536F">
      <w:pPr>
        <w:jc w:val="center"/>
        <w:rPr>
          <w:rFonts w:ascii="Times New Roman" w:hAnsi="Times New Roman" w:cs="Times New Roman"/>
          <w:b/>
          <w:sz w:val="10"/>
        </w:rPr>
      </w:pPr>
    </w:p>
    <w:p w:rsidR="0010536F" w:rsidRPr="0010536F" w:rsidRDefault="0010536F" w:rsidP="0010536F">
      <w:pPr>
        <w:jc w:val="center"/>
        <w:rPr>
          <w:rFonts w:ascii="Times New Roman" w:hAnsi="Times New Roman" w:cs="Times New Roman"/>
          <w:b/>
          <w:sz w:val="12"/>
        </w:rPr>
        <w:sectPr w:rsidR="0010536F" w:rsidRPr="0010536F" w:rsidSect="00A02173">
          <w:headerReference w:type="default" r:id="rId10"/>
          <w:footerReference w:type="default" r:id="rId11"/>
          <w:pgSz w:w="12240" w:h="15840"/>
          <w:pgMar w:top="864" w:right="864" w:bottom="864" w:left="864" w:header="720" w:footer="720" w:gutter="0"/>
          <w:cols w:space="720"/>
          <w:docGrid w:linePitch="360"/>
        </w:sectPr>
      </w:pPr>
    </w:p>
    <w:p w:rsidR="0072570B" w:rsidRDefault="0072570B" w:rsidP="00553017">
      <w:pPr>
        <w:spacing w:after="0" w:line="240" w:lineRule="auto"/>
        <w:rPr>
          <w:rFonts w:ascii="Times New Roman" w:hAnsi="Times New Roman" w:cs="Times New Roman"/>
          <w:b/>
          <w:color w:val="1F497D" w:themeColor="text2"/>
          <w:sz w:val="28"/>
        </w:rPr>
      </w:pPr>
    </w:p>
    <w:p w:rsidR="00553017" w:rsidRPr="00BF7F32" w:rsidRDefault="00553017" w:rsidP="00553017">
      <w:pPr>
        <w:spacing w:after="0" w:line="240" w:lineRule="auto"/>
        <w:rPr>
          <w:rFonts w:ascii="Times New Roman" w:hAnsi="Times New Roman" w:cs="Times New Roman"/>
          <w:b/>
          <w:color w:val="1F497D" w:themeColor="text2"/>
          <w:sz w:val="28"/>
        </w:rPr>
      </w:pPr>
      <w:r w:rsidRPr="00BF7F32">
        <w:rPr>
          <w:rFonts w:ascii="Times New Roman" w:hAnsi="Times New Roman" w:cs="Times New Roman"/>
          <w:b/>
          <w:color w:val="1F497D" w:themeColor="text2"/>
          <w:sz w:val="28"/>
        </w:rPr>
        <w:t>PURPOSE</w:t>
      </w:r>
    </w:p>
    <w:p w:rsidR="00553017" w:rsidRPr="002B4414" w:rsidRDefault="00553017" w:rsidP="008358B2">
      <w:pPr>
        <w:spacing w:after="0" w:line="240" w:lineRule="auto"/>
        <w:ind w:firstLine="360"/>
        <w:rPr>
          <w:rFonts w:ascii="Times New Roman" w:hAnsi="Times New Roman" w:cs="Times New Roman"/>
          <w:sz w:val="24"/>
        </w:rPr>
      </w:pPr>
      <w:r w:rsidRPr="002B4414">
        <w:rPr>
          <w:rFonts w:ascii="Times New Roman" w:hAnsi="Times New Roman" w:cs="Times New Roman"/>
          <w:sz w:val="24"/>
        </w:rPr>
        <w:t>The purpose of this report is to present the e</w:t>
      </w:r>
      <w:r>
        <w:rPr>
          <w:rFonts w:ascii="Times New Roman" w:hAnsi="Times New Roman" w:cs="Times New Roman"/>
          <w:sz w:val="24"/>
        </w:rPr>
        <w:t>pidemiology of cervical cancer</w:t>
      </w:r>
      <w:r w:rsidRPr="002B4414">
        <w:rPr>
          <w:rFonts w:ascii="Times New Roman" w:hAnsi="Times New Roman" w:cs="Times New Roman"/>
          <w:sz w:val="24"/>
        </w:rPr>
        <w:t xml:space="preserve"> in Massachusetts from 2004 to 2014. This report </w:t>
      </w:r>
      <w:r>
        <w:rPr>
          <w:rFonts w:ascii="Times New Roman" w:hAnsi="Times New Roman" w:cs="Times New Roman"/>
          <w:sz w:val="24"/>
        </w:rPr>
        <w:t>describes</w:t>
      </w:r>
      <w:r w:rsidRPr="002B4414">
        <w:rPr>
          <w:rFonts w:ascii="Times New Roman" w:hAnsi="Times New Roman" w:cs="Times New Roman"/>
          <w:sz w:val="24"/>
        </w:rPr>
        <w:t xml:space="preserve"> the</w:t>
      </w:r>
      <w:r>
        <w:rPr>
          <w:rFonts w:ascii="Times New Roman" w:hAnsi="Times New Roman" w:cs="Times New Roman"/>
          <w:sz w:val="24"/>
        </w:rPr>
        <w:t xml:space="preserve"> incidence, mortality, </w:t>
      </w:r>
      <w:r w:rsidRPr="002B4414">
        <w:rPr>
          <w:rFonts w:ascii="Times New Roman" w:hAnsi="Times New Roman" w:cs="Times New Roman"/>
          <w:sz w:val="24"/>
        </w:rPr>
        <w:t>trends</w:t>
      </w:r>
      <w:r>
        <w:rPr>
          <w:rFonts w:ascii="Times New Roman" w:hAnsi="Times New Roman" w:cs="Times New Roman"/>
          <w:sz w:val="24"/>
        </w:rPr>
        <w:t xml:space="preserve"> </w:t>
      </w:r>
      <w:r w:rsidR="00BF7F32">
        <w:rPr>
          <w:rFonts w:ascii="Times New Roman" w:hAnsi="Times New Roman" w:cs="Times New Roman"/>
          <w:sz w:val="24"/>
        </w:rPr>
        <w:t>over time</w:t>
      </w:r>
      <w:r>
        <w:rPr>
          <w:rFonts w:ascii="Times New Roman" w:hAnsi="Times New Roman" w:cs="Times New Roman"/>
          <w:sz w:val="24"/>
        </w:rPr>
        <w:t>,</w:t>
      </w:r>
      <w:r w:rsidRPr="002B4414">
        <w:rPr>
          <w:rFonts w:ascii="Times New Roman" w:hAnsi="Times New Roman" w:cs="Times New Roman"/>
          <w:sz w:val="24"/>
        </w:rPr>
        <w:t xml:space="preserve"> </w:t>
      </w:r>
      <w:r w:rsidR="00674BDB">
        <w:rPr>
          <w:rFonts w:ascii="Times New Roman" w:hAnsi="Times New Roman" w:cs="Times New Roman"/>
          <w:sz w:val="24"/>
        </w:rPr>
        <w:t xml:space="preserve">percentage of </w:t>
      </w:r>
      <w:r w:rsidR="00D00BB4">
        <w:rPr>
          <w:rFonts w:ascii="Times New Roman" w:hAnsi="Times New Roman" w:cs="Times New Roman"/>
          <w:sz w:val="24"/>
        </w:rPr>
        <w:t xml:space="preserve">cervical </w:t>
      </w:r>
      <w:r w:rsidR="00674BDB">
        <w:rPr>
          <w:rFonts w:ascii="Times New Roman" w:hAnsi="Times New Roman" w:cs="Times New Roman"/>
          <w:sz w:val="24"/>
        </w:rPr>
        <w:t xml:space="preserve">cancers </w:t>
      </w:r>
      <w:r w:rsidR="00D00BB4">
        <w:rPr>
          <w:rFonts w:ascii="Times New Roman" w:hAnsi="Times New Roman" w:cs="Times New Roman"/>
          <w:sz w:val="24"/>
        </w:rPr>
        <w:t xml:space="preserve">attributable to </w:t>
      </w:r>
      <w:r w:rsidR="009B2F84">
        <w:rPr>
          <w:rFonts w:ascii="Times New Roman" w:hAnsi="Times New Roman" w:cs="Times New Roman"/>
          <w:sz w:val="24"/>
        </w:rPr>
        <w:t>human papillomavirus (</w:t>
      </w:r>
      <w:r w:rsidR="00D00BB4">
        <w:rPr>
          <w:rFonts w:ascii="Times New Roman" w:hAnsi="Times New Roman" w:cs="Times New Roman"/>
          <w:sz w:val="24"/>
        </w:rPr>
        <w:t>HPV</w:t>
      </w:r>
      <w:r w:rsidR="009B2F84">
        <w:rPr>
          <w:rFonts w:ascii="Times New Roman" w:hAnsi="Times New Roman" w:cs="Times New Roman"/>
          <w:sz w:val="24"/>
        </w:rPr>
        <w:t>)</w:t>
      </w:r>
      <w:r w:rsidR="00D00BB4">
        <w:rPr>
          <w:rFonts w:ascii="Times New Roman" w:hAnsi="Times New Roman" w:cs="Times New Roman"/>
          <w:sz w:val="24"/>
        </w:rPr>
        <w:t xml:space="preserve"> infection,</w:t>
      </w:r>
      <w:r w:rsidR="00C44881">
        <w:rPr>
          <w:rFonts w:ascii="Times New Roman" w:hAnsi="Times New Roman" w:cs="Times New Roman"/>
          <w:sz w:val="24"/>
        </w:rPr>
        <w:t xml:space="preserve"> </w:t>
      </w:r>
      <w:r w:rsidRPr="002B4414">
        <w:rPr>
          <w:rFonts w:ascii="Times New Roman" w:hAnsi="Times New Roman" w:cs="Times New Roman"/>
          <w:sz w:val="24"/>
        </w:rPr>
        <w:t>and compares the findings</w:t>
      </w:r>
      <w:r w:rsidR="0072570B">
        <w:rPr>
          <w:rFonts w:ascii="Times New Roman" w:hAnsi="Times New Roman" w:cs="Times New Roman"/>
          <w:sz w:val="24"/>
        </w:rPr>
        <w:t xml:space="preserve"> in Massachusetts</w:t>
      </w:r>
      <w:r w:rsidRPr="002B4414">
        <w:rPr>
          <w:rFonts w:ascii="Times New Roman" w:hAnsi="Times New Roman" w:cs="Times New Roman"/>
          <w:sz w:val="24"/>
        </w:rPr>
        <w:t xml:space="preserve"> to national data</w:t>
      </w:r>
      <w:r w:rsidR="0072570B">
        <w:rPr>
          <w:rFonts w:ascii="Times New Roman" w:hAnsi="Times New Roman" w:cs="Times New Roman"/>
          <w:sz w:val="24"/>
        </w:rPr>
        <w:t xml:space="preserve"> on cervical cancer</w:t>
      </w:r>
      <w:r w:rsidRPr="002B4414">
        <w:rPr>
          <w:rFonts w:ascii="Times New Roman" w:hAnsi="Times New Roman" w:cs="Times New Roman"/>
          <w:sz w:val="24"/>
        </w:rPr>
        <w:t xml:space="preserve">. </w:t>
      </w:r>
      <w:r w:rsidR="00D00BB4">
        <w:rPr>
          <w:rFonts w:ascii="Times New Roman" w:hAnsi="Times New Roman" w:cs="Times New Roman"/>
          <w:sz w:val="24"/>
        </w:rPr>
        <w:t>Data are from the Massachusetts Cancer Registry and Massachusetts Registry of Vi</w:t>
      </w:r>
      <w:r w:rsidR="002B5ED6">
        <w:rPr>
          <w:rFonts w:ascii="Times New Roman" w:hAnsi="Times New Roman" w:cs="Times New Roman"/>
          <w:sz w:val="24"/>
        </w:rPr>
        <w:t>t</w:t>
      </w:r>
      <w:r w:rsidR="00D00BB4">
        <w:rPr>
          <w:rFonts w:ascii="Times New Roman" w:hAnsi="Times New Roman" w:cs="Times New Roman"/>
          <w:sz w:val="24"/>
        </w:rPr>
        <w:t xml:space="preserve">al Records and Statistics. </w:t>
      </w:r>
      <w:r w:rsidR="002E2538">
        <w:rPr>
          <w:rFonts w:ascii="Times New Roman" w:hAnsi="Times New Roman" w:cs="Times New Roman"/>
          <w:sz w:val="24"/>
        </w:rPr>
        <w:t>Cervical cancer can be prevented or detected early through routin</w:t>
      </w:r>
      <w:r w:rsidR="007F7BA9">
        <w:rPr>
          <w:rFonts w:ascii="Times New Roman" w:hAnsi="Times New Roman" w:cs="Times New Roman"/>
          <w:sz w:val="24"/>
        </w:rPr>
        <w:t xml:space="preserve">e screening or HPV </w:t>
      </w:r>
      <w:r w:rsidR="00F31AAD">
        <w:rPr>
          <w:rFonts w:ascii="Times New Roman" w:hAnsi="Times New Roman" w:cs="Times New Roman"/>
          <w:sz w:val="24"/>
        </w:rPr>
        <w:t xml:space="preserve">vaccination; therefore, we are examining rates of screening and vaccination in Massachusetts. </w:t>
      </w:r>
    </w:p>
    <w:p w:rsidR="00D00BB4" w:rsidRDefault="00D00BB4" w:rsidP="00553017">
      <w:pPr>
        <w:spacing w:after="0" w:line="240" w:lineRule="auto"/>
        <w:rPr>
          <w:rFonts w:ascii="Times New Roman" w:hAnsi="Times New Roman" w:cs="Times New Roman"/>
          <w:b/>
          <w:sz w:val="24"/>
        </w:rPr>
      </w:pPr>
    </w:p>
    <w:p w:rsidR="00D00BB4" w:rsidRDefault="00D00BB4" w:rsidP="00553017">
      <w:pPr>
        <w:spacing w:after="0" w:line="240" w:lineRule="auto"/>
        <w:rPr>
          <w:rFonts w:ascii="Times New Roman" w:hAnsi="Times New Roman" w:cs="Times New Roman"/>
          <w:b/>
          <w:sz w:val="24"/>
        </w:rPr>
      </w:pPr>
    </w:p>
    <w:p w:rsidR="0072570B" w:rsidRDefault="0072570B" w:rsidP="00553017">
      <w:pPr>
        <w:spacing w:after="0" w:line="240" w:lineRule="auto"/>
        <w:rPr>
          <w:rFonts w:ascii="Times New Roman" w:hAnsi="Times New Roman" w:cs="Times New Roman"/>
          <w:b/>
          <w:color w:val="1F497D" w:themeColor="text2"/>
          <w:sz w:val="28"/>
        </w:rPr>
      </w:pPr>
    </w:p>
    <w:p w:rsidR="00D00BB4" w:rsidRDefault="00D00BB4" w:rsidP="00553017">
      <w:pPr>
        <w:spacing w:after="0" w:line="240" w:lineRule="auto"/>
        <w:rPr>
          <w:rFonts w:ascii="Times New Roman" w:hAnsi="Times New Roman" w:cs="Times New Roman"/>
          <w:b/>
          <w:color w:val="1F497D" w:themeColor="text2"/>
          <w:sz w:val="28"/>
        </w:rPr>
      </w:pPr>
      <w:r>
        <w:rPr>
          <w:rFonts w:ascii="Times New Roman" w:hAnsi="Times New Roman" w:cs="Times New Roman"/>
          <w:b/>
          <w:color w:val="1F497D" w:themeColor="text2"/>
          <w:sz w:val="28"/>
        </w:rPr>
        <w:t xml:space="preserve">KEY FINDINGS </w:t>
      </w:r>
    </w:p>
    <w:p w:rsidR="00D00BB4" w:rsidRPr="0090233B" w:rsidRDefault="00A02901" w:rsidP="00D00BB4">
      <w:pPr>
        <w:pStyle w:val="ListParagraph"/>
        <w:numPr>
          <w:ilvl w:val="0"/>
          <w:numId w:val="7"/>
        </w:numPr>
        <w:spacing w:after="0" w:line="240" w:lineRule="auto"/>
        <w:ind w:left="180" w:hanging="180"/>
        <w:rPr>
          <w:rFonts w:ascii="Times New Roman" w:hAnsi="Times New Roman" w:cs="Times New Roman"/>
          <w:b/>
          <w:color w:val="1F497D" w:themeColor="text2"/>
          <w:sz w:val="24"/>
        </w:rPr>
      </w:pPr>
      <w:r>
        <w:rPr>
          <w:rFonts w:ascii="Times New Roman" w:hAnsi="Times New Roman" w:cs="Times New Roman"/>
          <w:sz w:val="24"/>
        </w:rPr>
        <w:t xml:space="preserve">Among </w:t>
      </w:r>
      <w:r w:rsidR="008571F5">
        <w:rPr>
          <w:rFonts w:ascii="Times New Roman" w:hAnsi="Times New Roman" w:cs="Times New Roman"/>
          <w:sz w:val="24"/>
        </w:rPr>
        <w:t>females</w:t>
      </w:r>
      <w:r>
        <w:rPr>
          <w:rFonts w:ascii="Times New Roman" w:hAnsi="Times New Roman" w:cs="Times New Roman"/>
          <w:sz w:val="24"/>
        </w:rPr>
        <w:t>, c</w:t>
      </w:r>
      <w:r w:rsidR="00D00BB4">
        <w:rPr>
          <w:rFonts w:ascii="Times New Roman" w:hAnsi="Times New Roman" w:cs="Times New Roman"/>
          <w:sz w:val="24"/>
        </w:rPr>
        <w:t xml:space="preserve">ervical cancer was the most common HPV-associated cancer from 2004-2014, and most common cause of death from an HPV-associated cancer from 2008-2014, in Massachusetts. </w:t>
      </w:r>
    </w:p>
    <w:p w:rsidR="00D00BB4" w:rsidRPr="00D00BB4" w:rsidRDefault="00D00BB4" w:rsidP="00D00BB4">
      <w:pPr>
        <w:pStyle w:val="ListParagraph"/>
        <w:spacing w:after="0" w:line="240" w:lineRule="auto"/>
        <w:ind w:left="180" w:hanging="180"/>
        <w:rPr>
          <w:rFonts w:ascii="Times New Roman" w:hAnsi="Times New Roman" w:cs="Times New Roman"/>
          <w:b/>
          <w:color w:val="1F497D" w:themeColor="text2"/>
          <w:sz w:val="16"/>
        </w:rPr>
      </w:pPr>
    </w:p>
    <w:p w:rsidR="00D00BB4" w:rsidRPr="0090233B" w:rsidRDefault="00D00BB4" w:rsidP="00D00BB4">
      <w:pPr>
        <w:pStyle w:val="ListParagraph"/>
        <w:numPr>
          <w:ilvl w:val="0"/>
          <w:numId w:val="7"/>
        </w:numPr>
        <w:spacing w:after="0" w:line="240" w:lineRule="auto"/>
        <w:ind w:left="180" w:hanging="180"/>
        <w:rPr>
          <w:rFonts w:ascii="Times New Roman" w:hAnsi="Times New Roman" w:cs="Times New Roman"/>
          <w:b/>
          <w:color w:val="1F497D" w:themeColor="text2"/>
          <w:sz w:val="24"/>
        </w:rPr>
      </w:pPr>
      <w:r>
        <w:rPr>
          <w:rFonts w:ascii="Times New Roman" w:hAnsi="Times New Roman" w:cs="Times New Roman"/>
          <w:sz w:val="24"/>
        </w:rPr>
        <w:t>The incidence rate of cervical cancer in Massachusetts has been decreasing by 2.4% each year from 2004-2014</w:t>
      </w:r>
      <w:r w:rsidR="0072570B">
        <w:rPr>
          <w:rFonts w:ascii="Times New Roman" w:hAnsi="Times New Roman" w:cs="Times New Roman"/>
          <w:sz w:val="24"/>
        </w:rPr>
        <w:t xml:space="preserve"> with statistical significance</w:t>
      </w:r>
      <w:r>
        <w:rPr>
          <w:rFonts w:ascii="Times New Roman" w:hAnsi="Times New Roman" w:cs="Times New Roman"/>
          <w:sz w:val="24"/>
        </w:rPr>
        <w:t>. The mortality rate of cervical cancer has been decreasing by 3.7% annually for 2008-2014</w:t>
      </w:r>
      <w:r w:rsidR="0072570B">
        <w:rPr>
          <w:rFonts w:ascii="Times New Roman" w:hAnsi="Times New Roman" w:cs="Times New Roman"/>
          <w:sz w:val="24"/>
        </w:rPr>
        <w:t xml:space="preserve"> without statistical significance</w:t>
      </w:r>
      <w:r>
        <w:rPr>
          <w:rFonts w:ascii="Times New Roman" w:hAnsi="Times New Roman" w:cs="Times New Roman"/>
          <w:sz w:val="24"/>
        </w:rPr>
        <w:t xml:space="preserve">. </w:t>
      </w:r>
    </w:p>
    <w:p w:rsidR="00D00BB4" w:rsidRPr="00D00BB4" w:rsidRDefault="00D00BB4" w:rsidP="00D00BB4">
      <w:pPr>
        <w:pStyle w:val="ListParagraph"/>
        <w:ind w:left="180" w:hanging="180"/>
        <w:rPr>
          <w:rFonts w:ascii="Times New Roman" w:hAnsi="Times New Roman" w:cs="Times New Roman"/>
          <w:b/>
          <w:color w:val="1F497D" w:themeColor="text2"/>
          <w:sz w:val="16"/>
        </w:rPr>
      </w:pPr>
    </w:p>
    <w:p w:rsidR="008358B2" w:rsidRPr="00D00BB4" w:rsidRDefault="00D00BB4" w:rsidP="00D00BB4">
      <w:pPr>
        <w:pStyle w:val="ListParagraph"/>
        <w:numPr>
          <w:ilvl w:val="0"/>
          <w:numId w:val="7"/>
        </w:numPr>
        <w:spacing w:after="0" w:line="240" w:lineRule="auto"/>
        <w:ind w:left="180" w:hanging="180"/>
        <w:rPr>
          <w:rFonts w:ascii="Times New Roman" w:hAnsi="Times New Roman" w:cs="Times New Roman"/>
          <w:sz w:val="24"/>
        </w:rPr>
        <w:sectPr w:rsidR="008358B2" w:rsidRPr="00D00BB4" w:rsidSect="007F7BA9">
          <w:type w:val="continuous"/>
          <w:pgSz w:w="12240" w:h="15840"/>
          <w:pgMar w:top="864" w:right="864" w:bottom="864" w:left="864" w:header="720" w:footer="720" w:gutter="0"/>
          <w:cols w:num="2" w:space="288"/>
          <w:docGrid w:linePitch="360"/>
        </w:sectPr>
      </w:pPr>
      <w:r w:rsidRPr="0090233B">
        <w:rPr>
          <w:rFonts w:ascii="Times New Roman" w:hAnsi="Times New Roman" w:cs="Times New Roman"/>
          <w:sz w:val="24"/>
        </w:rPr>
        <w:t>The inci</w:t>
      </w:r>
      <w:r>
        <w:rPr>
          <w:rFonts w:ascii="Times New Roman" w:hAnsi="Times New Roman" w:cs="Times New Roman"/>
          <w:sz w:val="24"/>
        </w:rPr>
        <w:t>dence rate of cervical cancer was lower in</w:t>
      </w:r>
      <w:r w:rsidRPr="0090233B">
        <w:rPr>
          <w:rFonts w:ascii="Times New Roman" w:hAnsi="Times New Roman" w:cs="Times New Roman"/>
          <w:sz w:val="24"/>
        </w:rPr>
        <w:t xml:space="preserve"> Massachusetts </w:t>
      </w:r>
      <w:r>
        <w:rPr>
          <w:rFonts w:ascii="Times New Roman" w:hAnsi="Times New Roman" w:cs="Times New Roman"/>
          <w:sz w:val="24"/>
        </w:rPr>
        <w:t>than</w:t>
      </w:r>
      <w:r w:rsidRPr="0090233B">
        <w:rPr>
          <w:rFonts w:ascii="Times New Roman" w:hAnsi="Times New Roman" w:cs="Times New Roman"/>
          <w:sz w:val="24"/>
        </w:rPr>
        <w:t xml:space="preserve"> </w:t>
      </w:r>
      <w:r>
        <w:rPr>
          <w:rFonts w:ascii="Times New Roman" w:hAnsi="Times New Roman" w:cs="Times New Roman"/>
          <w:sz w:val="24"/>
        </w:rPr>
        <w:t>the United States from 2008-2012.</w:t>
      </w:r>
      <w:r w:rsidRPr="0090233B">
        <w:rPr>
          <w:rFonts w:ascii="Times New Roman" w:hAnsi="Times New Roman" w:cs="Times New Roman"/>
          <w:sz w:val="24"/>
        </w:rPr>
        <w:t xml:space="preserve"> </w:t>
      </w:r>
    </w:p>
    <w:tbl>
      <w:tblPr>
        <w:tblStyle w:val="TableGrid"/>
        <w:tblW w:w="10800" w:type="dxa"/>
        <w:jc w:val="center"/>
        <w:tblLook w:val="04A0" w:firstRow="1" w:lastRow="0" w:firstColumn="1" w:lastColumn="0" w:noHBand="0" w:noVBand="1"/>
      </w:tblPr>
      <w:tblGrid>
        <w:gridCol w:w="2160"/>
        <w:gridCol w:w="900"/>
        <w:gridCol w:w="3127"/>
        <w:gridCol w:w="923"/>
        <w:gridCol w:w="3690"/>
      </w:tblGrid>
      <w:tr w:rsidR="005B519D" w:rsidTr="00B347BC">
        <w:trPr>
          <w:trHeight w:val="423"/>
          <w:jc w:val="center"/>
        </w:trPr>
        <w:tc>
          <w:tcPr>
            <w:tcW w:w="10800" w:type="dxa"/>
            <w:gridSpan w:val="5"/>
            <w:tcBorders>
              <w:top w:val="nil"/>
              <w:left w:val="nil"/>
              <w:right w:val="nil"/>
            </w:tcBorders>
            <w:vAlign w:val="center"/>
          </w:tcPr>
          <w:p w:rsidR="005B519D" w:rsidRPr="00902D3A" w:rsidRDefault="005B519D" w:rsidP="00902D3A">
            <w:pPr>
              <w:rPr>
                <w:rFonts w:ascii="Times New Roman" w:hAnsi="Times New Roman" w:cs="Times New Roman"/>
                <w:b/>
                <w:color w:val="1F497D" w:themeColor="text2"/>
                <w:sz w:val="24"/>
              </w:rPr>
            </w:pPr>
            <w:r w:rsidRPr="00902D3A">
              <w:rPr>
                <w:rFonts w:ascii="Times New Roman" w:hAnsi="Times New Roman" w:cs="Times New Roman"/>
                <w:b/>
                <w:color w:val="1F497D" w:themeColor="text2"/>
                <w:sz w:val="24"/>
              </w:rPr>
              <w:lastRenderedPageBreak/>
              <w:t>CERVICAL CANCER COMPARED WITH OTHER HPV-ASSOCIATED CANCERS</w:t>
            </w:r>
          </w:p>
        </w:tc>
      </w:tr>
      <w:tr w:rsidR="005B519D" w:rsidTr="006337C6">
        <w:trPr>
          <w:trHeight w:val="548"/>
          <w:jc w:val="center"/>
        </w:trPr>
        <w:tc>
          <w:tcPr>
            <w:tcW w:w="10800" w:type="dxa"/>
            <w:gridSpan w:val="5"/>
            <w:tcBorders>
              <w:bottom w:val="single" w:sz="4" w:space="0" w:color="auto"/>
            </w:tcBorders>
            <w:vAlign w:val="center"/>
          </w:tcPr>
          <w:p w:rsidR="005B519D" w:rsidRPr="00902D3A" w:rsidRDefault="005B519D" w:rsidP="005B519D">
            <w:pPr>
              <w:rPr>
                <w:rFonts w:ascii="Times New Roman" w:hAnsi="Times New Roman" w:cs="Times New Roman"/>
                <w:b/>
                <w:color w:val="1F497D" w:themeColor="text2"/>
                <w:sz w:val="24"/>
              </w:rPr>
            </w:pPr>
            <w:r w:rsidRPr="00902D3A">
              <w:rPr>
                <w:rFonts w:ascii="Times New Roman" w:hAnsi="Times New Roman" w:cs="Times New Roman"/>
                <w:b/>
                <w:color w:val="1F497D" w:themeColor="text2"/>
                <w:sz w:val="24"/>
              </w:rPr>
              <w:t>Table 1. Total cases</w:t>
            </w:r>
            <w:r>
              <w:rPr>
                <w:rFonts w:ascii="Times New Roman" w:hAnsi="Times New Roman" w:cs="Times New Roman"/>
                <w:b/>
                <w:color w:val="1F497D" w:themeColor="text2"/>
                <w:sz w:val="24"/>
              </w:rPr>
              <w:t>,</w:t>
            </w:r>
            <w:r w:rsidRPr="00902D3A">
              <w:rPr>
                <w:rFonts w:ascii="Times New Roman" w:hAnsi="Times New Roman" w:cs="Times New Roman"/>
                <w:b/>
                <w:color w:val="1F497D" w:themeColor="text2"/>
                <w:sz w:val="24"/>
              </w:rPr>
              <w:t xml:space="preserve"> </w:t>
            </w:r>
            <w:r>
              <w:rPr>
                <w:rFonts w:ascii="Times New Roman" w:hAnsi="Times New Roman" w:cs="Times New Roman"/>
                <w:b/>
                <w:color w:val="1F497D" w:themeColor="text2"/>
                <w:sz w:val="24"/>
              </w:rPr>
              <w:t xml:space="preserve">age-adjusted </w:t>
            </w:r>
            <w:r w:rsidRPr="00902D3A">
              <w:rPr>
                <w:rFonts w:ascii="Times New Roman" w:hAnsi="Times New Roman" w:cs="Times New Roman"/>
                <w:b/>
                <w:color w:val="1F497D" w:themeColor="text2"/>
                <w:sz w:val="24"/>
              </w:rPr>
              <w:t>incidence rate</w:t>
            </w:r>
            <w:r>
              <w:rPr>
                <w:rFonts w:ascii="Times New Roman" w:hAnsi="Times New Roman" w:cs="Times New Roman"/>
                <w:b/>
                <w:color w:val="1F497D" w:themeColor="text2"/>
                <w:sz w:val="24"/>
              </w:rPr>
              <w:t>s (2004-2014),</w:t>
            </w:r>
            <w:r w:rsidRPr="00902D3A">
              <w:rPr>
                <w:rFonts w:ascii="Times New Roman" w:hAnsi="Times New Roman" w:cs="Times New Roman"/>
                <w:b/>
                <w:color w:val="1F497D" w:themeColor="text2"/>
                <w:sz w:val="24"/>
              </w:rPr>
              <w:t>^</w:t>
            </w:r>
            <w:r>
              <w:rPr>
                <w:rFonts w:ascii="Times New Roman" w:hAnsi="Times New Roman" w:cs="Times New Roman"/>
                <w:b/>
                <w:color w:val="1F497D" w:themeColor="text2"/>
                <w:sz w:val="24"/>
              </w:rPr>
              <w:t xml:space="preserve"> total deaths, and </w:t>
            </w:r>
            <w:r w:rsidR="00BF7F32">
              <w:rPr>
                <w:rFonts w:ascii="Times New Roman" w:hAnsi="Times New Roman" w:cs="Times New Roman"/>
                <w:b/>
                <w:color w:val="1F497D" w:themeColor="text2"/>
                <w:sz w:val="24"/>
              </w:rPr>
              <w:t xml:space="preserve">age-adjusted </w:t>
            </w:r>
            <w:r>
              <w:rPr>
                <w:rFonts w:ascii="Times New Roman" w:hAnsi="Times New Roman" w:cs="Times New Roman"/>
                <w:b/>
                <w:color w:val="1F497D" w:themeColor="text2"/>
                <w:sz w:val="24"/>
              </w:rPr>
              <w:t>mortality rates</w:t>
            </w:r>
            <w:r w:rsidRPr="00902D3A">
              <w:rPr>
                <w:rFonts w:ascii="Times New Roman" w:hAnsi="Times New Roman" w:cs="Times New Roman"/>
                <w:b/>
                <w:color w:val="1F497D" w:themeColor="text2"/>
                <w:sz w:val="24"/>
              </w:rPr>
              <w:t xml:space="preserve"> </w:t>
            </w:r>
            <w:r>
              <w:rPr>
                <w:rFonts w:ascii="Times New Roman" w:hAnsi="Times New Roman" w:cs="Times New Roman"/>
                <w:b/>
                <w:color w:val="1F497D" w:themeColor="text2"/>
                <w:sz w:val="24"/>
              </w:rPr>
              <w:t xml:space="preserve">(2008-2014)^ </w:t>
            </w:r>
            <w:r w:rsidRPr="00902D3A">
              <w:rPr>
                <w:rFonts w:ascii="Times New Roman" w:hAnsi="Times New Roman" w:cs="Times New Roman"/>
                <w:b/>
                <w:color w:val="1F497D" w:themeColor="text2"/>
                <w:sz w:val="24"/>
              </w:rPr>
              <w:t>of the most common HPV-associated c</w:t>
            </w:r>
            <w:r>
              <w:rPr>
                <w:rFonts w:ascii="Times New Roman" w:hAnsi="Times New Roman" w:cs="Times New Roman"/>
                <w:b/>
                <w:color w:val="1F497D" w:themeColor="text2"/>
                <w:sz w:val="24"/>
              </w:rPr>
              <w:t xml:space="preserve">ancers in </w:t>
            </w:r>
            <w:r w:rsidR="008571F5">
              <w:rPr>
                <w:rFonts w:ascii="Times New Roman" w:hAnsi="Times New Roman" w:cs="Times New Roman"/>
                <w:b/>
                <w:color w:val="1F497D" w:themeColor="text2"/>
                <w:sz w:val="24"/>
              </w:rPr>
              <w:t>females</w:t>
            </w:r>
            <w:r>
              <w:rPr>
                <w:rFonts w:ascii="Times New Roman" w:hAnsi="Times New Roman" w:cs="Times New Roman"/>
                <w:b/>
                <w:color w:val="1F497D" w:themeColor="text2"/>
                <w:sz w:val="24"/>
              </w:rPr>
              <w:t>, Massachusetts</w:t>
            </w:r>
          </w:p>
        </w:tc>
      </w:tr>
      <w:tr w:rsidR="005B519D" w:rsidTr="00B347BC">
        <w:trPr>
          <w:trHeight w:val="350"/>
          <w:jc w:val="center"/>
        </w:trPr>
        <w:tc>
          <w:tcPr>
            <w:tcW w:w="2160" w:type="dxa"/>
            <w:tcBorders>
              <w:bottom w:val="nil"/>
              <w:right w:val="nil"/>
            </w:tcBorders>
            <w:vAlign w:val="center"/>
          </w:tcPr>
          <w:p w:rsidR="005B519D" w:rsidRPr="00902D3A" w:rsidRDefault="005B519D" w:rsidP="00902D3A">
            <w:pPr>
              <w:rPr>
                <w:rFonts w:ascii="Times New Roman" w:hAnsi="Times New Roman" w:cs="Times New Roman"/>
                <w:b/>
                <w:color w:val="1F497D" w:themeColor="text2"/>
                <w:sz w:val="24"/>
              </w:rPr>
            </w:pPr>
            <w:r w:rsidRPr="00902D3A">
              <w:rPr>
                <w:rFonts w:ascii="Times New Roman" w:hAnsi="Times New Roman" w:cs="Times New Roman"/>
                <w:b/>
                <w:color w:val="1F497D" w:themeColor="text2"/>
                <w:sz w:val="24"/>
              </w:rPr>
              <w:t>Cancer Site</w:t>
            </w:r>
          </w:p>
        </w:tc>
        <w:tc>
          <w:tcPr>
            <w:tcW w:w="900" w:type="dxa"/>
            <w:tcBorders>
              <w:left w:val="nil"/>
              <w:bottom w:val="nil"/>
              <w:right w:val="nil"/>
            </w:tcBorders>
            <w:vAlign w:val="center"/>
          </w:tcPr>
          <w:p w:rsidR="005B519D" w:rsidRPr="00902D3A" w:rsidRDefault="005B519D" w:rsidP="00902D3A">
            <w:pPr>
              <w:jc w:val="center"/>
              <w:rPr>
                <w:rFonts w:ascii="Times New Roman" w:hAnsi="Times New Roman" w:cs="Times New Roman"/>
                <w:b/>
                <w:color w:val="1F497D" w:themeColor="text2"/>
                <w:sz w:val="24"/>
              </w:rPr>
            </w:pPr>
            <w:r w:rsidRPr="00902D3A">
              <w:rPr>
                <w:rFonts w:ascii="Times New Roman" w:hAnsi="Times New Roman" w:cs="Times New Roman"/>
                <w:b/>
                <w:color w:val="1F497D" w:themeColor="text2"/>
                <w:sz w:val="24"/>
              </w:rPr>
              <w:t>Cases</w:t>
            </w:r>
          </w:p>
        </w:tc>
        <w:tc>
          <w:tcPr>
            <w:tcW w:w="3127" w:type="dxa"/>
            <w:tcBorders>
              <w:left w:val="nil"/>
              <w:bottom w:val="nil"/>
            </w:tcBorders>
            <w:vAlign w:val="center"/>
          </w:tcPr>
          <w:p w:rsidR="005B519D" w:rsidRPr="00902D3A" w:rsidRDefault="00916572" w:rsidP="00902D3A">
            <w:pPr>
              <w:jc w:val="center"/>
              <w:rPr>
                <w:rFonts w:ascii="Times New Roman" w:hAnsi="Times New Roman" w:cs="Times New Roman"/>
                <w:b/>
                <w:color w:val="1F497D" w:themeColor="text2"/>
                <w:sz w:val="24"/>
              </w:rPr>
            </w:pPr>
            <w:r>
              <w:rPr>
                <w:rFonts w:ascii="Times New Roman" w:hAnsi="Times New Roman" w:cs="Times New Roman"/>
                <w:b/>
                <w:color w:val="1F497D" w:themeColor="text2"/>
                <w:sz w:val="24"/>
              </w:rPr>
              <w:t>Incidence Rate</w:t>
            </w:r>
            <w:r w:rsidR="005C1C5E">
              <w:rPr>
                <w:rFonts w:ascii="Times New Roman" w:hAnsi="Times New Roman" w:cs="Times New Roman"/>
                <w:b/>
                <w:color w:val="1F497D" w:themeColor="text2"/>
                <w:sz w:val="24"/>
              </w:rPr>
              <w:t>^</w:t>
            </w:r>
          </w:p>
        </w:tc>
        <w:tc>
          <w:tcPr>
            <w:tcW w:w="923" w:type="dxa"/>
            <w:tcBorders>
              <w:left w:val="nil"/>
              <w:bottom w:val="nil"/>
              <w:right w:val="nil"/>
            </w:tcBorders>
          </w:tcPr>
          <w:p w:rsidR="005B519D" w:rsidRPr="00902D3A" w:rsidRDefault="005B519D" w:rsidP="00902D3A">
            <w:pPr>
              <w:jc w:val="center"/>
              <w:rPr>
                <w:rFonts w:ascii="Times New Roman" w:hAnsi="Times New Roman" w:cs="Times New Roman"/>
                <w:b/>
                <w:color w:val="1F497D" w:themeColor="text2"/>
                <w:sz w:val="24"/>
              </w:rPr>
            </w:pPr>
            <w:r>
              <w:rPr>
                <w:rFonts w:ascii="Times New Roman" w:hAnsi="Times New Roman" w:cs="Times New Roman"/>
                <w:b/>
                <w:color w:val="1F497D" w:themeColor="text2"/>
                <w:sz w:val="24"/>
              </w:rPr>
              <w:t>Deaths</w:t>
            </w:r>
          </w:p>
        </w:tc>
        <w:tc>
          <w:tcPr>
            <w:tcW w:w="3690" w:type="dxa"/>
            <w:tcBorders>
              <w:left w:val="nil"/>
              <w:bottom w:val="nil"/>
            </w:tcBorders>
          </w:tcPr>
          <w:p w:rsidR="005B519D" w:rsidRPr="00902D3A" w:rsidRDefault="00916572" w:rsidP="00902D3A">
            <w:pPr>
              <w:jc w:val="center"/>
              <w:rPr>
                <w:rFonts w:ascii="Times New Roman" w:hAnsi="Times New Roman" w:cs="Times New Roman"/>
                <w:b/>
                <w:color w:val="1F497D" w:themeColor="text2"/>
                <w:sz w:val="24"/>
              </w:rPr>
            </w:pPr>
            <w:r>
              <w:rPr>
                <w:rFonts w:ascii="Times New Roman" w:hAnsi="Times New Roman" w:cs="Times New Roman"/>
                <w:b/>
                <w:color w:val="1F497D" w:themeColor="text2"/>
                <w:sz w:val="24"/>
              </w:rPr>
              <w:t>Mortality Rate</w:t>
            </w:r>
            <w:r w:rsidR="005C1C5E">
              <w:rPr>
                <w:rFonts w:ascii="Times New Roman" w:hAnsi="Times New Roman" w:cs="Times New Roman"/>
                <w:b/>
                <w:color w:val="1F497D" w:themeColor="text2"/>
                <w:sz w:val="24"/>
              </w:rPr>
              <w:t>^</w:t>
            </w:r>
          </w:p>
        </w:tc>
      </w:tr>
      <w:tr w:rsidR="00BF7F32" w:rsidTr="00B347BC">
        <w:trPr>
          <w:trHeight w:val="342"/>
          <w:jc w:val="center"/>
        </w:trPr>
        <w:tc>
          <w:tcPr>
            <w:tcW w:w="2160" w:type="dxa"/>
            <w:tcBorders>
              <w:top w:val="nil"/>
              <w:bottom w:val="nil"/>
              <w:right w:val="nil"/>
            </w:tcBorders>
            <w:vAlign w:val="center"/>
          </w:tcPr>
          <w:p w:rsidR="00BF7F32" w:rsidRPr="008358B2" w:rsidRDefault="00BF7F32" w:rsidP="001F0C32">
            <w:pPr>
              <w:rPr>
                <w:rFonts w:ascii="Times New Roman" w:hAnsi="Times New Roman" w:cs="Times New Roman"/>
                <w:sz w:val="24"/>
              </w:rPr>
            </w:pPr>
            <w:r>
              <w:rPr>
                <w:rFonts w:ascii="Times New Roman" w:hAnsi="Times New Roman" w:cs="Times New Roman"/>
                <w:sz w:val="24"/>
              </w:rPr>
              <w:t>All HPV-associated cancer sites</w:t>
            </w:r>
            <w:r w:rsidR="001F0C32">
              <w:rPr>
                <w:rFonts w:ascii="Times New Roman" w:hAnsi="Times New Roman" w:cs="Times New Roman"/>
                <w:sz w:val="24"/>
              </w:rPr>
              <w:t xml:space="preserve"> </w:t>
            </w:r>
          </w:p>
        </w:tc>
        <w:tc>
          <w:tcPr>
            <w:tcW w:w="900" w:type="dxa"/>
            <w:tcBorders>
              <w:top w:val="nil"/>
              <w:left w:val="nil"/>
              <w:bottom w:val="nil"/>
              <w:right w:val="nil"/>
            </w:tcBorders>
            <w:vAlign w:val="center"/>
          </w:tcPr>
          <w:p w:rsidR="00BF7F32" w:rsidRDefault="00BF7F32" w:rsidP="00902D3A">
            <w:pPr>
              <w:jc w:val="center"/>
              <w:rPr>
                <w:rFonts w:ascii="Times New Roman" w:hAnsi="Times New Roman" w:cs="Times New Roman"/>
                <w:sz w:val="24"/>
              </w:rPr>
            </w:pPr>
            <w:r>
              <w:rPr>
                <w:rFonts w:ascii="Times New Roman" w:hAnsi="Times New Roman" w:cs="Times New Roman"/>
                <w:sz w:val="24"/>
              </w:rPr>
              <w:t>5,130</w:t>
            </w:r>
          </w:p>
        </w:tc>
        <w:tc>
          <w:tcPr>
            <w:tcW w:w="3127" w:type="dxa"/>
            <w:tcBorders>
              <w:top w:val="nil"/>
              <w:left w:val="nil"/>
              <w:bottom w:val="nil"/>
            </w:tcBorders>
            <w:vAlign w:val="center"/>
          </w:tcPr>
          <w:p w:rsidR="00BF7F32" w:rsidRDefault="00BF7F32" w:rsidP="00902D3A">
            <w:pPr>
              <w:jc w:val="center"/>
              <w:rPr>
                <w:rFonts w:ascii="Times New Roman" w:hAnsi="Times New Roman" w:cs="Times New Roman"/>
                <w:sz w:val="24"/>
              </w:rPr>
            </w:pPr>
            <w:r>
              <w:rPr>
                <w:rFonts w:ascii="Times New Roman" w:hAnsi="Times New Roman" w:cs="Times New Roman"/>
                <w:sz w:val="24"/>
              </w:rPr>
              <w:t>11.84</w:t>
            </w:r>
          </w:p>
        </w:tc>
        <w:tc>
          <w:tcPr>
            <w:tcW w:w="923" w:type="dxa"/>
            <w:tcBorders>
              <w:top w:val="nil"/>
              <w:left w:val="nil"/>
              <w:bottom w:val="nil"/>
              <w:right w:val="nil"/>
            </w:tcBorders>
            <w:vAlign w:val="center"/>
          </w:tcPr>
          <w:p w:rsidR="00BF7F32" w:rsidRDefault="00217A09" w:rsidP="005B519D">
            <w:pPr>
              <w:jc w:val="center"/>
              <w:rPr>
                <w:rFonts w:ascii="Times New Roman" w:hAnsi="Times New Roman" w:cs="Times New Roman"/>
                <w:sz w:val="24"/>
              </w:rPr>
            </w:pPr>
            <w:r>
              <w:rPr>
                <w:rFonts w:ascii="Times New Roman" w:hAnsi="Times New Roman" w:cs="Times New Roman"/>
                <w:sz w:val="24"/>
              </w:rPr>
              <w:t>956</w:t>
            </w:r>
          </w:p>
        </w:tc>
        <w:tc>
          <w:tcPr>
            <w:tcW w:w="3690" w:type="dxa"/>
            <w:tcBorders>
              <w:top w:val="nil"/>
              <w:left w:val="nil"/>
              <w:bottom w:val="nil"/>
            </w:tcBorders>
            <w:vAlign w:val="center"/>
          </w:tcPr>
          <w:p w:rsidR="00BF7F32" w:rsidRDefault="006C7010" w:rsidP="005B519D">
            <w:pPr>
              <w:jc w:val="center"/>
              <w:rPr>
                <w:rFonts w:ascii="Times New Roman" w:hAnsi="Times New Roman" w:cs="Times New Roman"/>
                <w:sz w:val="24"/>
              </w:rPr>
            </w:pPr>
            <w:r>
              <w:rPr>
                <w:rFonts w:ascii="Times New Roman" w:hAnsi="Times New Roman" w:cs="Times New Roman"/>
                <w:sz w:val="24"/>
              </w:rPr>
              <w:t>3.08</w:t>
            </w:r>
          </w:p>
        </w:tc>
      </w:tr>
      <w:tr w:rsidR="005B519D" w:rsidTr="00B347BC">
        <w:trPr>
          <w:trHeight w:val="342"/>
          <w:jc w:val="center"/>
        </w:trPr>
        <w:tc>
          <w:tcPr>
            <w:tcW w:w="2160" w:type="dxa"/>
            <w:tcBorders>
              <w:top w:val="nil"/>
              <w:bottom w:val="nil"/>
              <w:right w:val="nil"/>
            </w:tcBorders>
            <w:vAlign w:val="center"/>
          </w:tcPr>
          <w:p w:rsidR="005B519D" w:rsidRPr="008358B2" w:rsidRDefault="005B519D" w:rsidP="00902D3A">
            <w:pPr>
              <w:rPr>
                <w:rFonts w:ascii="Times New Roman" w:hAnsi="Times New Roman" w:cs="Times New Roman"/>
                <w:sz w:val="24"/>
              </w:rPr>
            </w:pPr>
            <w:r w:rsidRPr="008358B2">
              <w:rPr>
                <w:rFonts w:ascii="Times New Roman" w:hAnsi="Times New Roman" w:cs="Times New Roman"/>
                <w:sz w:val="24"/>
              </w:rPr>
              <w:t>Cervix</w:t>
            </w:r>
          </w:p>
        </w:tc>
        <w:tc>
          <w:tcPr>
            <w:tcW w:w="900" w:type="dxa"/>
            <w:tcBorders>
              <w:top w:val="nil"/>
              <w:left w:val="nil"/>
              <w:bottom w:val="nil"/>
              <w:right w:val="nil"/>
            </w:tcBorders>
            <w:vAlign w:val="center"/>
          </w:tcPr>
          <w:p w:rsidR="005B519D" w:rsidRPr="008358B2" w:rsidRDefault="005B519D" w:rsidP="00902D3A">
            <w:pPr>
              <w:jc w:val="center"/>
              <w:rPr>
                <w:rFonts w:ascii="Times New Roman" w:hAnsi="Times New Roman" w:cs="Times New Roman"/>
                <w:sz w:val="24"/>
              </w:rPr>
            </w:pPr>
            <w:r>
              <w:rPr>
                <w:rFonts w:ascii="Times New Roman" w:hAnsi="Times New Roman" w:cs="Times New Roman"/>
                <w:sz w:val="24"/>
              </w:rPr>
              <w:t>2,193</w:t>
            </w:r>
          </w:p>
        </w:tc>
        <w:tc>
          <w:tcPr>
            <w:tcW w:w="3127" w:type="dxa"/>
            <w:tcBorders>
              <w:top w:val="nil"/>
              <w:left w:val="nil"/>
              <w:bottom w:val="nil"/>
            </w:tcBorders>
            <w:vAlign w:val="center"/>
          </w:tcPr>
          <w:p w:rsidR="005B519D" w:rsidRPr="008358B2" w:rsidRDefault="00BC437D" w:rsidP="00902D3A">
            <w:pPr>
              <w:jc w:val="center"/>
              <w:rPr>
                <w:rFonts w:ascii="Times New Roman" w:hAnsi="Times New Roman" w:cs="Times New Roman"/>
                <w:sz w:val="24"/>
              </w:rPr>
            </w:pPr>
            <w:r>
              <w:rPr>
                <w:rFonts w:ascii="Times New Roman" w:hAnsi="Times New Roman" w:cs="Times New Roman"/>
                <w:sz w:val="24"/>
              </w:rPr>
              <w:t>5.46</w:t>
            </w:r>
          </w:p>
        </w:tc>
        <w:tc>
          <w:tcPr>
            <w:tcW w:w="923" w:type="dxa"/>
            <w:tcBorders>
              <w:top w:val="nil"/>
              <w:left w:val="nil"/>
              <w:bottom w:val="nil"/>
              <w:right w:val="nil"/>
            </w:tcBorders>
            <w:vAlign w:val="center"/>
          </w:tcPr>
          <w:p w:rsidR="005B519D" w:rsidRDefault="00EA5059" w:rsidP="005B519D">
            <w:pPr>
              <w:jc w:val="center"/>
              <w:rPr>
                <w:rFonts w:ascii="Times New Roman" w:hAnsi="Times New Roman" w:cs="Times New Roman"/>
                <w:sz w:val="24"/>
              </w:rPr>
            </w:pPr>
            <w:r>
              <w:rPr>
                <w:rFonts w:ascii="Times New Roman" w:hAnsi="Times New Roman" w:cs="Times New Roman"/>
                <w:sz w:val="24"/>
              </w:rPr>
              <w:t>374</w:t>
            </w:r>
          </w:p>
        </w:tc>
        <w:tc>
          <w:tcPr>
            <w:tcW w:w="3690" w:type="dxa"/>
            <w:tcBorders>
              <w:top w:val="nil"/>
              <w:left w:val="nil"/>
              <w:bottom w:val="nil"/>
            </w:tcBorders>
            <w:vAlign w:val="center"/>
          </w:tcPr>
          <w:p w:rsidR="005B519D" w:rsidRDefault="005B519D" w:rsidP="005B519D">
            <w:pPr>
              <w:jc w:val="center"/>
              <w:rPr>
                <w:rFonts w:ascii="Times New Roman" w:hAnsi="Times New Roman" w:cs="Times New Roman"/>
                <w:sz w:val="24"/>
              </w:rPr>
            </w:pPr>
            <w:r>
              <w:rPr>
                <w:rFonts w:ascii="Times New Roman" w:hAnsi="Times New Roman" w:cs="Times New Roman"/>
                <w:sz w:val="24"/>
              </w:rPr>
              <w:t>1.29</w:t>
            </w:r>
          </w:p>
        </w:tc>
      </w:tr>
      <w:tr w:rsidR="005B519D" w:rsidTr="00B347BC">
        <w:trPr>
          <w:trHeight w:val="378"/>
          <w:jc w:val="center"/>
        </w:trPr>
        <w:tc>
          <w:tcPr>
            <w:tcW w:w="2160" w:type="dxa"/>
            <w:tcBorders>
              <w:top w:val="nil"/>
              <w:bottom w:val="nil"/>
              <w:right w:val="nil"/>
            </w:tcBorders>
            <w:vAlign w:val="center"/>
          </w:tcPr>
          <w:p w:rsidR="005B519D" w:rsidRPr="008358B2" w:rsidRDefault="005B519D" w:rsidP="00902D3A">
            <w:pPr>
              <w:rPr>
                <w:rFonts w:ascii="Times New Roman" w:hAnsi="Times New Roman" w:cs="Times New Roman"/>
                <w:sz w:val="24"/>
              </w:rPr>
            </w:pPr>
            <w:r>
              <w:rPr>
                <w:rFonts w:ascii="Times New Roman" w:hAnsi="Times New Roman" w:cs="Times New Roman"/>
                <w:sz w:val="24"/>
              </w:rPr>
              <w:t>Vulva*</w:t>
            </w:r>
          </w:p>
        </w:tc>
        <w:tc>
          <w:tcPr>
            <w:tcW w:w="900" w:type="dxa"/>
            <w:tcBorders>
              <w:top w:val="nil"/>
              <w:left w:val="nil"/>
              <w:bottom w:val="nil"/>
              <w:right w:val="nil"/>
            </w:tcBorders>
            <w:vAlign w:val="center"/>
          </w:tcPr>
          <w:p w:rsidR="005B519D" w:rsidRPr="008358B2" w:rsidRDefault="005B519D" w:rsidP="00902D3A">
            <w:pPr>
              <w:jc w:val="center"/>
              <w:rPr>
                <w:rFonts w:ascii="Times New Roman" w:hAnsi="Times New Roman" w:cs="Times New Roman"/>
                <w:sz w:val="24"/>
              </w:rPr>
            </w:pPr>
            <w:r>
              <w:rPr>
                <w:rFonts w:ascii="Times New Roman" w:hAnsi="Times New Roman" w:cs="Times New Roman"/>
                <w:sz w:val="24"/>
              </w:rPr>
              <w:t>1,046</w:t>
            </w:r>
          </w:p>
        </w:tc>
        <w:tc>
          <w:tcPr>
            <w:tcW w:w="3127" w:type="dxa"/>
            <w:tcBorders>
              <w:top w:val="nil"/>
              <w:left w:val="nil"/>
              <w:bottom w:val="nil"/>
            </w:tcBorders>
            <w:vAlign w:val="center"/>
          </w:tcPr>
          <w:p w:rsidR="005B519D" w:rsidRPr="008358B2" w:rsidRDefault="005B519D" w:rsidP="00902D3A">
            <w:pPr>
              <w:jc w:val="center"/>
              <w:rPr>
                <w:rFonts w:ascii="Times New Roman" w:hAnsi="Times New Roman" w:cs="Times New Roman"/>
                <w:sz w:val="24"/>
              </w:rPr>
            </w:pPr>
            <w:r>
              <w:rPr>
                <w:rFonts w:ascii="Times New Roman" w:hAnsi="Times New Roman" w:cs="Times New Roman"/>
                <w:sz w:val="24"/>
              </w:rPr>
              <w:t>2.2</w:t>
            </w:r>
            <w:r w:rsidR="00706C16">
              <w:rPr>
                <w:rFonts w:ascii="Times New Roman" w:hAnsi="Times New Roman" w:cs="Times New Roman"/>
                <w:sz w:val="24"/>
              </w:rPr>
              <w:t>4</w:t>
            </w:r>
          </w:p>
        </w:tc>
        <w:tc>
          <w:tcPr>
            <w:tcW w:w="923" w:type="dxa"/>
            <w:tcBorders>
              <w:top w:val="nil"/>
              <w:left w:val="nil"/>
              <w:bottom w:val="nil"/>
              <w:right w:val="nil"/>
            </w:tcBorders>
            <w:vAlign w:val="center"/>
          </w:tcPr>
          <w:p w:rsidR="005B519D" w:rsidRDefault="00EA5059" w:rsidP="005B519D">
            <w:pPr>
              <w:jc w:val="center"/>
              <w:rPr>
                <w:rFonts w:ascii="Times New Roman" w:hAnsi="Times New Roman" w:cs="Times New Roman"/>
                <w:sz w:val="24"/>
              </w:rPr>
            </w:pPr>
            <w:r>
              <w:rPr>
                <w:rFonts w:ascii="Times New Roman" w:hAnsi="Times New Roman" w:cs="Times New Roman"/>
                <w:sz w:val="24"/>
              </w:rPr>
              <w:t>221</w:t>
            </w:r>
          </w:p>
        </w:tc>
        <w:tc>
          <w:tcPr>
            <w:tcW w:w="3690" w:type="dxa"/>
            <w:tcBorders>
              <w:top w:val="nil"/>
              <w:left w:val="nil"/>
              <w:bottom w:val="nil"/>
            </w:tcBorders>
            <w:vAlign w:val="center"/>
          </w:tcPr>
          <w:p w:rsidR="005B519D" w:rsidRDefault="005B519D" w:rsidP="005B519D">
            <w:pPr>
              <w:jc w:val="center"/>
              <w:rPr>
                <w:rFonts w:ascii="Times New Roman" w:hAnsi="Times New Roman" w:cs="Times New Roman"/>
                <w:sz w:val="24"/>
              </w:rPr>
            </w:pPr>
            <w:r>
              <w:rPr>
                <w:rFonts w:ascii="Times New Roman" w:hAnsi="Times New Roman" w:cs="Times New Roman"/>
                <w:sz w:val="24"/>
              </w:rPr>
              <w:t>0.67</w:t>
            </w:r>
          </w:p>
        </w:tc>
      </w:tr>
      <w:tr w:rsidR="005B519D" w:rsidTr="00B347BC">
        <w:trPr>
          <w:trHeight w:val="360"/>
          <w:jc w:val="center"/>
        </w:trPr>
        <w:tc>
          <w:tcPr>
            <w:tcW w:w="2160" w:type="dxa"/>
            <w:tcBorders>
              <w:top w:val="nil"/>
              <w:bottom w:val="single" w:sz="4" w:space="0" w:color="auto"/>
              <w:right w:val="nil"/>
            </w:tcBorders>
            <w:vAlign w:val="center"/>
          </w:tcPr>
          <w:p w:rsidR="005B519D" w:rsidRPr="008358B2" w:rsidRDefault="005B519D" w:rsidP="00902D3A">
            <w:pPr>
              <w:rPr>
                <w:rFonts w:ascii="Times New Roman" w:hAnsi="Times New Roman" w:cs="Times New Roman"/>
                <w:sz w:val="24"/>
              </w:rPr>
            </w:pPr>
            <w:r>
              <w:rPr>
                <w:rFonts w:ascii="Times New Roman" w:hAnsi="Times New Roman" w:cs="Times New Roman"/>
                <w:sz w:val="24"/>
              </w:rPr>
              <w:t>Oropharynx*</w:t>
            </w:r>
          </w:p>
        </w:tc>
        <w:tc>
          <w:tcPr>
            <w:tcW w:w="900" w:type="dxa"/>
            <w:tcBorders>
              <w:top w:val="nil"/>
              <w:left w:val="nil"/>
              <w:bottom w:val="single" w:sz="4" w:space="0" w:color="auto"/>
              <w:right w:val="nil"/>
            </w:tcBorders>
            <w:vAlign w:val="center"/>
          </w:tcPr>
          <w:p w:rsidR="005B519D" w:rsidRPr="008358B2" w:rsidRDefault="005B519D" w:rsidP="00902D3A">
            <w:pPr>
              <w:jc w:val="center"/>
              <w:rPr>
                <w:rFonts w:ascii="Times New Roman" w:hAnsi="Times New Roman" w:cs="Times New Roman"/>
                <w:sz w:val="24"/>
              </w:rPr>
            </w:pPr>
            <w:r>
              <w:rPr>
                <w:rFonts w:ascii="Times New Roman" w:hAnsi="Times New Roman" w:cs="Times New Roman"/>
                <w:sz w:val="24"/>
              </w:rPr>
              <w:t>869</w:t>
            </w:r>
          </w:p>
        </w:tc>
        <w:tc>
          <w:tcPr>
            <w:tcW w:w="3127" w:type="dxa"/>
            <w:tcBorders>
              <w:top w:val="nil"/>
              <w:left w:val="nil"/>
              <w:bottom w:val="single" w:sz="4" w:space="0" w:color="auto"/>
            </w:tcBorders>
            <w:vAlign w:val="center"/>
          </w:tcPr>
          <w:p w:rsidR="005B519D" w:rsidRPr="008358B2" w:rsidRDefault="005B519D" w:rsidP="00902D3A">
            <w:pPr>
              <w:jc w:val="center"/>
              <w:rPr>
                <w:rFonts w:ascii="Times New Roman" w:hAnsi="Times New Roman" w:cs="Times New Roman"/>
                <w:sz w:val="24"/>
              </w:rPr>
            </w:pPr>
            <w:r>
              <w:rPr>
                <w:rFonts w:ascii="Times New Roman" w:hAnsi="Times New Roman" w:cs="Times New Roman"/>
                <w:sz w:val="24"/>
              </w:rPr>
              <w:t>1.9</w:t>
            </w:r>
            <w:r w:rsidR="00706C16">
              <w:rPr>
                <w:rFonts w:ascii="Times New Roman" w:hAnsi="Times New Roman" w:cs="Times New Roman"/>
                <w:sz w:val="24"/>
              </w:rPr>
              <w:t>1</w:t>
            </w:r>
          </w:p>
        </w:tc>
        <w:tc>
          <w:tcPr>
            <w:tcW w:w="923" w:type="dxa"/>
            <w:tcBorders>
              <w:top w:val="nil"/>
              <w:left w:val="nil"/>
              <w:bottom w:val="single" w:sz="4" w:space="0" w:color="auto"/>
              <w:right w:val="nil"/>
            </w:tcBorders>
            <w:vAlign w:val="center"/>
          </w:tcPr>
          <w:p w:rsidR="005B519D" w:rsidRDefault="00EA5059" w:rsidP="005B519D">
            <w:pPr>
              <w:jc w:val="center"/>
              <w:rPr>
                <w:rFonts w:ascii="Times New Roman" w:hAnsi="Times New Roman" w:cs="Times New Roman"/>
                <w:sz w:val="24"/>
              </w:rPr>
            </w:pPr>
            <w:r>
              <w:rPr>
                <w:rFonts w:ascii="Times New Roman" w:hAnsi="Times New Roman" w:cs="Times New Roman"/>
                <w:sz w:val="24"/>
              </w:rPr>
              <w:t>234</w:t>
            </w:r>
          </w:p>
        </w:tc>
        <w:tc>
          <w:tcPr>
            <w:tcW w:w="3690" w:type="dxa"/>
            <w:tcBorders>
              <w:top w:val="nil"/>
              <w:left w:val="nil"/>
              <w:bottom w:val="single" w:sz="4" w:space="0" w:color="auto"/>
            </w:tcBorders>
            <w:vAlign w:val="center"/>
          </w:tcPr>
          <w:p w:rsidR="005B519D" w:rsidRDefault="005B519D" w:rsidP="005B519D">
            <w:pPr>
              <w:jc w:val="center"/>
              <w:rPr>
                <w:rFonts w:ascii="Times New Roman" w:hAnsi="Times New Roman" w:cs="Times New Roman"/>
                <w:sz w:val="24"/>
              </w:rPr>
            </w:pPr>
            <w:r>
              <w:rPr>
                <w:rFonts w:ascii="Times New Roman" w:hAnsi="Times New Roman" w:cs="Times New Roman"/>
                <w:sz w:val="24"/>
              </w:rPr>
              <w:t>0.73</w:t>
            </w:r>
          </w:p>
        </w:tc>
      </w:tr>
      <w:tr w:rsidR="005B519D" w:rsidTr="006337C6">
        <w:trPr>
          <w:trHeight w:val="70"/>
          <w:jc w:val="center"/>
        </w:trPr>
        <w:tc>
          <w:tcPr>
            <w:tcW w:w="10800" w:type="dxa"/>
            <w:gridSpan w:val="5"/>
            <w:tcBorders>
              <w:top w:val="single" w:sz="4" w:space="0" w:color="auto"/>
            </w:tcBorders>
            <w:vAlign w:val="center"/>
          </w:tcPr>
          <w:p w:rsidR="005B519D" w:rsidRDefault="00BF7F32" w:rsidP="005C1C5E">
            <w:pPr>
              <w:rPr>
                <w:rFonts w:ascii="Times New Roman" w:hAnsi="Times New Roman" w:cs="Times New Roman"/>
                <w:sz w:val="20"/>
              </w:rPr>
            </w:pPr>
            <w:r>
              <w:rPr>
                <w:rFonts w:ascii="Times New Roman" w:hAnsi="Times New Roman" w:cs="Times New Roman"/>
                <w:sz w:val="20"/>
              </w:rPr>
              <w:t>*The</w:t>
            </w:r>
            <w:r w:rsidR="005B519D">
              <w:rPr>
                <w:rFonts w:ascii="Times New Roman" w:hAnsi="Times New Roman" w:cs="Times New Roman"/>
                <w:sz w:val="20"/>
              </w:rPr>
              <w:t>s</w:t>
            </w:r>
            <w:r>
              <w:rPr>
                <w:rFonts w:ascii="Times New Roman" w:hAnsi="Times New Roman" w:cs="Times New Roman"/>
                <w:sz w:val="20"/>
              </w:rPr>
              <w:t>e</w:t>
            </w:r>
            <w:r w:rsidR="005B519D">
              <w:rPr>
                <w:rFonts w:ascii="Times New Roman" w:hAnsi="Times New Roman" w:cs="Times New Roman"/>
                <w:sz w:val="20"/>
              </w:rPr>
              <w:t xml:space="preserve"> site</w:t>
            </w:r>
            <w:r>
              <w:rPr>
                <w:rFonts w:ascii="Times New Roman" w:hAnsi="Times New Roman" w:cs="Times New Roman"/>
                <w:sz w:val="20"/>
              </w:rPr>
              <w:t>s are</w:t>
            </w:r>
            <w:r w:rsidR="005B519D">
              <w:rPr>
                <w:rFonts w:ascii="Times New Roman" w:hAnsi="Times New Roman" w:cs="Times New Roman"/>
                <w:sz w:val="20"/>
              </w:rPr>
              <w:t xml:space="preserve"> restricted to squamous cell carcinomas</w:t>
            </w:r>
            <w:r w:rsidR="009C1C6E">
              <w:rPr>
                <w:rFonts w:ascii="Times New Roman" w:hAnsi="Times New Roman" w:cs="Times New Roman"/>
                <w:sz w:val="20"/>
              </w:rPr>
              <w:t xml:space="preserve"> for incidence data</w:t>
            </w:r>
            <w:r w:rsidR="005C1C5E">
              <w:rPr>
                <w:rFonts w:ascii="Times New Roman" w:hAnsi="Times New Roman" w:cs="Times New Roman"/>
                <w:sz w:val="20"/>
              </w:rPr>
              <w:t>;</w:t>
            </w:r>
            <w:r w:rsidR="005B519D">
              <w:rPr>
                <w:rFonts w:ascii="Times New Roman" w:hAnsi="Times New Roman" w:cs="Times New Roman"/>
                <w:sz w:val="20"/>
              </w:rPr>
              <w:t xml:space="preserve"> ^per 100,000 and age-standardized to the 2000 U.S. populati</w:t>
            </w:r>
            <w:r w:rsidR="001F0C32">
              <w:rPr>
                <w:rFonts w:ascii="Times New Roman" w:hAnsi="Times New Roman" w:cs="Times New Roman"/>
                <w:sz w:val="20"/>
              </w:rPr>
              <w:t>on;</w:t>
            </w:r>
            <w:r>
              <w:rPr>
                <w:rFonts w:ascii="Times New Roman" w:hAnsi="Times New Roman" w:cs="Times New Roman"/>
                <w:sz w:val="20"/>
              </w:rPr>
              <w:t xml:space="preserve"> </w:t>
            </w:r>
            <w:r w:rsidR="001F0C32">
              <w:rPr>
                <w:rFonts w:ascii="Times New Roman" w:hAnsi="Times New Roman" w:cs="Times New Roman"/>
                <w:sz w:val="20"/>
              </w:rPr>
              <w:t xml:space="preserve">HPV associated cancer sites </w:t>
            </w:r>
            <w:r w:rsidR="006337C6">
              <w:rPr>
                <w:rFonts w:ascii="Times New Roman" w:hAnsi="Times New Roman" w:cs="Times New Roman"/>
                <w:sz w:val="20"/>
              </w:rPr>
              <w:t xml:space="preserve">in </w:t>
            </w:r>
            <w:r w:rsidR="008571F5">
              <w:rPr>
                <w:rFonts w:ascii="Times New Roman" w:hAnsi="Times New Roman" w:cs="Times New Roman"/>
                <w:sz w:val="20"/>
              </w:rPr>
              <w:t>females</w:t>
            </w:r>
            <w:r w:rsidR="006337C6">
              <w:rPr>
                <w:rFonts w:ascii="Times New Roman" w:hAnsi="Times New Roman" w:cs="Times New Roman"/>
                <w:sz w:val="20"/>
              </w:rPr>
              <w:t xml:space="preserve"> </w:t>
            </w:r>
            <w:r w:rsidR="001F0C32">
              <w:rPr>
                <w:rFonts w:ascii="Times New Roman" w:hAnsi="Times New Roman" w:cs="Times New Roman"/>
                <w:sz w:val="20"/>
              </w:rPr>
              <w:t xml:space="preserve">are anus, cervix, oropharynx, rectum, vagina, and vulva; </w:t>
            </w:r>
            <w:r>
              <w:rPr>
                <w:rFonts w:ascii="Times New Roman" w:hAnsi="Times New Roman" w:cs="Times New Roman"/>
                <w:sz w:val="20"/>
              </w:rPr>
              <w:t>d</w:t>
            </w:r>
            <w:r w:rsidR="005B519D">
              <w:rPr>
                <w:rFonts w:ascii="Times New Roman" w:hAnsi="Times New Roman" w:cs="Times New Roman"/>
                <w:sz w:val="20"/>
              </w:rPr>
              <w:t>ata source: Massachusetts Cancer Registry</w:t>
            </w:r>
            <w:r w:rsidR="00EF1739">
              <w:rPr>
                <w:rFonts w:ascii="Times New Roman" w:hAnsi="Times New Roman" w:cs="Times New Roman"/>
                <w:sz w:val="20"/>
              </w:rPr>
              <w:t xml:space="preserve"> and Massachusetts Registry of Vital Records and Statistics</w:t>
            </w:r>
          </w:p>
        </w:tc>
      </w:tr>
    </w:tbl>
    <w:p w:rsidR="00085AB3" w:rsidRDefault="00085AB3" w:rsidP="00553017">
      <w:pPr>
        <w:spacing w:after="0" w:line="240" w:lineRule="auto"/>
        <w:rPr>
          <w:rFonts w:ascii="Times New Roman" w:hAnsi="Times New Roman" w:cs="Times New Roman"/>
          <w:b/>
          <w:sz w:val="24"/>
        </w:rPr>
        <w:sectPr w:rsidR="00085AB3" w:rsidSect="008358B2">
          <w:type w:val="continuous"/>
          <w:pgSz w:w="12240" w:h="15840"/>
          <w:pgMar w:top="1440" w:right="1440" w:bottom="1440" w:left="1440" w:header="720" w:footer="720" w:gutter="0"/>
          <w:cols w:space="720"/>
          <w:docGrid w:linePitch="360"/>
        </w:sectPr>
      </w:pPr>
    </w:p>
    <w:p w:rsidR="00902D3A" w:rsidRDefault="00FB4794" w:rsidP="00553017">
      <w:pPr>
        <w:spacing w:after="0" w:line="240" w:lineRule="auto"/>
        <w:rPr>
          <w:rFonts w:ascii="Times New Roman" w:hAnsi="Times New Roman" w:cs="Times New Roman"/>
          <w:b/>
          <w:sz w:val="24"/>
        </w:rPr>
      </w:pPr>
      <w:r>
        <w:rPr>
          <w:rFonts w:ascii="Times New Roman" w:hAnsi="Times New Roman" w:cs="Times New Roman"/>
          <w:b/>
          <w:sz w:val="24"/>
        </w:rPr>
        <w:lastRenderedPageBreak/>
        <w:t>New Cases</w:t>
      </w:r>
    </w:p>
    <w:p w:rsidR="00FB4794" w:rsidRDefault="00807E2C" w:rsidP="00085AB3">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From 2004-</w:t>
      </w:r>
      <w:r w:rsidR="00FB4794" w:rsidRPr="00FB4794">
        <w:rPr>
          <w:rFonts w:ascii="Times New Roman" w:hAnsi="Times New Roman" w:cs="Times New Roman"/>
          <w:sz w:val="24"/>
        </w:rPr>
        <w:t xml:space="preserve"> 2014</w:t>
      </w:r>
      <w:r w:rsidR="00B50ED9">
        <w:rPr>
          <w:rFonts w:ascii="Times New Roman" w:hAnsi="Times New Roman" w:cs="Times New Roman"/>
          <w:sz w:val="24"/>
        </w:rPr>
        <w:t>, 5</w:t>
      </w:r>
      <w:r w:rsidR="00085AB3">
        <w:rPr>
          <w:rFonts w:ascii="Times New Roman" w:hAnsi="Times New Roman" w:cs="Times New Roman"/>
          <w:sz w:val="24"/>
        </w:rPr>
        <w:t>,</w:t>
      </w:r>
      <w:r w:rsidR="00B50ED9">
        <w:rPr>
          <w:rFonts w:ascii="Times New Roman" w:hAnsi="Times New Roman" w:cs="Times New Roman"/>
          <w:sz w:val="24"/>
        </w:rPr>
        <w:t>130</w:t>
      </w:r>
      <w:r w:rsidR="00FB4794">
        <w:rPr>
          <w:rFonts w:ascii="Times New Roman" w:hAnsi="Times New Roman" w:cs="Times New Roman"/>
          <w:sz w:val="24"/>
        </w:rPr>
        <w:t xml:space="preserve"> cases of HPV-associated cancers were diagnosed in Massachusetts</w:t>
      </w:r>
      <w:r>
        <w:rPr>
          <w:rFonts w:ascii="Times New Roman" w:hAnsi="Times New Roman" w:cs="Times New Roman"/>
          <w:sz w:val="24"/>
        </w:rPr>
        <w:t xml:space="preserve"> </w:t>
      </w:r>
      <w:r w:rsidR="008571F5">
        <w:rPr>
          <w:rFonts w:ascii="Times New Roman" w:hAnsi="Times New Roman" w:cs="Times New Roman"/>
          <w:sz w:val="24"/>
        </w:rPr>
        <w:t>females</w:t>
      </w:r>
      <w:r w:rsidR="00FB4794">
        <w:rPr>
          <w:rFonts w:ascii="Times New Roman" w:hAnsi="Times New Roman" w:cs="Times New Roman"/>
          <w:sz w:val="24"/>
        </w:rPr>
        <w:t xml:space="preserve">. </w:t>
      </w:r>
      <w:r w:rsidR="00085AB3">
        <w:rPr>
          <w:rFonts w:ascii="Times New Roman" w:hAnsi="Times New Roman" w:cs="Times New Roman"/>
          <w:sz w:val="24"/>
        </w:rPr>
        <w:t>Of those</w:t>
      </w:r>
      <w:r w:rsidR="005C1C5E">
        <w:rPr>
          <w:rFonts w:ascii="Times New Roman" w:hAnsi="Times New Roman" w:cs="Times New Roman"/>
          <w:sz w:val="24"/>
        </w:rPr>
        <w:t xml:space="preserve"> cases</w:t>
      </w:r>
      <w:r w:rsidR="00085AB3">
        <w:rPr>
          <w:rFonts w:ascii="Times New Roman" w:hAnsi="Times New Roman" w:cs="Times New Roman"/>
          <w:sz w:val="24"/>
        </w:rPr>
        <w:t>, 2,</w:t>
      </w:r>
      <w:r w:rsidR="00FB4794">
        <w:rPr>
          <w:rFonts w:ascii="Times New Roman" w:hAnsi="Times New Roman" w:cs="Times New Roman"/>
          <w:sz w:val="24"/>
        </w:rPr>
        <w:t xml:space="preserve">193 </w:t>
      </w:r>
      <w:r w:rsidR="00B50ED9">
        <w:rPr>
          <w:rFonts w:ascii="Times New Roman" w:hAnsi="Times New Roman" w:cs="Times New Roman"/>
          <w:sz w:val="24"/>
        </w:rPr>
        <w:t xml:space="preserve">(43%) </w:t>
      </w:r>
      <w:r w:rsidR="00FB4794">
        <w:rPr>
          <w:rFonts w:ascii="Times New Roman" w:hAnsi="Times New Roman" w:cs="Times New Roman"/>
          <w:sz w:val="24"/>
        </w:rPr>
        <w:t>were diagnosed with cervical cancer</w:t>
      </w:r>
      <w:r w:rsidR="00085AB3">
        <w:rPr>
          <w:rFonts w:ascii="Times New Roman" w:hAnsi="Times New Roman" w:cs="Times New Roman"/>
          <w:sz w:val="24"/>
        </w:rPr>
        <w:t>.</w:t>
      </w:r>
      <w:r w:rsidR="00FB4794">
        <w:rPr>
          <w:rFonts w:ascii="Times New Roman" w:hAnsi="Times New Roman" w:cs="Times New Roman"/>
          <w:sz w:val="24"/>
        </w:rPr>
        <w:t xml:space="preserve"> </w:t>
      </w:r>
    </w:p>
    <w:p w:rsidR="00FB4794" w:rsidRDefault="00FB4794" w:rsidP="00085AB3">
      <w:pPr>
        <w:pStyle w:val="ListParagraph"/>
        <w:spacing w:after="0" w:line="240" w:lineRule="auto"/>
        <w:ind w:left="180" w:hanging="180"/>
        <w:rPr>
          <w:rFonts w:ascii="Times New Roman" w:hAnsi="Times New Roman" w:cs="Times New Roman"/>
          <w:sz w:val="24"/>
        </w:rPr>
      </w:pPr>
    </w:p>
    <w:p w:rsidR="00FB4794" w:rsidRDefault="00FB4794" w:rsidP="00085AB3">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Cervical cancer is the most common HPV-associated cancer diagn</w:t>
      </w:r>
      <w:r w:rsidR="00085AB3">
        <w:rPr>
          <w:rFonts w:ascii="Times New Roman" w:hAnsi="Times New Roman" w:cs="Times New Roman"/>
          <w:sz w:val="24"/>
        </w:rPr>
        <w:t xml:space="preserve">osed in </w:t>
      </w:r>
      <w:r w:rsidR="008571F5">
        <w:rPr>
          <w:rFonts w:ascii="Times New Roman" w:hAnsi="Times New Roman" w:cs="Times New Roman"/>
          <w:sz w:val="24"/>
        </w:rPr>
        <w:t>females</w:t>
      </w:r>
      <w:r w:rsidR="00085AB3">
        <w:rPr>
          <w:rFonts w:ascii="Times New Roman" w:hAnsi="Times New Roman" w:cs="Times New Roman"/>
          <w:sz w:val="24"/>
        </w:rPr>
        <w:t xml:space="preserve"> in Massachusetts (on average 199 cases of cervical cancer each year).</w:t>
      </w:r>
    </w:p>
    <w:p w:rsidR="00EA5059" w:rsidRPr="00EA5059" w:rsidRDefault="00EA5059" w:rsidP="00EA5059">
      <w:pPr>
        <w:spacing w:after="0" w:line="240" w:lineRule="auto"/>
        <w:rPr>
          <w:rFonts w:ascii="Times New Roman" w:hAnsi="Times New Roman" w:cs="Times New Roman"/>
          <w:b/>
          <w:sz w:val="24"/>
        </w:rPr>
      </w:pPr>
      <w:r w:rsidRPr="00EA5059">
        <w:rPr>
          <w:rFonts w:ascii="Times New Roman" w:hAnsi="Times New Roman" w:cs="Times New Roman"/>
          <w:b/>
          <w:sz w:val="24"/>
        </w:rPr>
        <w:t>Deaths</w:t>
      </w:r>
    </w:p>
    <w:p w:rsidR="00EA5059" w:rsidRDefault="00807E2C" w:rsidP="00085AB3">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lastRenderedPageBreak/>
        <w:t>From 2008-</w:t>
      </w:r>
      <w:r w:rsidR="00217A09">
        <w:rPr>
          <w:rFonts w:ascii="Times New Roman" w:hAnsi="Times New Roman" w:cs="Times New Roman"/>
          <w:sz w:val="24"/>
        </w:rPr>
        <w:t>2014, 956</w:t>
      </w:r>
      <w:r w:rsidR="00EA5059">
        <w:rPr>
          <w:rFonts w:ascii="Times New Roman" w:hAnsi="Times New Roman" w:cs="Times New Roman"/>
          <w:sz w:val="24"/>
        </w:rPr>
        <w:t xml:space="preserve"> deaths due to an HPV-associated cancer occurred in Massachusetts </w:t>
      </w:r>
      <w:r w:rsidR="008571F5">
        <w:rPr>
          <w:rFonts w:ascii="Times New Roman" w:hAnsi="Times New Roman" w:cs="Times New Roman"/>
          <w:sz w:val="24"/>
        </w:rPr>
        <w:t>females</w:t>
      </w:r>
      <w:r w:rsidR="00EA5059">
        <w:rPr>
          <w:rFonts w:ascii="Times New Roman" w:hAnsi="Times New Roman" w:cs="Times New Roman"/>
          <w:sz w:val="24"/>
        </w:rPr>
        <w:t>. Of those deaths, 374</w:t>
      </w:r>
      <w:r w:rsidR="00217A09">
        <w:rPr>
          <w:rFonts w:ascii="Times New Roman" w:hAnsi="Times New Roman" w:cs="Times New Roman"/>
          <w:sz w:val="24"/>
        </w:rPr>
        <w:t xml:space="preserve"> (39</w:t>
      </w:r>
      <w:r w:rsidR="00B50ED9">
        <w:rPr>
          <w:rFonts w:ascii="Times New Roman" w:hAnsi="Times New Roman" w:cs="Times New Roman"/>
          <w:sz w:val="24"/>
        </w:rPr>
        <w:t>%)</w:t>
      </w:r>
      <w:r w:rsidR="00EA5059">
        <w:rPr>
          <w:rFonts w:ascii="Times New Roman" w:hAnsi="Times New Roman" w:cs="Times New Roman"/>
          <w:sz w:val="24"/>
        </w:rPr>
        <w:t xml:space="preserve"> were due to cervical cancer.  </w:t>
      </w:r>
    </w:p>
    <w:p w:rsidR="00EA5059" w:rsidRDefault="00EA5059" w:rsidP="00EA5059">
      <w:pPr>
        <w:pStyle w:val="ListParagraph"/>
        <w:spacing w:after="0" w:line="240" w:lineRule="auto"/>
        <w:ind w:left="180"/>
        <w:rPr>
          <w:rFonts w:ascii="Times New Roman" w:hAnsi="Times New Roman" w:cs="Times New Roman"/>
          <w:sz w:val="24"/>
        </w:rPr>
      </w:pPr>
    </w:p>
    <w:p w:rsidR="00EA5059" w:rsidRDefault="00807E2C" w:rsidP="00085AB3">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Cervical c</w:t>
      </w:r>
      <w:r w:rsidR="006C7010">
        <w:rPr>
          <w:rFonts w:ascii="Times New Roman" w:hAnsi="Times New Roman" w:cs="Times New Roman"/>
          <w:sz w:val="24"/>
        </w:rPr>
        <w:t>ancer was the</w:t>
      </w:r>
      <w:r w:rsidR="00EA5059">
        <w:rPr>
          <w:rFonts w:ascii="Times New Roman" w:hAnsi="Times New Roman" w:cs="Times New Roman"/>
          <w:sz w:val="24"/>
        </w:rPr>
        <w:t xml:space="preserve"> </w:t>
      </w:r>
      <w:r w:rsidR="007B4A1D">
        <w:rPr>
          <w:rFonts w:ascii="Times New Roman" w:hAnsi="Times New Roman" w:cs="Times New Roman"/>
          <w:sz w:val="24"/>
        </w:rPr>
        <w:t xml:space="preserve">leading </w:t>
      </w:r>
      <w:r w:rsidR="00EA5059">
        <w:rPr>
          <w:rFonts w:ascii="Times New Roman" w:hAnsi="Times New Roman" w:cs="Times New Roman"/>
          <w:sz w:val="24"/>
        </w:rPr>
        <w:t xml:space="preserve">cause of cancer death from an HPV-associated cancer in Massachusetts </w:t>
      </w:r>
      <w:r w:rsidR="006C7010">
        <w:rPr>
          <w:rFonts w:ascii="Times New Roman" w:hAnsi="Times New Roman" w:cs="Times New Roman"/>
          <w:sz w:val="24"/>
        </w:rPr>
        <w:t>(on average 53</w:t>
      </w:r>
      <w:r w:rsidR="00071C5D">
        <w:rPr>
          <w:rFonts w:ascii="Times New Roman" w:hAnsi="Times New Roman" w:cs="Times New Roman"/>
          <w:sz w:val="24"/>
        </w:rPr>
        <w:t xml:space="preserve"> deaths from cervical cancer each year)</w:t>
      </w:r>
      <w:r w:rsidR="00EA5059">
        <w:rPr>
          <w:rFonts w:ascii="Times New Roman" w:hAnsi="Times New Roman" w:cs="Times New Roman"/>
          <w:sz w:val="24"/>
        </w:rPr>
        <w:t xml:space="preserve">. </w:t>
      </w:r>
    </w:p>
    <w:p w:rsidR="00D00BB4" w:rsidRPr="00D00BB4" w:rsidRDefault="00D00BB4" w:rsidP="00D00BB4">
      <w:pPr>
        <w:spacing w:after="0" w:line="240" w:lineRule="auto"/>
        <w:rPr>
          <w:rFonts w:ascii="Times New Roman" w:hAnsi="Times New Roman" w:cs="Times New Roman"/>
          <w:b/>
          <w:sz w:val="24"/>
        </w:rPr>
      </w:pPr>
      <w:r w:rsidRPr="00D00BB4">
        <w:rPr>
          <w:rFonts w:ascii="Times New Roman" w:hAnsi="Times New Roman" w:cs="Times New Roman"/>
          <w:b/>
          <w:sz w:val="24"/>
        </w:rPr>
        <w:t>Incidence</w:t>
      </w:r>
    </w:p>
    <w:p w:rsidR="00D00BB4" w:rsidRDefault="00D00BB4" w:rsidP="00D00BB4">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lastRenderedPageBreak/>
        <w:t xml:space="preserve">The age-adjusted incidence rate of cervical cancer was 5.5 cases per 100,000 </w:t>
      </w:r>
      <w:r w:rsidR="008571F5">
        <w:rPr>
          <w:rFonts w:ascii="Times New Roman" w:hAnsi="Times New Roman" w:cs="Times New Roman"/>
          <w:sz w:val="24"/>
        </w:rPr>
        <w:t>females</w:t>
      </w:r>
      <w:r>
        <w:rPr>
          <w:rFonts w:ascii="Times New Roman" w:hAnsi="Times New Roman" w:cs="Times New Roman"/>
          <w:sz w:val="24"/>
        </w:rPr>
        <w:t xml:space="preserve">. The incidence rate decreased by 2.4% annually from 2004-2014 (p=0.004). </w:t>
      </w:r>
    </w:p>
    <w:p w:rsidR="00D00BB4" w:rsidRPr="00D2512C" w:rsidRDefault="00D00BB4" w:rsidP="00D00BB4">
      <w:pPr>
        <w:pStyle w:val="ListParagraph"/>
        <w:rPr>
          <w:rFonts w:ascii="Times New Roman" w:hAnsi="Times New Roman" w:cs="Times New Roman"/>
          <w:sz w:val="24"/>
        </w:rPr>
      </w:pPr>
    </w:p>
    <w:p w:rsidR="00D00BB4" w:rsidRDefault="00D00BB4" w:rsidP="00D00BB4">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 xml:space="preserve">Massachusetts had a lower incidence rate of cervical cancer than the United States </w:t>
      </w:r>
      <w:r w:rsidRPr="002B4414">
        <w:rPr>
          <w:rFonts w:ascii="Times New Roman" w:hAnsi="Times New Roman" w:cs="Times New Roman"/>
          <w:sz w:val="24"/>
        </w:rPr>
        <w:t>(5.2 vs 7.4 per 100,000)</w:t>
      </w:r>
      <w:r>
        <w:rPr>
          <w:rFonts w:ascii="Times New Roman" w:hAnsi="Times New Roman" w:cs="Times New Roman"/>
          <w:sz w:val="24"/>
        </w:rPr>
        <w:t xml:space="preserve"> from 2008-2012</w:t>
      </w:r>
      <w:r w:rsidRPr="002B4414">
        <w:rPr>
          <w:rFonts w:ascii="Times New Roman" w:hAnsi="Times New Roman" w:cs="Times New Roman"/>
          <w:sz w:val="24"/>
        </w:rPr>
        <w:t>.</w:t>
      </w:r>
      <w:r w:rsidR="00751DEC">
        <w:rPr>
          <w:rFonts w:ascii="Times New Roman" w:hAnsi="Times New Roman" w:cs="Times New Roman"/>
          <w:sz w:val="24"/>
          <w:vertAlign w:val="superscript"/>
        </w:rPr>
        <w:t>1</w:t>
      </w:r>
    </w:p>
    <w:p w:rsidR="00D00BB4" w:rsidRDefault="00D00BB4" w:rsidP="00D00BB4">
      <w:pPr>
        <w:pStyle w:val="ListParagraph"/>
        <w:spacing w:after="0" w:line="240" w:lineRule="auto"/>
        <w:ind w:left="180"/>
        <w:rPr>
          <w:rFonts w:ascii="Times New Roman" w:hAnsi="Times New Roman" w:cs="Times New Roman"/>
          <w:sz w:val="24"/>
        </w:rPr>
      </w:pPr>
    </w:p>
    <w:p w:rsidR="00D00BB4" w:rsidRPr="00D00BB4" w:rsidRDefault="00D00BB4" w:rsidP="00D00BB4">
      <w:pPr>
        <w:pStyle w:val="ListParagraph"/>
        <w:spacing w:after="0" w:line="240" w:lineRule="auto"/>
        <w:ind w:left="0"/>
        <w:rPr>
          <w:rFonts w:ascii="Times New Roman" w:hAnsi="Times New Roman" w:cs="Times New Roman"/>
          <w:b/>
          <w:sz w:val="24"/>
        </w:rPr>
      </w:pPr>
      <w:r w:rsidRPr="00D00BB4">
        <w:rPr>
          <w:rFonts w:ascii="Times New Roman" w:hAnsi="Times New Roman" w:cs="Times New Roman"/>
          <w:b/>
          <w:sz w:val="24"/>
        </w:rPr>
        <w:t>Mortality</w:t>
      </w:r>
    </w:p>
    <w:p w:rsidR="00EA5059" w:rsidRDefault="00EA5059" w:rsidP="00085AB3">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lastRenderedPageBreak/>
        <w:t>The age-adjusted mortality ra</w:t>
      </w:r>
      <w:r w:rsidR="00807E2C">
        <w:rPr>
          <w:rFonts w:ascii="Times New Roman" w:hAnsi="Times New Roman" w:cs="Times New Roman"/>
          <w:sz w:val="24"/>
        </w:rPr>
        <w:t>te from</w:t>
      </w:r>
      <w:r w:rsidR="00071C5D">
        <w:rPr>
          <w:rFonts w:ascii="Times New Roman" w:hAnsi="Times New Roman" w:cs="Times New Roman"/>
          <w:sz w:val="24"/>
        </w:rPr>
        <w:t xml:space="preserve"> cervical cancer was 1.3</w:t>
      </w:r>
      <w:r>
        <w:rPr>
          <w:rFonts w:ascii="Times New Roman" w:hAnsi="Times New Roman" w:cs="Times New Roman"/>
          <w:sz w:val="24"/>
        </w:rPr>
        <w:t xml:space="preserve"> deaths pe</w:t>
      </w:r>
      <w:r w:rsidR="00807E2C">
        <w:rPr>
          <w:rFonts w:ascii="Times New Roman" w:hAnsi="Times New Roman" w:cs="Times New Roman"/>
          <w:sz w:val="24"/>
        </w:rPr>
        <w:t xml:space="preserve">r 100,000 </w:t>
      </w:r>
      <w:r w:rsidR="008571F5">
        <w:rPr>
          <w:rFonts w:ascii="Times New Roman" w:hAnsi="Times New Roman" w:cs="Times New Roman"/>
          <w:sz w:val="24"/>
        </w:rPr>
        <w:t>females</w:t>
      </w:r>
      <w:r>
        <w:rPr>
          <w:rFonts w:ascii="Times New Roman" w:hAnsi="Times New Roman" w:cs="Times New Roman"/>
          <w:sz w:val="24"/>
        </w:rPr>
        <w:t xml:space="preserve">. The mortality rate decreased </w:t>
      </w:r>
      <w:r w:rsidR="00807E2C">
        <w:rPr>
          <w:rFonts w:ascii="Times New Roman" w:hAnsi="Times New Roman" w:cs="Times New Roman"/>
          <w:sz w:val="24"/>
        </w:rPr>
        <w:t>annually by 3.7% from 2008-</w:t>
      </w:r>
      <w:r>
        <w:rPr>
          <w:rFonts w:ascii="Times New Roman" w:hAnsi="Times New Roman" w:cs="Times New Roman"/>
          <w:sz w:val="24"/>
        </w:rPr>
        <w:t>2014</w:t>
      </w:r>
      <w:r w:rsidR="007B4A1D">
        <w:rPr>
          <w:rFonts w:ascii="Times New Roman" w:hAnsi="Times New Roman" w:cs="Times New Roman"/>
          <w:sz w:val="24"/>
        </w:rPr>
        <w:t>, a non-significant decline</w:t>
      </w:r>
      <w:r w:rsidR="00245769">
        <w:rPr>
          <w:rFonts w:ascii="Times New Roman" w:hAnsi="Times New Roman" w:cs="Times New Roman"/>
          <w:sz w:val="24"/>
        </w:rPr>
        <w:t xml:space="preserve"> (p=0.29)</w:t>
      </w:r>
      <w:r>
        <w:rPr>
          <w:rFonts w:ascii="Times New Roman" w:hAnsi="Times New Roman" w:cs="Times New Roman"/>
          <w:sz w:val="24"/>
        </w:rPr>
        <w:t xml:space="preserve">. </w:t>
      </w:r>
    </w:p>
    <w:p w:rsidR="00807E2C" w:rsidRPr="00807E2C" w:rsidRDefault="00807E2C" w:rsidP="00807E2C">
      <w:pPr>
        <w:pStyle w:val="ListParagraph"/>
        <w:rPr>
          <w:rFonts w:ascii="Times New Roman" w:hAnsi="Times New Roman" w:cs="Times New Roman"/>
          <w:sz w:val="24"/>
        </w:rPr>
      </w:pPr>
    </w:p>
    <w:p w:rsidR="00807E2C" w:rsidRDefault="00807E2C" w:rsidP="00085AB3">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Massachusetts had a</w:t>
      </w:r>
      <w:r w:rsidRPr="002B4414">
        <w:rPr>
          <w:rFonts w:ascii="Times New Roman" w:hAnsi="Times New Roman" w:cs="Times New Roman"/>
          <w:sz w:val="24"/>
        </w:rPr>
        <w:t xml:space="preserve"> lower morta</w:t>
      </w:r>
      <w:r>
        <w:rPr>
          <w:rFonts w:ascii="Times New Roman" w:hAnsi="Times New Roman" w:cs="Times New Roman"/>
          <w:sz w:val="24"/>
        </w:rPr>
        <w:t>lity rate from cervical cancer than the United States (1.3</w:t>
      </w:r>
      <w:r w:rsidRPr="002B4414">
        <w:rPr>
          <w:rFonts w:ascii="Times New Roman" w:hAnsi="Times New Roman" w:cs="Times New Roman"/>
          <w:sz w:val="24"/>
        </w:rPr>
        <w:t xml:space="preserve"> vs 2.</w:t>
      </w:r>
      <w:r>
        <w:rPr>
          <w:rFonts w:ascii="Times New Roman" w:hAnsi="Times New Roman" w:cs="Times New Roman"/>
          <w:sz w:val="24"/>
        </w:rPr>
        <w:t>3 per 100,000) from 2009-2013.</w:t>
      </w:r>
      <w:r w:rsidR="00751DEC">
        <w:rPr>
          <w:rFonts w:ascii="Times New Roman" w:hAnsi="Times New Roman" w:cs="Times New Roman"/>
          <w:sz w:val="24"/>
          <w:vertAlign w:val="superscript"/>
        </w:rPr>
        <w:t>2</w:t>
      </w:r>
    </w:p>
    <w:p w:rsidR="00085AB3" w:rsidRDefault="00085AB3" w:rsidP="00807E2C">
      <w:pPr>
        <w:spacing w:after="0" w:line="240" w:lineRule="auto"/>
        <w:rPr>
          <w:rFonts w:ascii="Times New Roman" w:hAnsi="Times New Roman" w:cs="Times New Roman"/>
          <w:sz w:val="24"/>
        </w:rPr>
      </w:pPr>
    </w:p>
    <w:p w:rsidR="00D00BB4" w:rsidRPr="00807E2C" w:rsidRDefault="00D00BB4" w:rsidP="00807E2C">
      <w:pPr>
        <w:spacing w:after="0" w:line="240" w:lineRule="auto"/>
        <w:rPr>
          <w:rFonts w:ascii="Times New Roman" w:hAnsi="Times New Roman" w:cs="Times New Roman"/>
          <w:sz w:val="24"/>
        </w:rPr>
        <w:sectPr w:rsidR="00D00BB4" w:rsidRPr="00807E2C" w:rsidSect="007F7BA9">
          <w:type w:val="continuous"/>
          <w:pgSz w:w="12240" w:h="15840"/>
          <w:pgMar w:top="864" w:right="864" w:bottom="864" w:left="864" w:header="720" w:footer="720" w:gutter="0"/>
          <w:cols w:num="2" w:space="288"/>
          <w:docGrid w:linePitch="360"/>
        </w:sectPr>
      </w:pPr>
    </w:p>
    <w:tbl>
      <w:tblPr>
        <w:tblStyle w:val="TableGrid"/>
        <w:tblW w:w="10440" w:type="dxa"/>
        <w:jc w:val="center"/>
        <w:tblLook w:val="04A0" w:firstRow="1" w:lastRow="0" w:firstColumn="1" w:lastColumn="0" w:noHBand="0" w:noVBand="1"/>
      </w:tblPr>
      <w:tblGrid>
        <w:gridCol w:w="1906"/>
        <w:gridCol w:w="736"/>
        <w:gridCol w:w="737"/>
        <w:gridCol w:w="736"/>
        <w:gridCol w:w="737"/>
        <w:gridCol w:w="736"/>
        <w:gridCol w:w="737"/>
        <w:gridCol w:w="736"/>
        <w:gridCol w:w="737"/>
        <w:gridCol w:w="736"/>
        <w:gridCol w:w="737"/>
        <w:gridCol w:w="1169"/>
      </w:tblGrid>
      <w:tr w:rsidR="00BC437D" w:rsidRPr="00902D3A" w:rsidTr="00B347BC">
        <w:trPr>
          <w:trHeight w:val="423"/>
          <w:jc w:val="center"/>
        </w:trPr>
        <w:tc>
          <w:tcPr>
            <w:tcW w:w="10440" w:type="dxa"/>
            <w:gridSpan w:val="12"/>
            <w:tcBorders>
              <w:top w:val="nil"/>
              <w:left w:val="nil"/>
              <w:right w:val="nil"/>
            </w:tcBorders>
            <w:vAlign w:val="center"/>
          </w:tcPr>
          <w:p w:rsidR="00BC437D" w:rsidRPr="00902D3A" w:rsidRDefault="00BC437D" w:rsidP="00EA5059">
            <w:pPr>
              <w:rPr>
                <w:rFonts w:ascii="Times New Roman" w:hAnsi="Times New Roman" w:cs="Times New Roman"/>
                <w:b/>
                <w:color w:val="1F497D" w:themeColor="text2"/>
                <w:sz w:val="24"/>
              </w:rPr>
            </w:pPr>
            <w:r w:rsidRPr="00902D3A">
              <w:rPr>
                <w:rFonts w:ascii="Times New Roman" w:hAnsi="Times New Roman" w:cs="Times New Roman"/>
                <w:b/>
                <w:color w:val="1F497D" w:themeColor="text2"/>
                <w:sz w:val="24"/>
              </w:rPr>
              <w:lastRenderedPageBreak/>
              <w:t xml:space="preserve">CERVICAL CANCER </w:t>
            </w:r>
            <w:r>
              <w:rPr>
                <w:rFonts w:ascii="Times New Roman" w:hAnsi="Times New Roman" w:cs="Times New Roman"/>
                <w:b/>
                <w:color w:val="1F497D" w:themeColor="text2"/>
                <w:sz w:val="24"/>
              </w:rPr>
              <w:t>TRENDS</w:t>
            </w:r>
          </w:p>
        </w:tc>
      </w:tr>
      <w:tr w:rsidR="00BC437D" w:rsidRPr="00902D3A" w:rsidTr="00B347BC">
        <w:trPr>
          <w:trHeight w:val="512"/>
          <w:jc w:val="center"/>
        </w:trPr>
        <w:tc>
          <w:tcPr>
            <w:tcW w:w="10440" w:type="dxa"/>
            <w:gridSpan w:val="12"/>
            <w:tcBorders>
              <w:bottom w:val="single" w:sz="4" w:space="0" w:color="auto"/>
            </w:tcBorders>
            <w:vAlign w:val="center"/>
          </w:tcPr>
          <w:p w:rsidR="00BC437D" w:rsidRDefault="00BC437D" w:rsidP="00BC437D">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Figure 1. Trends in the incidence and mortality </w:t>
            </w:r>
            <w:r w:rsidR="00746B3D">
              <w:rPr>
                <w:rFonts w:ascii="Times New Roman" w:hAnsi="Times New Roman" w:cs="Times New Roman"/>
                <w:b/>
                <w:color w:val="1F497D" w:themeColor="text2"/>
                <w:sz w:val="24"/>
              </w:rPr>
              <w:t xml:space="preserve">rates^ </w:t>
            </w:r>
            <w:r>
              <w:rPr>
                <w:rFonts w:ascii="Times New Roman" w:hAnsi="Times New Roman" w:cs="Times New Roman"/>
                <w:b/>
                <w:color w:val="1F497D" w:themeColor="text2"/>
                <w:sz w:val="24"/>
              </w:rPr>
              <w:t>of cerv</w:t>
            </w:r>
            <w:r w:rsidR="00BF7F32">
              <w:rPr>
                <w:rFonts w:ascii="Times New Roman" w:hAnsi="Times New Roman" w:cs="Times New Roman"/>
                <w:b/>
                <w:color w:val="1F497D" w:themeColor="text2"/>
                <w:sz w:val="24"/>
              </w:rPr>
              <w:t>ical cancer, Massachusetts</w:t>
            </w:r>
            <w:r>
              <w:rPr>
                <w:rFonts w:ascii="Times New Roman" w:hAnsi="Times New Roman" w:cs="Times New Roman"/>
                <w:b/>
                <w:color w:val="1F497D" w:themeColor="text2"/>
                <w:sz w:val="24"/>
              </w:rPr>
              <w:t>, 2004-2014</w:t>
            </w:r>
            <w:r w:rsidRPr="00902D3A">
              <w:rPr>
                <w:rFonts w:ascii="Times New Roman" w:hAnsi="Times New Roman" w:cs="Times New Roman"/>
                <w:b/>
                <w:color w:val="1F497D" w:themeColor="text2"/>
                <w:sz w:val="24"/>
              </w:rPr>
              <w:t xml:space="preserve"> </w:t>
            </w:r>
          </w:p>
        </w:tc>
      </w:tr>
      <w:tr w:rsidR="00BC437D" w:rsidRPr="00902D3A" w:rsidTr="00B347BC">
        <w:trPr>
          <w:trHeight w:val="620"/>
          <w:jc w:val="center"/>
        </w:trPr>
        <w:tc>
          <w:tcPr>
            <w:tcW w:w="10440" w:type="dxa"/>
            <w:gridSpan w:val="12"/>
            <w:tcBorders>
              <w:bottom w:val="single" w:sz="4" w:space="0" w:color="auto"/>
            </w:tcBorders>
            <w:vAlign w:val="center"/>
          </w:tcPr>
          <w:p w:rsidR="00BC437D" w:rsidRDefault="00BC437D" w:rsidP="00BC437D">
            <w:pPr>
              <w:jc w:val="center"/>
              <w:rPr>
                <w:noProof/>
              </w:rPr>
            </w:pPr>
            <w:r>
              <w:rPr>
                <w:noProof/>
              </w:rPr>
              <w:drawing>
                <wp:inline distT="0" distB="0" distL="0" distR="0" wp14:anchorId="4F47B79A" wp14:editId="0D5B7560">
                  <wp:extent cx="4940300" cy="2806700"/>
                  <wp:effectExtent l="0" t="0" r="0" b="0"/>
                  <wp:docPr id="5" name="Chart 5" descr="The incidence rate of cervical cancer decreased by 2.41% each year with statistical significance from 2004 to 2014. The mortality rate of cervical cancer decreased by 3.73% each year without statistical significance from 2008 to 2014. The incidence rates are per 100,000 and are age-standardized to the 2000 US population. Data are from the Massachusetts Cancer Registry and Massachusetts Registry of Vital Records and Statistics.   " title="Figure 1. Trends in the incidence and mortality rates of cervical cancer in Massachusetts from 2004-2014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C437D" w:rsidRPr="00902D3A" w:rsidTr="00B347BC">
        <w:trPr>
          <w:trHeight w:val="350"/>
          <w:jc w:val="center"/>
        </w:trPr>
        <w:tc>
          <w:tcPr>
            <w:tcW w:w="1906" w:type="dxa"/>
            <w:tcBorders>
              <w:bottom w:val="single" w:sz="4" w:space="0" w:color="auto"/>
              <w:right w:val="nil"/>
            </w:tcBorders>
            <w:vAlign w:val="center"/>
          </w:tcPr>
          <w:p w:rsidR="00BC437D" w:rsidRPr="00BC437D" w:rsidRDefault="00BC437D" w:rsidP="00BC437D">
            <w:pPr>
              <w:rPr>
                <w:rFonts w:ascii="Times New Roman" w:hAnsi="Times New Roman" w:cs="Times New Roman"/>
                <w:b/>
                <w:color w:val="1F497D" w:themeColor="text2"/>
                <w:sz w:val="20"/>
              </w:rPr>
            </w:pPr>
          </w:p>
        </w:tc>
        <w:tc>
          <w:tcPr>
            <w:tcW w:w="736"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2004</w:t>
            </w:r>
          </w:p>
        </w:tc>
        <w:tc>
          <w:tcPr>
            <w:tcW w:w="737"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2005</w:t>
            </w:r>
          </w:p>
        </w:tc>
        <w:tc>
          <w:tcPr>
            <w:tcW w:w="736"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2006</w:t>
            </w:r>
          </w:p>
        </w:tc>
        <w:tc>
          <w:tcPr>
            <w:tcW w:w="737"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2007</w:t>
            </w:r>
          </w:p>
        </w:tc>
        <w:tc>
          <w:tcPr>
            <w:tcW w:w="736"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2008</w:t>
            </w:r>
          </w:p>
        </w:tc>
        <w:tc>
          <w:tcPr>
            <w:tcW w:w="737"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2009</w:t>
            </w:r>
          </w:p>
        </w:tc>
        <w:tc>
          <w:tcPr>
            <w:tcW w:w="736"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2010</w:t>
            </w:r>
          </w:p>
        </w:tc>
        <w:tc>
          <w:tcPr>
            <w:tcW w:w="737"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2011</w:t>
            </w:r>
          </w:p>
        </w:tc>
        <w:tc>
          <w:tcPr>
            <w:tcW w:w="736"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2012</w:t>
            </w:r>
          </w:p>
        </w:tc>
        <w:tc>
          <w:tcPr>
            <w:tcW w:w="737" w:type="dxa"/>
            <w:tcBorders>
              <w:left w:val="nil"/>
              <w:bottom w:val="single" w:sz="4" w:space="0" w:color="auto"/>
              <w:right w:val="nil"/>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2013</w:t>
            </w:r>
          </w:p>
        </w:tc>
        <w:tc>
          <w:tcPr>
            <w:tcW w:w="1169" w:type="dxa"/>
            <w:tcBorders>
              <w:left w:val="nil"/>
              <w:bottom w:val="single" w:sz="4" w:space="0" w:color="auto"/>
            </w:tcBorders>
            <w:vAlign w:val="center"/>
          </w:tcPr>
          <w:p w:rsidR="00BC437D" w:rsidRPr="00BC437D" w:rsidRDefault="00BC437D" w:rsidP="00BC437D">
            <w:pPr>
              <w:jc w:val="center"/>
              <w:rPr>
                <w:rFonts w:ascii="Times New Roman" w:hAnsi="Times New Roman" w:cs="Times New Roman"/>
                <w:b/>
                <w:color w:val="1F497D" w:themeColor="text2"/>
                <w:sz w:val="20"/>
              </w:rPr>
            </w:pPr>
            <w:r w:rsidRPr="00BC437D">
              <w:rPr>
                <w:rFonts w:ascii="Times New Roman" w:hAnsi="Times New Roman" w:cs="Times New Roman"/>
                <w:b/>
                <w:color w:val="1F497D" w:themeColor="text2"/>
                <w:sz w:val="20"/>
              </w:rPr>
              <w:t>2014</w:t>
            </w:r>
          </w:p>
        </w:tc>
      </w:tr>
      <w:tr w:rsidR="00BC437D" w:rsidRPr="008358B2" w:rsidTr="00B347BC">
        <w:trPr>
          <w:trHeight w:val="360"/>
          <w:jc w:val="center"/>
        </w:trPr>
        <w:tc>
          <w:tcPr>
            <w:tcW w:w="1906" w:type="dxa"/>
            <w:tcBorders>
              <w:top w:val="single" w:sz="4" w:space="0" w:color="auto"/>
              <w:bottom w:val="nil"/>
              <w:right w:val="nil"/>
            </w:tcBorders>
            <w:vAlign w:val="center"/>
          </w:tcPr>
          <w:p w:rsidR="00BC437D" w:rsidRPr="00BC437D" w:rsidRDefault="00BC437D" w:rsidP="00BC437D">
            <w:pPr>
              <w:rPr>
                <w:rFonts w:ascii="Times New Roman" w:hAnsi="Times New Roman" w:cs="Times New Roman"/>
                <w:sz w:val="20"/>
              </w:rPr>
            </w:pPr>
            <w:r w:rsidRPr="00BC437D">
              <w:rPr>
                <w:rFonts w:ascii="Times New Roman" w:hAnsi="Times New Roman" w:cs="Times New Roman"/>
                <w:sz w:val="20"/>
              </w:rPr>
              <w:t>Incidence Rate</w:t>
            </w:r>
          </w:p>
        </w:tc>
        <w:tc>
          <w:tcPr>
            <w:tcW w:w="736" w:type="dxa"/>
            <w:tcBorders>
              <w:top w:val="single" w:sz="4" w:space="0" w:color="auto"/>
              <w:left w:val="nil"/>
              <w:bottom w:val="nil"/>
              <w:right w:val="nil"/>
            </w:tcBorders>
            <w:vAlign w:val="center"/>
          </w:tcPr>
          <w:p w:rsidR="00BC437D" w:rsidRPr="00BC437D" w:rsidRDefault="00BC437D" w:rsidP="00BC437D">
            <w:pPr>
              <w:tabs>
                <w:tab w:val="left" w:pos="702"/>
              </w:tabs>
              <w:ind w:right="-18" w:hanging="14"/>
              <w:jc w:val="center"/>
              <w:rPr>
                <w:rFonts w:ascii="Times New Roman" w:hAnsi="Times New Roman" w:cs="Times New Roman"/>
                <w:sz w:val="20"/>
              </w:rPr>
            </w:pPr>
            <w:r w:rsidRPr="00BC437D">
              <w:rPr>
                <w:rFonts w:ascii="Times New Roman" w:hAnsi="Times New Roman" w:cs="Times New Roman"/>
                <w:sz w:val="20"/>
              </w:rPr>
              <w:t>6.78</w:t>
            </w:r>
          </w:p>
        </w:tc>
        <w:tc>
          <w:tcPr>
            <w:tcW w:w="737"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5.81</w:t>
            </w:r>
          </w:p>
        </w:tc>
        <w:tc>
          <w:tcPr>
            <w:tcW w:w="736"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6.08</w:t>
            </w:r>
          </w:p>
        </w:tc>
        <w:tc>
          <w:tcPr>
            <w:tcW w:w="737"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5.26</w:t>
            </w:r>
          </w:p>
        </w:tc>
        <w:tc>
          <w:tcPr>
            <w:tcW w:w="736"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5.28</w:t>
            </w:r>
          </w:p>
        </w:tc>
        <w:tc>
          <w:tcPr>
            <w:tcW w:w="737"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5.31</w:t>
            </w:r>
          </w:p>
        </w:tc>
        <w:tc>
          <w:tcPr>
            <w:tcW w:w="736"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5.46</w:t>
            </w:r>
          </w:p>
        </w:tc>
        <w:tc>
          <w:tcPr>
            <w:tcW w:w="737"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5.02</w:t>
            </w:r>
          </w:p>
        </w:tc>
        <w:tc>
          <w:tcPr>
            <w:tcW w:w="736"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4.87</w:t>
            </w:r>
          </w:p>
        </w:tc>
        <w:tc>
          <w:tcPr>
            <w:tcW w:w="737" w:type="dxa"/>
            <w:tcBorders>
              <w:top w:val="single" w:sz="4" w:space="0" w:color="auto"/>
              <w:left w:val="nil"/>
              <w:bottom w:val="nil"/>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4.85</w:t>
            </w:r>
          </w:p>
        </w:tc>
        <w:tc>
          <w:tcPr>
            <w:tcW w:w="1169" w:type="dxa"/>
            <w:tcBorders>
              <w:top w:val="single" w:sz="4" w:space="0" w:color="auto"/>
              <w:left w:val="nil"/>
              <w:bottom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5.40</w:t>
            </w:r>
          </w:p>
        </w:tc>
      </w:tr>
      <w:tr w:rsidR="00BC437D" w:rsidRPr="008358B2" w:rsidTr="00B347BC">
        <w:trPr>
          <w:trHeight w:val="225"/>
          <w:jc w:val="center"/>
        </w:trPr>
        <w:tc>
          <w:tcPr>
            <w:tcW w:w="1906" w:type="dxa"/>
            <w:tcBorders>
              <w:top w:val="nil"/>
              <w:bottom w:val="single" w:sz="4" w:space="0" w:color="auto"/>
              <w:right w:val="nil"/>
            </w:tcBorders>
            <w:vAlign w:val="center"/>
          </w:tcPr>
          <w:p w:rsidR="00BC437D" w:rsidRPr="00BC437D" w:rsidRDefault="00BC437D" w:rsidP="00BC437D">
            <w:pPr>
              <w:rPr>
                <w:rFonts w:ascii="Times New Roman" w:hAnsi="Times New Roman" w:cs="Times New Roman"/>
                <w:sz w:val="20"/>
              </w:rPr>
            </w:pPr>
            <w:r w:rsidRPr="00BC437D">
              <w:rPr>
                <w:rFonts w:ascii="Times New Roman" w:hAnsi="Times New Roman" w:cs="Times New Roman"/>
                <w:sz w:val="20"/>
              </w:rPr>
              <w:t>Mortality Rate</w:t>
            </w:r>
          </w:p>
        </w:tc>
        <w:tc>
          <w:tcPr>
            <w:tcW w:w="736" w:type="dxa"/>
            <w:tcBorders>
              <w:top w:val="nil"/>
              <w:left w:val="nil"/>
              <w:bottom w:val="single" w:sz="4" w:space="0" w:color="auto"/>
              <w:right w:val="nil"/>
            </w:tcBorders>
            <w:vAlign w:val="center"/>
          </w:tcPr>
          <w:p w:rsidR="00BC437D" w:rsidRPr="00BC437D" w:rsidRDefault="00BC437D" w:rsidP="00BC437D">
            <w:pPr>
              <w:tabs>
                <w:tab w:val="left" w:pos="702"/>
              </w:tabs>
              <w:ind w:right="-18" w:hanging="14"/>
              <w:jc w:val="center"/>
              <w:rPr>
                <w:rFonts w:ascii="Times New Roman" w:hAnsi="Times New Roman" w:cs="Times New Roman"/>
                <w:sz w:val="20"/>
              </w:rPr>
            </w:pPr>
            <w:r w:rsidRPr="00BC437D">
              <w:rPr>
                <w:rFonts w:ascii="Times New Roman" w:hAnsi="Times New Roman" w:cs="Times New Roman"/>
                <w:sz w:val="20"/>
              </w:rPr>
              <w:t>-</w:t>
            </w:r>
          </w:p>
        </w:tc>
        <w:tc>
          <w:tcPr>
            <w:tcW w:w="737"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w:t>
            </w:r>
          </w:p>
        </w:tc>
        <w:tc>
          <w:tcPr>
            <w:tcW w:w="736"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w:t>
            </w:r>
          </w:p>
        </w:tc>
        <w:tc>
          <w:tcPr>
            <w:tcW w:w="737"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w:t>
            </w:r>
          </w:p>
        </w:tc>
        <w:tc>
          <w:tcPr>
            <w:tcW w:w="736"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1.23</w:t>
            </w:r>
          </w:p>
        </w:tc>
        <w:tc>
          <w:tcPr>
            <w:tcW w:w="737"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1.64</w:t>
            </w:r>
          </w:p>
        </w:tc>
        <w:tc>
          <w:tcPr>
            <w:tcW w:w="736"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1.25</w:t>
            </w:r>
          </w:p>
        </w:tc>
        <w:tc>
          <w:tcPr>
            <w:tcW w:w="737"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1.51</w:t>
            </w:r>
          </w:p>
        </w:tc>
        <w:tc>
          <w:tcPr>
            <w:tcW w:w="736"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1.23</w:t>
            </w:r>
          </w:p>
        </w:tc>
        <w:tc>
          <w:tcPr>
            <w:tcW w:w="737" w:type="dxa"/>
            <w:tcBorders>
              <w:top w:val="nil"/>
              <w:left w:val="nil"/>
              <w:bottom w:val="single" w:sz="4" w:space="0" w:color="auto"/>
              <w:right w:val="nil"/>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0.94</w:t>
            </w:r>
          </w:p>
        </w:tc>
        <w:tc>
          <w:tcPr>
            <w:tcW w:w="1169" w:type="dxa"/>
            <w:tcBorders>
              <w:top w:val="nil"/>
              <w:left w:val="nil"/>
              <w:bottom w:val="single" w:sz="4" w:space="0" w:color="auto"/>
            </w:tcBorders>
            <w:vAlign w:val="center"/>
          </w:tcPr>
          <w:p w:rsidR="00BC437D" w:rsidRPr="00BC437D" w:rsidRDefault="00BC437D" w:rsidP="00BC437D">
            <w:pPr>
              <w:tabs>
                <w:tab w:val="left" w:pos="0"/>
              </w:tabs>
              <w:jc w:val="center"/>
              <w:rPr>
                <w:rFonts w:ascii="Times New Roman" w:hAnsi="Times New Roman" w:cs="Times New Roman"/>
                <w:sz w:val="20"/>
              </w:rPr>
            </w:pPr>
            <w:r w:rsidRPr="00BC437D">
              <w:rPr>
                <w:rFonts w:ascii="Times New Roman" w:hAnsi="Times New Roman" w:cs="Times New Roman"/>
                <w:sz w:val="20"/>
              </w:rPr>
              <w:t>1.26</w:t>
            </w:r>
          </w:p>
        </w:tc>
      </w:tr>
      <w:tr w:rsidR="00BC437D" w:rsidRPr="008358B2" w:rsidTr="00751DEC">
        <w:trPr>
          <w:trHeight w:val="872"/>
          <w:jc w:val="center"/>
        </w:trPr>
        <w:tc>
          <w:tcPr>
            <w:tcW w:w="10440" w:type="dxa"/>
            <w:gridSpan w:val="12"/>
            <w:tcBorders>
              <w:top w:val="single" w:sz="4" w:space="0" w:color="auto"/>
            </w:tcBorders>
            <w:vAlign w:val="center"/>
          </w:tcPr>
          <w:p w:rsidR="00BC437D" w:rsidRDefault="00751DEC" w:rsidP="007B4A1D">
            <w:pPr>
              <w:rPr>
                <w:rFonts w:ascii="Times New Roman" w:hAnsi="Times New Roman" w:cs="Times New Roman"/>
                <w:sz w:val="20"/>
              </w:rPr>
            </w:pPr>
            <w:r>
              <w:rPr>
                <w:rFonts w:ascii="Times New Roman" w:hAnsi="Times New Roman" w:cs="Times New Roman"/>
                <w:sz w:val="20"/>
              </w:rPr>
              <w:t>^per 100,000 and a</w:t>
            </w:r>
            <w:r w:rsidR="00BC437D">
              <w:rPr>
                <w:rFonts w:ascii="Times New Roman" w:hAnsi="Times New Roman" w:cs="Times New Roman"/>
                <w:sz w:val="20"/>
              </w:rPr>
              <w:t>ge-standardi</w:t>
            </w:r>
            <w:r>
              <w:rPr>
                <w:rFonts w:ascii="Times New Roman" w:hAnsi="Times New Roman" w:cs="Times New Roman"/>
                <w:sz w:val="20"/>
              </w:rPr>
              <w:t>zed to the 2000 U.S. population;</w:t>
            </w:r>
            <w:r w:rsidR="00BC437D">
              <w:rPr>
                <w:rFonts w:ascii="Times New Roman" w:hAnsi="Times New Roman" w:cs="Times New Roman"/>
                <w:sz w:val="20"/>
              </w:rPr>
              <w:t xml:space="preserve"> </w:t>
            </w:r>
            <w:r w:rsidR="00BC437D" w:rsidRPr="007F3C84">
              <w:rPr>
                <w:rFonts w:ascii="Times New Roman" w:hAnsi="Times New Roman" w:cs="Times New Roman"/>
                <w:sz w:val="20"/>
              </w:rPr>
              <w:t>*indicates a statistic</w:t>
            </w:r>
            <w:r>
              <w:rPr>
                <w:rFonts w:ascii="Times New Roman" w:hAnsi="Times New Roman" w:cs="Times New Roman"/>
                <w:sz w:val="20"/>
              </w:rPr>
              <w:t>ally significant trend (p&lt;0.05); APC = Annual Percent Change;</w:t>
            </w:r>
            <w:r w:rsidR="00BC437D">
              <w:rPr>
                <w:rFonts w:ascii="Times New Roman" w:hAnsi="Times New Roman" w:cs="Times New Roman"/>
                <w:sz w:val="20"/>
              </w:rPr>
              <w:t xml:space="preserve"> Data source: Massachusetts Cancer Registry</w:t>
            </w:r>
            <w:r w:rsidR="00EF1739">
              <w:rPr>
                <w:rFonts w:ascii="Times New Roman" w:hAnsi="Times New Roman" w:cs="Times New Roman"/>
                <w:sz w:val="20"/>
              </w:rPr>
              <w:t xml:space="preserve"> and Massachusetts Registry of Vital Records and Statistics</w:t>
            </w:r>
          </w:p>
        </w:tc>
      </w:tr>
    </w:tbl>
    <w:p w:rsidR="00BF7F32" w:rsidRDefault="00BF7F32"/>
    <w:p w:rsidR="00BF7F32" w:rsidRDefault="00BF7F32"/>
    <w:p w:rsidR="0072570B" w:rsidRDefault="0072570B"/>
    <w:p w:rsidR="0072570B" w:rsidRDefault="0072570B"/>
    <w:p w:rsidR="0072570B" w:rsidRDefault="0072570B"/>
    <w:p w:rsidR="0072570B" w:rsidRDefault="0072570B"/>
    <w:p w:rsidR="0072570B" w:rsidRDefault="0072570B"/>
    <w:tbl>
      <w:tblPr>
        <w:tblStyle w:val="TableGrid"/>
        <w:tblW w:w="10440" w:type="dxa"/>
        <w:jc w:val="center"/>
        <w:tblLook w:val="04A0" w:firstRow="1" w:lastRow="0" w:firstColumn="1" w:lastColumn="0" w:noHBand="0" w:noVBand="1"/>
      </w:tblPr>
      <w:tblGrid>
        <w:gridCol w:w="1906"/>
        <w:gridCol w:w="1157"/>
        <w:gridCol w:w="1157"/>
        <w:gridCol w:w="1158"/>
        <w:gridCol w:w="1157"/>
        <w:gridCol w:w="1158"/>
        <w:gridCol w:w="1157"/>
        <w:gridCol w:w="1590"/>
      </w:tblGrid>
      <w:tr w:rsidR="00B50ED9" w:rsidRPr="00902D3A" w:rsidTr="00B347BC">
        <w:trPr>
          <w:trHeight w:val="423"/>
          <w:jc w:val="center"/>
        </w:trPr>
        <w:tc>
          <w:tcPr>
            <w:tcW w:w="10440" w:type="dxa"/>
            <w:gridSpan w:val="8"/>
            <w:tcBorders>
              <w:top w:val="nil"/>
              <w:left w:val="nil"/>
              <w:right w:val="nil"/>
            </w:tcBorders>
            <w:vAlign w:val="center"/>
          </w:tcPr>
          <w:p w:rsidR="00B50ED9" w:rsidRPr="00902D3A" w:rsidRDefault="00B50ED9" w:rsidP="002916C6">
            <w:pPr>
              <w:rPr>
                <w:rFonts w:ascii="Times New Roman" w:hAnsi="Times New Roman" w:cs="Times New Roman"/>
                <w:b/>
                <w:color w:val="1F497D" w:themeColor="text2"/>
                <w:sz w:val="24"/>
              </w:rPr>
            </w:pPr>
            <w:r>
              <w:rPr>
                <w:rFonts w:ascii="Times New Roman" w:hAnsi="Times New Roman" w:cs="Times New Roman"/>
                <w:b/>
                <w:color w:val="1F497D" w:themeColor="text2"/>
                <w:sz w:val="24"/>
              </w:rPr>
              <w:lastRenderedPageBreak/>
              <w:t xml:space="preserve">PATTERNS IN </w:t>
            </w:r>
            <w:r w:rsidRPr="00902D3A">
              <w:rPr>
                <w:rFonts w:ascii="Times New Roman" w:hAnsi="Times New Roman" w:cs="Times New Roman"/>
                <w:b/>
                <w:color w:val="1F497D" w:themeColor="text2"/>
                <w:sz w:val="24"/>
              </w:rPr>
              <w:t xml:space="preserve">CERVICAL CANCER </w:t>
            </w:r>
            <w:r>
              <w:rPr>
                <w:rFonts w:ascii="Times New Roman" w:hAnsi="Times New Roman" w:cs="Times New Roman"/>
                <w:b/>
                <w:color w:val="1F497D" w:themeColor="text2"/>
                <w:sz w:val="24"/>
              </w:rPr>
              <w:t xml:space="preserve">INCIDENCE </w:t>
            </w:r>
            <w:r w:rsidR="002916C6">
              <w:rPr>
                <w:rFonts w:ascii="Times New Roman" w:hAnsi="Times New Roman" w:cs="Times New Roman"/>
                <w:b/>
                <w:color w:val="1F497D" w:themeColor="text2"/>
                <w:sz w:val="24"/>
              </w:rPr>
              <w:t xml:space="preserve">AND MORTALITY </w:t>
            </w:r>
            <w:r>
              <w:rPr>
                <w:rFonts w:ascii="Times New Roman" w:hAnsi="Times New Roman" w:cs="Times New Roman"/>
                <w:b/>
                <w:color w:val="1F497D" w:themeColor="text2"/>
                <w:sz w:val="24"/>
              </w:rPr>
              <w:t>BY AGE</w:t>
            </w:r>
          </w:p>
        </w:tc>
      </w:tr>
      <w:tr w:rsidR="00B50ED9" w:rsidRPr="00902D3A" w:rsidTr="00B347BC">
        <w:trPr>
          <w:trHeight w:val="467"/>
          <w:jc w:val="center"/>
        </w:trPr>
        <w:tc>
          <w:tcPr>
            <w:tcW w:w="10440" w:type="dxa"/>
            <w:gridSpan w:val="8"/>
            <w:tcBorders>
              <w:bottom w:val="single" w:sz="4" w:space="0" w:color="auto"/>
            </w:tcBorders>
            <w:vAlign w:val="center"/>
          </w:tcPr>
          <w:p w:rsidR="00B50ED9" w:rsidRDefault="00B50ED9" w:rsidP="00746B3D">
            <w:pPr>
              <w:rPr>
                <w:rFonts w:ascii="Times New Roman" w:hAnsi="Times New Roman" w:cs="Times New Roman"/>
                <w:b/>
                <w:color w:val="1F497D" w:themeColor="text2"/>
                <w:sz w:val="24"/>
              </w:rPr>
            </w:pPr>
            <w:r>
              <w:rPr>
                <w:rFonts w:ascii="Times New Roman" w:hAnsi="Times New Roman" w:cs="Times New Roman"/>
                <w:b/>
                <w:color w:val="1F497D" w:themeColor="text2"/>
                <w:sz w:val="24"/>
              </w:rPr>
              <w:t>Figure 2. Age-specific incidence</w:t>
            </w:r>
            <w:r w:rsidR="00746B3D">
              <w:rPr>
                <w:rFonts w:ascii="Times New Roman" w:hAnsi="Times New Roman" w:cs="Times New Roman"/>
                <w:b/>
                <w:color w:val="1F497D" w:themeColor="text2"/>
                <w:sz w:val="24"/>
              </w:rPr>
              <w:t xml:space="preserve"> </w:t>
            </w:r>
            <w:r w:rsidR="002916C6">
              <w:rPr>
                <w:rFonts w:ascii="Times New Roman" w:hAnsi="Times New Roman" w:cs="Times New Roman"/>
                <w:b/>
                <w:color w:val="1F497D" w:themeColor="text2"/>
                <w:sz w:val="24"/>
              </w:rPr>
              <w:t xml:space="preserve">(2004-2014) </w:t>
            </w:r>
            <w:r w:rsidR="00746B3D">
              <w:rPr>
                <w:rFonts w:ascii="Times New Roman" w:hAnsi="Times New Roman" w:cs="Times New Roman"/>
                <w:b/>
                <w:color w:val="1F497D" w:themeColor="text2"/>
                <w:sz w:val="24"/>
              </w:rPr>
              <w:t>and mortality</w:t>
            </w:r>
            <w:r>
              <w:rPr>
                <w:rFonts w:ascii="Times New Roman" w:hAnsi="Times New Roman" w:cs="Times New Roman"/>
                <w:b/>
                <w:color w:val="1F497D" w:themeColor="text2"/>
                <w:sz w:val="24"/>
              </w:rPr>
              <w:t xml:space="preserve"> </w:t>
            </w:r>
            <w:r w:rsidR="002916C6">
              <w:rPr>
                <w:rFonts w:ascii="Times New Roman" w:hAnsi="Times New Roman" w:cs="Times New Roman"/>
                <w:b/>
                <w:color w:val="1F497D" w:themeColor="text2"/>
                <w:sz w:val="24"/>
              </w:rPr>
              <w:t xml:space="preserve">(2008-2014) </w:t>
            </w:r>
            <w:r>
              <w:rPr>
                <w:rFonts w:ascii="Times New Roman" w:hAnsi="Times New Roman" w:cs="Times New Roman"/>
                <w:b/>
                <w:color w:val="1F497D" w:themeColor="text2"/>
                <w:sz w:val="24"/>
              </w:rPr>
              <w:t>rates</w:t>
            </w:r>
            <w:r w:rsidR="00746B3D">
              <w:rPr>
                <w:rFonts w:ascii="Times New Roman" w:hAnsi="Times New Roman" w:cs="Times New Roman"/>
                <w:b/>
                <w:color w:val="1F497D" w:themeColor="text2"/>
                <w:sz w:val="24"/>
              </w:rPr>
              <w:t>^</w:t>
            </w:r>
            <w:r>
              <w:rPr>
                <w:rFonts w:ascii="Times New Roman" w:hAnsi="Times New Roman" w:cs="Times New Roman"/>
                <w:b/>
                <w:color w:val="1F497D" w:themeColor="text2"/>
                <w:sz w:val="24"/>
              </w:rPr>
              <w:t xml:space="preserve"> of cervical cancer, </w:t>
            </w:r>
            <w:r w:rsidR="00746B3D">
              <w:rPr>
                <w:rFonts w:ascii="Times New Roman" w:hAnsi="Times New Roman" w:cs="Times New Roman"/>
                <w:b/>
                <w:color w:val="1F497D" w:themeColor="text2"/>
                <w:sz w:val="24"/>
              </w:rPr>
              <w:t>Massachusetts</w:t>
            </w:r>
          </w:p>
        </w:tc>
      </w:tr>
      <w:tr w:rsidR="00B50ED9" w:rsidRPr="00902D3A" w:rsidTr="00D743C5">
        <w:trPr>
          <w:trHeight w:val="3905"/>
          <w:jc w:val="center"/>
        </w:trPr>
        <w:tc>
          <w:tcPr>
            <w:tcW w:w="10440" w:type="dxa"/>
            <w:gridSpan w:val="8"/>
            <w:tcBorders>
              <w:bottom w:val="single" w:sz="4" w:space="0" w:color="auto"/>
            </w:tcBorders>
            <w:vAlign w:val="center"/>
          </w:tcPr>
          <w:p w:rsidR="00B50ED9" w:rsidRDefault="00EF1739" w:rsidP="0090233B">
            <w:pPr>
              <w:jc w:val="center"/>
              <w:rPr>
                <w:noProof/>
              </w:rPr>
            </w:pPr>
            <w:r>
              <w:rPr>
                <w:noProof/>
              </w:rPr>
              <w:drawing>
                <wp:inline distT="0" distB="0" distL="0" distR="0" wp14:anchorId="3E6B1282" wp14:editId="2CB1E151">
                  <wp:extent cx="4902200" cy="2476500"/>
                  <wp:effectExtent l="0" t="0" r="0" b="0"/>
                  <wp:docPr id="9" name="Chart 9" descr="The incidence rate for people ages 20-29 is 2.12, for ages 30-39 is 8.71, for ages 40-49 is 9.76, for ages 50-59 is 8.74, for ages 60-69 is 9.34, for ages 70-79 is 8.24, and for ages 80+ is 7.15. The mortality rate for people  ages 20-29 is not given, for ages 30-39 is 0.54, for ages 40-49 is 1.99, for ages 50-59 is 2.75, for ages 60-69 is 3.63, for ages 70-79 is 3.53, and for ages 80+ is 3.77. Rates are per 100,000.  Cells wtih fewer than 10 people are not shown. Data are from the Massachusetts cancer registry and the Massachusetts Registry of Viral Records and Statistics. " title="Figure 2. Age-specific incidence and mortality rates of cervical cancer in Massachusetts from 2004 to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D743C5" w:rsidRPr="00902D3A" w:rsidTr="00D743C5">
        <w:trPr>
          <w:trHeight w:val="224"/>
          <w:jc w:val="center"/>
        </w:trPr>
        <w:tc>
          <w:tcPr>
            <w:tcW w:w="1906" w:type="dxa"/>
            <w:tcBorders>
              <w:bottom w:val="nil"/>
              <w:right w:val="nil"/>
            </w:tcBorders>
            <w:vAlign w:val="center"/>
          </w:tcPr>
          <w:p w:rsidR="00D743C5" w:rsidRPr="00BC437D" w:rsidRDefault="00D743C5" w:rsidP="0090233B">
            <w:pPr>
              <w:rPr>
                <w:rFonts w:ascii="Times New Roman" w:hAnsi="Times New Roman" w:cs="Times New Roman"/>
                <w:b/>
                <w:color w:val="1F497D" w:themeColor="text2"/>
                <w:sz w:val="20"/>
              </w:rPr>
            </w:pPr>
          </w:p>
        </w:tc>
        <w:tc>
          <w:tcPr>
            <w:tcW w:w="8534" w:type="dxa"/>
            <w:gridSpan w:val="7"/>
            <w:tcBorders>
              <w:left w:val="nil"/>
              <w:bottom w:val="nil"/>
            </w:tcBorders>
            <w:vAlign w:val="bottom"/>
          </w:tcPr>
          <w:p w:rsidR="00D743C5" w:rsidRDefault="00D743C5" w:rsidP="00D743C5">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Age Group (</w:t>
            </w:r>
            <w:r w:rsidR="009166AC">
              <w:rPr>
                <w:rFonts w:ascii="Times New Roman" w:hAnsi="Times New Roman" w:cs="Times New Roman"/>
                <w:b/>
                <w:color w:val="1F497D" w:themeColor="text2"/>
                <w:sz w:val="20"/>
              </w:rPr>
              <w:t>Y</w:t>
            </w:r>
            <w:r>
              <w:rPr>
                <w:rFonts w:ascii="Times New Roman" w:hAnsi="Times New Roman" w:cs="Times New Roman"/>
                <w:b/>
                <w:color w:val="1F497D" w:themeColor="text2"/>
                <w:sz w:val="20"/>
              </w:rPr>
              <w:t>ears)</w:t>
            </w:r>
          </w:p>
        </w:tc>
      </w:tr>
      <w:tr w:rsidR="00B50ED9" w:rsidRPr="00902D3A" w:rsidTr="00D743C5">
        <w:trPr>
          <w:trHeight w:val="350"/>
          <w:jc w:val="center"/>
        </w:trPr>
        <w:tc>
          <w:tcPr>
            <w:tcW w:w="1906" w:type="dxa"/>
            <w:tcBorders>
              <w:top w:val="nil"/>
              <w:bottom w:val="single" w:sz="4" w:space="0" w:color="auto"/>
              <w:right w:val="nil"/>
            </w:tcBorders>
            <w:vAlign w:val="center"/>
          </w:tcPr>
          <w:p w:rsidR="00B50ED9" w:rsidRPr="00BC437D" w:rsidRDefault="00B50ED9" w:rsidP="0090233B">
            <w:pPr>
              <w:rPr>
                <w:rFonts w:ascii="Times New Roman" w:hAnsi="Times New Roman" w:cs="Times New Roman"/>
                <w:b/>
                <w:color w:val="1F497D" w:themeColor="text2"/>
                <w:sz w:val="20"/>
              </w:rPr>
            </w:pPr>
          </w:p>
        </w:tc>
        <w:tc>
          <w:tcPr>
            <w:tcW w:w="1157" w:type="dxa"/>
            <w:tcBorders>
              <w:top w:val="nil"/>
              <w:left w:val="nil"/>
              <w:bottom w:val="single" w:sz="4" w:space="0" w:color="auto"/>
              <w:right w:val="nil"/>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20</w:t>
            </w:r>
            <w:r w:rsidR="006D45A2">
              <w:rPr>
                <w:rFonts w:ascii="Times New Roman" w:hAnsi="Times New Roman" w:cs="Times New Roman"/>
                <w:b/>
                <w:color w:val="1F497D" w:themeColor="text2"/>
                <w:sz w:val="20"/>
              </w:rPr>
              <w:t>-29</w:t>
            </w:r>
          </w:p>
        </w:tc>
        <w:tc>
          <w:tcPr>
            <w:tcW w:w="1157" w:type="dxa"/>
            <w:tcBorders>
              <w:top w:val="nil"/>
              <w:left w:val="nil"/>
              <w:bottom w:val="single" w:sz="4" w:space="0" w:color="auto"/>
              <w:right w:val="nil"/>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30-39</w:t>
            </w:r>
          </w:p>
        </w:tc>
        <w:tc>
          <w:tcPr>
            <w:tcW w:w="1158" w:type="dxa"/>
            <w:tcBorders>
              <w:top w:val="nil"/>
              <w:left w:val="nil"/>
              <w:bottom w:val="single" w:sz="4" w:space="0" w:color="auto"/>
              <w:right w:val="nil"/>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40-49</w:t>
            </w:r>
          </w:p>
        </w:tc>
        <w:tc>
          <w:tcPr>
            <w:tcW w:w="1157" w:type="dxa"/>
            <w:tcBorders>
              <w:top w:val="nil"/>
              <w:left w:val="nil"/>
              <w:bottom w:val="single" w:sz="4" w:space="0" w:color="auto"/>
              <w:right w:val="nil"/>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50-59</w:t>
            </w:r>
          </w:p>
        </w:tc>
        <w:tc>
          <w:tcPr>
            <w:tcW w:w="1158" w:type="dxa"/>
            <w:tcBorders>
              <w:top w:val="nil"/>
              <w:left w:val="nil"/>
              <w:bottom w:val="single" w:sz="4" w:space="0" w:color="auto"/>
              <w:right w:val="nil"/>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60-69</w:t>
            </w:r>
          </w:p>
        </w:tc>
        <w:tc>
          <w:tcPr>
            <w:tcW w:w="1157" w:type="dxa"/>
            <w:tcBorders>
              <w:top w:val="nil"/>
              <w:left w:val="nil"/>
              <w:bottom w:val="single" w:sz="4" w:space="0" w:color="auto"/>
              <w:right w:val="nil"/>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70-79</w:t>
            </w:r>
          </w:p>
        </w:tc>
        <w:tc>
          <w:tcPr>
            <w:tcW w:w="1590" w:type="dxa"/>
            <w:tcBorders>
              <w:top w:val="nil"/>
              <w:left w:val="nil"/>
              <w:bottom w:val="single" w:sz="4" w:space="0" w:color="auto"/>
            </w:tcBorders>
            <w:vAlign w:val="center"/>
          </w:tcPr>
          <w:p w:rsidR="00B50ED9" w:rsidRPr="00BC437D" w:rsidRDefault="00B50ED9"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80+</w:t>
            </w:r>
          </w:p>
        </w:tc>
      </w:tr>
      <w:tr w:rsidR="00B50ED9" w:rsidRPr="008358B2" w:rsidTr="00B347BC">
        <w:trPr>
          <w:trHeight w:val="260"/>
          <w:jc w:val="center"/>
        </w:trPr>
        <w:tc>
          <w:tcPr>
            <w:tcW w:w="1906" w:type="dxa"/>
            <w:tcBorders>
              <w:top w:val="single" w:sz="4" w:space="0" w:color="auto"/>
              <w:bottom w:val="nil"/>
              <w:right w:val="nil"/>
            </w:tcBorders>
            <w:vAlign w:val="center"/>
          </w:tcPr>
          <w:p w:rsidR="00B50ED9" w:rsidRPr="00BC437D" w:rsidRDefault="00B50ED9" w:rsidP="0090233B">
            <w:pPr>
              <w:rPr>
                <w:rFonts w:ascii="Times New Roman" w:hAnsi="Times New Roman" w:cs="Times New Roman"/>
                <w:sz w:val="20"/>
              </w:rPr>
            </w:pPr>
            <w:r>
              <w:rPr>
                <w:rFonts w:ascii="Times New Roman" w:hAnsi="Times New Roman" w:cs="Times New Roman"/>
                <w:sz w:val="20"/>
              </w:rPr>
              <w:t>Incidence Rate</w:t>
            </w:r>
          </w:p>
        </w:tc>
        <w:tc>
          <w:tcPr>
            <w:tcW w:w="1157" w:type="dxa"/>
            <w:tcBorders>
              <w:top w:val="single" w:sz="4" w:space="0" w:color="auto"/>
              <w:left w:val="nil"/>
              <w:bottom w:val="nil"/>
              <w:right w:val="nil"/>
            </w:tcBorders>
            <w:vAlign w:val="center"/>
          </w:tcPr>
          <w:p w:rsidR="00B50ED9" w:rsidRPr="00BC437D" w:rsidRDefault="00B50ED9" w:rsidP="0090233B">
            <w:pPr>
              <w:tabs>
                <w:tab w:val="left" w:pos="702"/>
              </w:tabs>
              <w:ind w:right="-18" w:hanging="14"/>
              <w:jc w:val="center"/>
              <w:rPr>
                <w:rFonts w:ascii="Times New Roman" w:hAnsi="Times New Roman" w:cs="Times New Roman"/>
                <w:sz w:val="20"/>
              </w:rPr>
            </w:pPr>
            <w:r>
              <w:rPr>
                <w:rFonts w:ascii="Times New Roman" w:hAnsi="Times New Roman" w:cs="Times New Roman"/>
                <w:sz w:val="20"/>
              </w:rPr>
              <w:t>2.12</w:t>
            </w:r>
          </w:p>
        </w:tc>
        <w:tc>
          <w:tcPr>
            <w:tcW w:w="1157" w:type="dxa"/>
            <w:tcBorders>
              <w:top w:val="single" w:sz="4" w:space="0" w:color="auto"/>
              <w:left w:val="nil"/>
              <w:bottom w:val="nil"/>
              <w:right w:val="nil"/>
            </w:tcBorders>
            <w:vAlign w:val="center"/>
          </w:tcPr>
          <w:p w:rsidR="00B50ED9" w:rsidRPr="00BC437D" w:rsidRDefault="00B50ED9" w:rsidP="0090233B">
            <w:pPr>
              <w:tabs>
                <w:tab w:val="left" w:pos="0"/>
              </w:tabs>
              <w:jc w:val="center"/>
              <w:rPr>
                <w:rFonts w:ascii="Times New Roman" w:hAnsi="Times New Roman" w:cs="Times New Roman"/>
                <w:sz w:val="20"/>
              </w:rPr>
            </w:pPr>
            <w:r>
              <w:rPr>
                <w:rFonts w:ascii="Times New Roman" w:hAnsi="Times New Roman" w:cs="Times New Roman"/>
                <w:sz w:val="20"/>
              </w:rPr>
              <w:t>8.71</w:t>
            </w:r>
          </w:p>
        </w:tc>
        <w:tc>
          <w:tcPr>
            <w:tcW w:w="1158" w:type="dxa"/>
            <w:tcBorders>
              <w:top w:val="single" w:sz="4" w:space="0" w:color="auto"/>
              <w:left w:val="nil"/>
              <w:bottom w:val="nil"/>
              <w:right w:val="nil"/>
            </w:tcBorders>
            <w:vAlign w:val="center"/>
          </w:tcPr>
          <w:p w:rsidR="00B50ED9" w:rsidRPr="00BC437D" w:rsidRDefault="00B50ED9" w:rsidP="0090233B">
            <w:pPr>
              <w:tabs>
                <w:tab w:val="left" w:pos="0"/>
              </w:tabs>
              <w:jc w:val="center"/>
              <w:rPr>
                <w:rFonts w:ascii="Times New Roman" w:hAnsi="Times New Roman" w:cs="Times New Roman"/>
                <w:sz w:val="20"/>
              </w:rPr>
            </w:pPr>
            <w:r>
              <w:rPr>
                <w:rFonts w:ascii="Times New Roman" w:hAnsi="Times New Roman" w:cs="Times New Roman"/>
                <w:sz w:val="20"/>
              </w:rPr>
              <w:t>9.76</w:t>
            </w:r>
          </w:p>
        </w:tc>
        <w:tc>
          <w:tcPr>
            <w:tcW w:w="1157" w:type="dxa"/>
            <w:tcBorders>
              <w:top w:val="single" w:sz="4" w:space="0" w:color="auto"/>
              <w:left w:val="nil"/>
              <w:bottom w:val="nil"/>
              <w:right w:val="nil"/>
            </w:tcBorders>
            <w:vAlign w:val="center"/>
          </w:tcPr>
          <w:p w:rsidR="00B50ED9" w:rsidRPr="00BC437D" w:rsidRDefault="00B50ED9" w:rsidP="0090233B">
            <w:pPr>
              <w:tabs>
                <w:tab w:val="left" w:pos="0"/>
              </w:tabs>
              <w:jc w:val="center"/>
              <w:rPr>
                <w:rFonts w:ascii="Times New Roman" w:hAnsi="Times New Roman" w:cs="Times New Roman"/>
                <w:sz w:val="20"/>
              </w:rPr>
            </w:pPr>
            <w:r>
              <w:rPr>
                <w:rFonts w:ascii="Times New Roman" w:hAnsi="Times New Roman" w:cs="Times New Roman"/>
                <w:sz w:val="20"/>
              </w:rPr>
              <w:t>8.74</w:t>
            </w:r>
          </w:p>
        </w:tc>
        <w:tc>
          <w:tcPr>
            <w:tcW w:w="1158" w:type="dxa"/>
            <w:tcBorders>
              <w:top w:val="single" w:sz="4" w:space="0" w:color="auto"/>
              <w:left w:val="nil"/>
              <w:bottom w:val="nil"/>
              <w:right w:val="nil"/>
            </w:tcBorders>
            <w:vAlign w:val="center"/>
          </w:tcPr>
          <w:p w:rsidR="00B50ED9" w:rsidRPr="00BC437D" w:rsidRDefault="00B50ED9" w:rsidP="0090233B">
            <w:pPr>
              <w:tabs>
                <w:tab w:val="left" w:pos="0"/>
              </w:tabs>
              <w:jc w:val="center"/>
              <w:rPr>
                <w:rFonts w:ascii="Times New Roman" w:hAnsi="Times New Roman" w:cs="Times New Roman"/>
                <w:sz w:val="20"/>
              </w:rPr>
            </w:pPr>
            <w:r>
              <w:rPr>
                <w:rFonts w:ascii="Times New Roman" w:hAnsi="Times New Roman" w:cs="Times New Roman"/>
                <w:sz w:val="20"/>
              </w:rPr>
              <w:t>9.34</w:t>
            </w:r>
          </w:p>
        </w:tc>
        <w:tc>
          <w:tcPr>
            <w:tcW w:w="1157" w:type="dxa"/>
            <w:tcBorders>
              <w:top w:val="single" w:sz="4" w:space="0" w:color="auto"/>
              <w:left w:val="nil"/>
              <w:bottom w:val="nil"/>
              <w:right w:val="nil"/>
            </w:tcBorders>
            <w:vAlign w:val="center"/>
          </w:tcPr>
          <w:p w:rsidR="00B50ED9" w:rsidRPr="00BC437D" w:rsidRDefault="00B50ED9" w:rsidP="0090233B">
            <w:pPr>
              <w:tabs>
                <w:tab w:val="left" w:pos="0"/>
              </w:tabs>
              <w:jc w:val="center"/>
              <w:rPr>
                <w:rFonts w:ascii="Times New Roman" w:hAnsi="Times New Roman" w:cs="Times New Roman"/>
                <w:sz w:val="20"/>
              </w:rPr>
            </w:pPr>
            <w:r>
              <w:rPr>
                <w:rFonts w:ascii="Times New Roman" w:hAnsi="Times New Roman" w:cs="Times New Roman"/>
                <w:sz w:val="20"/>
              </w:rPr>
              <w:t>8.24</w:t>
            </w:r>
          </w:p>
        </w:tc>
        <w:tc>
          <w:tcPr>
            <w:tcW w:w="1590" w:type="dxa"/>
            <w:tcBorders>
              <w:top w:val="single" w:sz="4" w:space="0" w:color="auto"/>
              <w:left w:val="nil"/>
              <w:bottom w:val="nil"/>
            </w:tcBorders>
            <w:vAlign w:val="center"/>
          </w:tcPr>
          <w:p w:rsidR="00B50ED9" w:rsidRPr="00BC437D" w:rsidRDefault="00B50ED9" w:rsidP="0090233B">
            <w:pPr>
              <w:tabs>
                <w:tab w:val="left" w:pos="0"/>
              </w:tabs>
              <w:jc w:val="center"/>
              <w:rPr>
                <w:rFonts w:ascii="Times New Roman" w:hAnsi="Times New Roman" w:cs="Times New Roman"/>
                <w:sz w:val="20"/>
              </w:rPr>
            </w:pPr>
            <w:r>
              <w:rPr>
                <w:rFonts w:ascii="Times New Roman" w:hAnsi="Times New Roman" w:cs="Times New Roman"/>
                <w:sz w:val="20"/>
              </w:rPr>
              <w:t>7.15</w:t>
            </w:r>
          </w:p>
        </w:tc>
      </w:tr>
      <w:tr w:rsidR="00B50ED9" w:rsidRPr="008358B2" w:rsidTr="00B347BC">
        <w:trPr>
          <w:trHeight w:val="270"/>
          <w:jc w:val="center"/>
        </w:trPr>
        <w:tc>
          <w:tcPr>
            <w:tcW w:w="1906" w:type="dxa"/>
            <w:tcBorders>
              <w:top w:val="nil"/>
              <w:bottom w:val="nil"/>
              <w:right w:val="nil"/>
            </w:tcBorders>
            <w:vAlign w:val="center"/>
          </w:tcPr>
          <w:p w:rsidR="00B50ED9" w:rsidRDefault="00B50ED9" w:rsidP="0090233B">
            <w:pPr>
              <w:rPr>
                <w:rFonts w:ascii="Times New Roman" w:hAnsi="Times New Roman" w:cs="Times New Roman"/>
                <w:sz w:val="20"/>
              </w:rPr>
            </w:pPr>
            <w:r>
              <w:rPr>
                <w:rFonts w:ascii="Times New Roman" w:hAnsi="Times New Roman" w:cs="Times New Roman"/>
                <w:sz w:val="20"/>
              </w:rPr>
              <w:t>Mortality Rate</w:t>
            </w:r>
          </w:p>
        </w:tc>
        <w:tc>
          <w:tcPr>
            <w:tcW w:w="1157" w:type="dxa"/>
            <w:tcBorders>
              <w:top w:val="nil"/>
              <w:left w:val="nil"/>
              <w:bottom w:val="nil"/>
              <w:right w:val="nil"/>
            </w:tcBorders>
            <w:vAlign w:val="center"/>
          </w:tcPr>
          <w:p w:rsidR="00B50ED9" w:rsidRDefault="00EF1739" w:rsidP="0090233B">
            <w:pPr>
              <w:tabs>
                <w:tab w:val="left" w:pos="702"/>
              </w:tabs>
              <w:ind w:right="-18" w:hanging="14"/>
              <w:jc w:val="center"/>
              <w:rPr>
                <w:rFonts w:ascii="Times New Roman" w:hAnsi="Times New Roman" w:cs="Times New Roman"/>
                <w:sz w:val="20"/>
              </w:rPr>
            </w:pPr>
            <w:r>
              <w:rPr>
                <w:rFonts w:ascii="Times New Roman" w:hAnsi="Times New Roman" w:cs="Times New Roman"/>
                <w:sz w:val="20"/>
              </w:rPr>
              <w:t>-</w:t>
            </w:r>
          </w:p>
        </w:tc>
        <w:tc>
          <w:tcPr>
            <w:tcW w:w="1157" w:type="dxa"/>
            <w:tcBorders>
              <w:top w:val="nil"/>
              <w:left w:val="nil"/>
              <w:bottom w:val="nil"/>
              <w:right w:val="nil"/>
            </w:tcBorders>
            <w:vAlign w:val="center"/>
          </w:tcPr>
          <w:p w:rsidR="00B50ED9" w:rsidRPr="00BC437D" w:rsidRDefault="00EF1739" w:rsidP="0090233B">
            <w:pPr>
              <w:tabs>
                <w:tab w:val="left" w:pos="0"/>
              </w:tabs>
              <w:jc w:val="center"/>
              <w:rPr>
                <w:rFonts w:ascii="Times New Roman" w:hAnsi="Times New Roman" w:cs="Times New Roman"/>
                <w:sz w:val="20"/>
              </w:rPr>
            </w:pPr>
            <w:r>
              <w:rPr>
                <w:rFonts w:ascii="Times New Roman" w:hAnsi="Times New Roman" w:cs="Times New Roman"/>
                <w:sz w:val="20"/>
              </w:rPr>
              <w:t>0.54</w:t>
            </w:r>
          </w:p>
        </w:tc>
        <w:tc>
          <w:tcPr>
            <w:tcW w:w="1158" w:type="dxa"/>
            <w:tcBorders>
              <w:top w:val="nil"/>
              <w:left w:val="nil"/>
              <w:bottom w:val="nil"/>
              <w:right w:val="nil"/>
            </w:tcBorders>
            <w:vAlign w:val="center"/>
          </w:tcPr>
          <w:p w:rsidR="00B50ED9" w:rsidRPr="00BC437D" w:rsidRDefault="00EF1739" w:rsidP="0090233B">
            <w:pPr>
              <w:tabs>
                <w:tab w:val="left" w:pos="0"/>
              </w:tabs>
              <w:jc w:val="center"/>
              <w:rPr>
                <w:rFonts w:ascii="Times New Roman" w:hAnsi="Times New Roman" w:cs="Times New Roman"/>
                <w:sz w:val="20"/>
              </w:rPr>
            </w:pPr>
            <w:r>
              <w:rPr>
                <w:rFonts w:ascii="Times New Roman" w:hAnsi="Times New Roman" w:cs="Times New Roman"/>
                <w:sz w:val="20"/>
              </w:rPr>
              <w:t>1.99</w:t>
            </w:r>
          </w:p>
        </w:tc>
        <w:tc>
          <w:tcPr>
            <w:tcW w:w="1157" w:type="dxa"/>
            <w:tcBorders>
              <w:top w:val="nil"/>
              <w:left w:val="nil"/>
              <w:bottom w:val="nil"/>
              <w:right w:val="nil"/>
            </w:tcBorders>
            <w:vAlign w:val="center"/>
          </w:tcPr>
          <w:p w:rsidR="00B50ED9" w:rsidRPr="00BC437D" w:rsidRDefault="00EF1739" w:rsidP="0090233B">
            <w:pPr>
              <w:tabs>
                <w:tab w:val="left" w:pos="0"/>
              </w:tabs>
              <w:jc w:val="center"/>
              <w:rPr>
                <w:rFonts w:ascii="Times New Roman" w:hAnsi="Times New Roman" w:cs="Times New Roman"/>
                <w:sz w:val="20"/>
              </w:rPr>
            </w:pPr>
            <w:r>
              <w:rPr>
                <w:rFonts w:ascii="Times New Roman" w:hAnsi="Times New Roman" w:cs="Times New Roman"/>
                <w:sz w:val="20"/>
              </w:rPr>
              <w:t>2.75</w:t>
            </w:r>
          </w:p>
        </w:tc>
        <w:tc>
          <w:tcPr>
            <w:tcW w:w="1158" w:type="dxa"/>
            <w:tcBorders>
              <w:top w:val="nil"/>
              <w:left w:val="nil"/>
              <w:bottom w:val="nil"/>
              <w:right w:val="nil"/>
            </w:tcBorders>
            <w:vAlign w:val="center"/>
          </w:tcPr>
          <w:p w:rsidR="00B50ED9" w:rsidRPr="00BC437D" w:rsidRDefault="00EF1739" w:rsidP="0090233B">
            <w:pPr>
              <w:tabs>
                <w:tab w:val="left" w:pos="0"/>
              </w:tabs>
              <w:jc w:val="center"/>
              <w:rPr>
                <w:rFonts w:ascii="Times New Roman" w:hAnsi="Times New Roman" w:cs="Times New Roman"/>
                <w:sz w:val="20"/>
              </w:rPr>
            </w:pPr>
            <w:r>
              <w:rPr>
                <w:rFonts w:ascii="Times New Roman" w:hAnsi="Times New Roman" w:cs="Times New Roman"/>
                <w:sz w:val="20"/>
              </w:rPr>
              <w:t>3.63</w:t>
            </w:r>
          </w:p>
        </w:tc>
        <w:tc>
          <w:tcPr>
            <w:tcW w:w="1157" w:type="dxa"/>
            <w:tcBorders>
              <w:top w:val="nil"/>
              <w:left w:val="nil"/>
              <w:bottom w:val="nil"/>
              <w:right w:val="nil"/>
            </w:tcBorders>
            <w:vAlign w:val="center"/>
          </w:tcPr>
          <w:p w:rsidR="00B50ED9" w:rsidRPr="00BC437D" w:rsidRDefault="00EF1739" w:rsidP="0090233B">
            <w:pPr>
              <w:tabs>
                <w:tab w:val="left" w:pos="0"/>
              </w:tabs>
              <w:jc w:val="center"/>
              <w:rPr>
                <w:rFonts w:ascii="Times New Roman" w:hAnsi="Times New Roman" w:cs="Times New Roman"/>
                <w:sz w:val="20"/>
              </w:rPr>
            </w:pPr>
            <w:r>
              <w:rPr>
                <w:rFonts w:ascii="Times New Roman" w:hAnsi="Times New Roman" w:cs="Times New Roman"/>
                <w:sz w:val="20"/>
              </w:rPr>
              <w:t>3.53</w:t>
            </w:r>
          </w:p>
        </w:tc>
        <w:tc>
          <w:tcPr>
            <w:tcW w:w="1590" w:type="dxa"/>
            <w:tcBorders>
              <w:top w:val="nil"/>
              <w:left w:val="nil"/>
              <w:bottom w:val="nil"/>
            </w:tcBorders>
            <w:vAlign w:val="center"/>
          </w:tcPr>
          <w:p w:rsidR="00B50ED9" w:rsidRPr="00BC437D" w:rsidRDefault="00EF1739" w:rsidP="0090233B">
            <w:pPr>
              <w:tabs>
                <w:tab w:val="left" w:pos="0"/>
              </w:tabs>
              <w:jc w:val="center"/>
              <w:rPr>
                <w:rFonts w:ascii="Times New Roman" w:hAnsi="Times New Roman" w:cs="Times New Roman"/>
                <w:sz w:val="20"/>
              </w:rPr>
            </w:pPr>
            <w:r>
              <w:rPr>
                <w:rFonts w:ascii="Times New Roman" w:hAnsi="Times New Roman" w:cs="Times New Roman"/>
                <w:sz w:val="20"/>
              </w:rPr>
              <w:t>3.77</w:t>
            </w:r>
          </w:p>
        </w:tc>
      </w:tr>
      <w:tr w:rsidR="00B50ED9" w:rsidRPr="008358B2" w:rsidTr="00B347BC">
        <w:trPr>
          <w:trHeight w:val="800"/>
          <w:jc w:val="center"/>
        </w:trPr>
        <w:tc>
          <w:tcPr>
            <w:tcW w:w="10440" w:type="dxa"/>
            <w:gridSpan w:val="8"/>
            <w:tcBorders>
              <w:top w:val="single" w:sz="4" w:space="0" w:color="auto"/>
            </w:tcBorders>
            <w:vAlign w:val="center"/>
          </w:tcPr>
          <w:p w:rsidR="00B50ED9" w:rsidRDefault="007B4A1D" w:rsidP="00D743C5">
            <w:pPr>
              <w:rPr>
                <w:rFonts w:ascii="Times New Roman" w:hAnsi="Times New Roman" w:cs="Times New Roman"/>
                <w:sz w:val="20"/>
              </w:rPr>
            </w:pPr>
            <w:r>
              <w:rPr>
                <w:rFonts w:ascii="Times New Roman" w:hAnsi="Times New Roman" w:cs="Times New Roman"/>
                <w:sz w:val="20"/>
              </w:rPr>
              <w:t>^</w:t>
            </w:r>
            <w:r w:rsidR="00D743C5">
              <w:rPr>
                <w:rFonts w:ascii="Times New Roman" w:hAnsi="Times New Roman" w:cs="Times New Roman"/>
                <w:sz w:val="20"/>
              </w:rPr>
              <w:t>per 100,000;</w:t>
            </w:r>
            <w:r w:rsidR="00B50ED9">
              <w:rPr>
                <w:rFonts w:ascii="Times New Roman" w:hAnsi="Times New Roman" w:cs="Times New Roman"/>
                <w:sz w:val="20"/>
              </w:rPr>
              <w:t xml:space="preserve"> cells with fewer than 10 people not shown</w:t>
            </w:r>
            <w:r w:rsidR="00D743C5">
              <w:rPr>
                <w:rFonts w:ascii="Times New Roman" w:hAnsi="Times New Roman" w:cs="Times New Roman"/>
                <w:sz w:val="20"/>
              </w:rPr>
              <w:t>;</w:t>
            </w:r>
            <w:r w:rsidR="00B50ED9">
              <w:rPr>
                <w:rFonts w:ascii="Times New Roman" w:hAnsi="Times New Roman" w:cs="Times New Roman"/>
                <w:sz w:val="20"/>
              </w:rPr>
              <w:t xml:space="preserve"> Data source: Massachusetts Cancer Registry</w:t>
            </w:r>
            <w:r w:rsidR="00EF1739">
              <w:rPr>
                <w:rFonts w:ascii="Times New Roman" w:hAnsi="Times New Roman" w:cs="Times New Roman"/>
                <w:sz w:val="20"/>
              </w:rPr>
              <w:t xml:space="preserve"> and Massachusetts Registry of Vital Records and Statistics</w:t>
            </w:r>
          </w:p>
        </w:tc>
      </w:tr>
    </w:tbl>
    <w:p w:rsidR="00BC437D" w:rsidRDefault="00BC437D" w:rsidP="00FB4794">
      <w:pPr>
        <w:pStyle w:val="ListParagraph"/>
        <w:spacing w:after="0" w:line="240" w:lineRule="auto"/>
        <w:rPr>
          <w:rFonts w:ascii="Times New Roman" w:hAnsi="Times New Roman" w:cs="Times New Roman"/>
          <w:sz w:val="24"/>
        </w:rPr>
      </w:pPr>
    </w:p>
    <w:p w:rsidR="00F56380" w:rsidRDefault="00F56380" w:rsidP="00FB4794">
      <w:pPr>
        <w:pStyle w:val="ListParagraph"/>
        <w:spacing w:after="0" w:line="240" w:lineRule="auto"/>
        <w:rPr>
          <w:rFonts w:ascii="Times New Roman" w:hAnsi="Times New Roman" w:cs="Times New Roman"/>
          <w:sz w:val="24"/>
        </w:rPr>
      </w:pPr>
    </w:p>
    <w:p w:rsidR="00EF1739" w:rsidRDefault="00EF1739" w:rsidP="00EF1739">
      <w:pPr>
        <w:pStyle w:val="ListParagraph"/>
        <w:numPr>
          <w:ilvl w:val="0"/>
          <w:numId w:val="4"/>
        </w:numPr>
        <w:spacing w:after="0" w:line="240" w:lineRule="auto"/>
        <w:ind w:left="180" w:hanging="180"/>
        <w:rPr>
          <w:rFonts w:ascii="Times New Roman" w:hAnsi="Times New Roman" w:cs="Times New Roman"/>
          <w:sz w:val="24"/>
        </w:rPr>
        <w:sectPr w:rsidR="00EF1739" w:rsidSect="00B347BC">
          <w:type w:val="continuous"/>
          <w:pgSz w:w="12240" w:h="15840"/>
          <w:pgMar w:top="864" w:right="864" w:bottom="864" w:left="864" w:header="720" w:footer="720" w:gutter="0"/>
          <w:cols w:space="720"/>
          <w:docGrid w:linePitch="360"/>
        </w:sectPr>
      </w:pPr>
    </w:p>
    <w:p w:rsidR="00D743C5" w:rsidRDefault="00D743C5" w:rsidP="00D743C5">
      <w:pPr>
        <w:spacing w:after="0" w:line="240" w:lineRule="auto"/>
        <w:rPr>
          <w:rFonts w:ascii="Times New Roman" w:hAnsi="Times New Roman" w:cs="Times New Roman"/>
          <w:b/>
          <w:sz w:val="24"/>
        </w:rPr>
      </w:pPr>
      <w:r w:rsidRPr="00D743C5">
        <w:rPr>
          <w:rFonts w:ascii="Times New Roman" w:hAnsi="Times New Roman" w:cs="Times New Roman"/>
          <w:b/>
          <w:sz w:val="24"/>
        </w:rPr>
        <w:t>Incidence by age group</w:t>
      </w:r>
    </w:p>
    <w:p w:rsidR="00D743C5" w:rsidRPr="00D743C5" w:rsidRDefault="00D743C5" w:rsidP="00D743C5">
      <w:pPr>
        <w:spacing w:after="0" w:line="240" w:lineRule="auto"/>
        <w:rPr>
          <w:rFonts w:ascii="Times New Roman" w:hAnsi="Times New Roman" w:cs="Times New Roman"/>
          <w:b/>
          <w:sz w:val="24"/>
        </w:rPr>
      </w:pPr>
      <w:r w:rsidRPr="00D743C5">
        <w:rPr>
          <w:rFonts w:ascii="Times New Roman" w:hAnsi="Times New Roman" w:cs="Times New Roman"/>
          <w:b/>
          <w:sz w:val="24"/>
        </w:rPr>
        <w:t xml:space="preserve"> </w:t>
      </w:r>
    </w:p>
    <w:p w:rsidR="00EF1739" w:rsidRDefault="00EF1739" w:rsidP="00EF1739">
      <w:pPr>
        <w:pStyle w:val="ListParagraph"/>
        <w:numPr>
          <w:ilvl w:val="0"/>
          <w:numId w:val="4"/>
        </w:numPr>
        <w:spacing w:after="0" w:line="240" w:lineRule="auto"/>
        <w:ind w:left="180" w:hanging="180"/>
        <w:rPr>
          <w:rFonts w:ascii="Times New Roman" w:hAnsi="Times New Roman" w:cs="Times New Roman"/>
          <w:sz w:val="24"/>
        </w:rPr>
      </w:pPr>
      <w:r w:rsidRPr="00FB4794">
        <w:rPr>
          <w:rFonts w:ascii="Times New Roman" w:hAnsi="Times New Roman" w:cs="Times New Roman"/>
          <w:sz w:val="24"/>
        </w:rPr>
        <w:t xml:space="preserve">The highest </w:t>
      </w:r>
      <w:r w:rsidR="005C5B08">
        <w:rPr>
          <w:rFonts w:ascii="Times New Roman" w:hAnsi="Times New Roman" w:cs="Times New Roman"/>
          <w:sz w:val="24"/>
        </w:rPr>
        <w:t xml:space="preserve">age-specific </w:t>
      </w:r>
      <w:r w:rsidRPr="00FB4794">
        <w:rPr>
          <w:rFonts w:ascii="Times New Roman" w:hAnsi="Times New Roman" w:cs="Times New Roman"/>
          <w:sz w:val="24"/>
        </w:rPr>
        <w:t>incidence rates</w:t>
      </w:r>
      <w:r>
        <w:rPr>
          <w:rFonts w:ascii="Times New Roman" w:hAnsi="Times New Roman" w:cs="Times New Roman"/>
          <w:sz w:val="24"/>
        </w:rPr>
        <w:t xml:space="preserve"> from 2004-2014</w:t>
      </w:r>
      <w:r w:rsidRPr="00FB4794">
        <w:rPr>
          <w:rFonts w:ascii="Times New Roman" w:hAnsi="Times New Roman" w:cs="Times New Roman"/>
          <w:sz w:val="24"/>
        </w:rPr>
        <w:t xml:space="preserve"> were among females diagnosed in their 40s (9.8 cases per 100,000 females) and 60s (9.3</w:t>
      </w:r>
      <w:r w:rsidR="00807E2C">
        <w:rPr>
          <w:rFonts w:ascii="Times New Roman" w:hAnsi="Times New Roman" w:cs="Times New Roman"/>
          <w:sz w:val="24"/>
        </w:rPr>
        <w:t xml:space="preserve"> cases per 100,000 females</w:t>
      </w:r>
      <w:r w:rsidRPr="00FB4794">
        <w:rPr>
          <w:rFonts w:ascii="Times New Roman" w:hAnsi="Times New Roman" w:cs="Times New Roman"/>
          <w:sz w:val="24"/>
        </w:rPr>
        <w:t xml:space="preserve">). </w:t>
      </w:r>
    </w:p>
    <w:p w:rsidR="00EF1739" w:rsidRPr="00FB4794" w:rsidRDefault="00EF1739" w:rsidP="00EF1739">
      <w:pPr>
        <w:pStyle w:val="ListParagraph"/>
        <w:ind w:left="180" w:hanging="180"/>
        <w:rPr>
          <w:rFonts w:ascii="Times New Roman" w:hAnsi="Times New Roman" w:cs="Times New Roman"/>
          <w:sz w:val="24"/>
        </w:rPr>
      </w:pPr>
    </w:p>
    <w:p w:rsidR="00EF1739" w:rsidRDefault="00EF1739" w:rsidP="00EF173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F</w:t>
      </w:r>
      <w:r w:rsidRPr="00FB4794">
        <w:rPr>
          <w:rFonts w:ascii="Times New Roman" w:hAnsi="Times New Roman" w:cs="Times New Roman"/>
          <w:sz w:val="24"/>
        </w:rPr>
        <w:t>emales age 30-39 and age 50-59 s</w:t>
      </w:r>
      <w:r>
        <w:rPr>
          <w:rFonts w:ascii="Times New Roman" w:hAnsi="Times New Roman" w:cs="Times New Roman"/>
          <w:sz w:val="24"/>
        </w:rPr>
        <w:t xml:space="preserve">aw </w:t>
      </w:r>
      <w:r w:rsidR="0072570B">
        <w:rPr>
          <w:rFonts w:ascii="Times New Roman" w:hAnsi="Times New Roman" w:cs="Times New Roman"/>
          <w:sz w:val="24"/>
        </w:rPr>
        <w:t xml:space="preserve">statistically </w:t>
      </w:r>
      <w:r>
        <w:rPr>
          <w:rFonts w:ascii="Times New Roman" w:hAnsi="Times New Roman" w:cs="Times New Roman"/>
          <w:sz w:val="24"/>
        </w:rPr>
        <w:t>significant</w:t>
      </w:r>
      <w:r w:rsidR="00807E2C">
        <w:rPr>
          <w:rFonts w:ascii="Times New Roman" w:hAnsi="Times New Roman" w:cs="Times New Roman"/>
          <w:sz w:val="24"/>
        </w:rPr>
        <w:t xml:space="preserve"> annual</w:t>
      </w:r>
      <w:r>
        <w:rPr>
          <w:rFonts w:ascii="Times New Roman" w:hAnsi="Times New Roman" w:cs="Times New Roman"/>
          <w:sz w:val="24"/>
        </w:rPr>
        <w:t xml:space="preserve"> decreases in the </w:t>
      </w:r>
      <w:r w:rsidR="005C5B08">
        <w:rPr>
          <w:rFonts w:ascii="Times New Roman" w:hAnsi="Times New Roman" w:cs="Times New Roman"/>
          <w:sz w:val="24"/>
        </w:rPr>
        <w:t xml:space="preserve">age-specific </w:t>
      </w:r>
      <w:r w:rsidRPr="00FB4794">
        <w:rPr>
          <w:rFonts w:ascii="Times New Roman" w:hAnsi="Times New Roman" w:cs="Times New Roman"/>
          <w:sz w:val="24"/>
        </w:rPr>
        <w:t xml:space="preserve">incidence rate </w:t>
      </w:r>
      <w:r>
        <w:rPr>
          <w:rFonts w:ascii="Times New Roman" w:hAnsi="Times New Roman" w:cs="Times New Roman"/>
          <w:sz w:val="24"/>
        </w:rPr>
        <w:t xml:space="preserve">of cervical cancer </w:t>
      </w:r>
      <w:r w:rsidRPr="00FB4794">
        <w:rPr>
          <w:rFonts w:ascii="Times New Roman" w:hAnsi="Times New Roman" w:cs="Times New Roman"/>
          <w:sz w:val="24"/>
        </w:rPr>
        <w:t>(-3.9%</w:t>
      </w:r>
      <w:r w:rsidR="00245769">
        <w:rPr>
          <w:rFonts w:ascii="Times New Roman" w:hAnsi="Times New Roman" w:cs="Times New Roman"/>
          <w:sz w:val="24"/>
        </w:rPr>
        <w:t>, p=0.027,</w:t>
      </w:r>
      <w:r w:rsidRPr="00FB4794">
        <w:rPr>
          <w:rFonts w:ascii="Times New Roman" w:hAnsi="Times New Roman" w:cs="Times New Roman"/>
          <w:sz w:val="24"/>
        </w:rPr>
        <w:t xml:space="preserve"> and -3.8%</w:t>
      </w:r>
      <w:r w:rsidR="00245769">
        <w:rPr>
          <w:rFonts w:ascii="Times New Roman" w:hAnsi="Times New Roman" w:cs="Times New Roman"/>
          <w:sz w:val="24"/>
        </w:rPr>
        <w:t>, p=0.0002,</w:t>
      </w:r>
      <w:r w:rsidRPr="00FB4794">
        <w:rPr>
          <w:rFonts w:ascii="Times New Roman" w:hAnsi="Times New Roman" w:cs="Times New Roman"/>
          <w:sz w:val="24"/>
        </w:rPr>
        <w:t xml:space="preserve"> respectively). </w:t>
      </w:r>
      <w:r w:rsidR="00746B3D">
        <w:rPr>
          <w:rFonts w:ascii="Times New Roman" w:hAnsi="Times New Roman" w:cs="Times New Roman"/>
          <w:sz w:val="24"/>
        </w:rPr>
        <w:t>Other age groups</w:t>
      </w:r>
      <w:r w:rsidR="00071C5D">
        <w:rPr>
          <w:rFonts w:ascii="Times New Roman" w:hAnsi="Times New Roman" w:cs="Times New Roman"/>
          <w:sz w:val="24"/>
        </w:rPr>
        <w:t xml:space="preserve"> saw non-</w:t>
      </w:r>
      <w:r w:rsidR="0072570B">
        <w:rPr>
          <w:rFonts w:ascii="Times New Roman" w:hAnsi="Times New Roman" w:cs="Times New Roman"/>
          <w:sz w:val="24"/>
        </w:rPr>
        <w:t xml:space="preserve">statistically </w:t>
      </w:r>
      <w:r w:rsidR="00071C5D">
        <w:rPr>
          <w:rFonts w:ascii="Times New Roman" w:hAnsi="Times New Roman" w:cs="Times New Roman"/>
          <w:sz w:val="24"/>
        </w:rPr>
        <w:t xml:space="preserve">significant </w:t>
      </w:r>
      <w:r w:rsidR="00807E2C">
        <w:rPr>
          <w:rFonts w:ascii="Times New Roman" w:hAnsi="Times New Roman" w:cs="Times New Roman"/>
          <w:sz w:val="24"/>
        </w:rPr>
        <w:t xml:space="preserve">annual </w:t>
      </w:r>
      <w:r w:rsidR="00D743C5">
        <w:rPr>
          <w:rFonts w:ascii="Times New Roman" w:hAnsi="Times New Roman" w:cs="Times New Roman"/>
          <w:sz w:val="24"/>
        </w:rPr>
        <w:t>decreases in the</w:t>
      </w:r>
      <w:r w:rsidR="00071C5D">
        <w:rPr>
          <w:rFonts w:ascii="Times New Roman" w:hAnsi="Times New Roman" w:cs="Times New Roman"/>
          <w:sz w:val="24"/>
        </w:rPr>
        <w:t xml:space="preserve"> incidence rate of cervical cancer from 2004-2014. </w:t>
      </w:r>
    </w:p>
    <w:p w:rsidR="00EF1739" w:rsidRDefault="00EF1739" w:rsidP="00EF1739">
      <w:pPr>
        <w:pStyle w:val="ListParagraph"/>
        <w:rPr>
          <w:rFonts w:ascii="Times New Roman" w:hAnsi="Times New Roman" w:cs="Times New Roman"/>
          <w:sz w:val="24"/>
        </w:rPr>
      </w:pPr>
    </w:p>
    <w:p w:rsidR="00D743C5" w:rsidRDefault="00D743C5" w:rsidP="00EF1739">
      <w:pPr>
        <w:pStyle w:val="ListParagraph"/>
        <w:rPr>
          <w:rFonts w:ascii="Times New Roman" w:hAnsi="Times New Roman" w:cs="Times New Roman"/>
          <w:sz w:val="24"/>
        </w:rPr>
      </w:pPr>
    </w:p>
    <w:p w:rsidR="00D743C5" w:rsidRPr="00EF1739" w:rsidRDefault="00D743C5" w:rsidP="00EF1739">
      <w:pPr>
        <w:pStyle w:val="ListParagraph"/>
        <w:rPr>
          <w:rFonts w:ascii="Times New Roman" w:hAnsi="Times New Roman" w:cs="Times New Roman"/>
          <w:sz w:val="24"/>
        </w:rPr>
      </w:pPr>
    </w:p>
    <w:p w:rsidR="00D743C5" w:rsidRDefault="00D743C5" w:rsidP="00D743C5">
      <w:pPr>
        <w:spacing w:after="0" w:line="240" w:lineRule="auto"/>
        <w:rPr>
          <w:rFonts w:ascii="Times New Roman" w:hAnsi="Times New Roman" w:cs="Times New Roman"/>
          <w:b/>
          <w:sz w:val="24"/>
        </w:rPr>
      </w:pPr>
      <w:r w:rsidRPr="00D743C5">
        <w:rPr>
          <w:rFonts w:ascii="Times New Roman" w:hAnsi="Times New Roman" w:cs="Times New Roman"/>
          <w:b/>
          <w:sz w:val="24"/>
        </w:rPr>
        <w:t>Mortality by age group</w:t>
      </w:r>
    </w:p>
    <w:p w:rsidR="00D743C5" w:rsidRPr="00D743C5" w:rsidRDefault="00D743C5" w:rsidP="00D743C5">
      <w:pPr>
        <w:spacing w:after="0" w:line="240" w:lineRule="auto"/>
        <w:rPr>
          <w:rFonts w:ascii="Times New Roman" w:hAnsi="Times New Roman" w:cs="Times New Roman"/>
          <w:b/>
          <w:sz w:val="24"/>
        </w:rPr>
      </w:pPr>
    </w:p>
    <w:p w:rsidR="00EF1739" w:rsidRDefault="00EF1739" w:rsidP="00EF173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The highest</w:t>
      </w:r>
      <w:r w:rsidR="005C5B08">
        <w:rPr>
          <w:rFonts w:ascii="Times New Roman" w:hAnsi="Times New Roman" w:cs="Times New Roman"/>
          <w:sz w:val="24"/>
        </w:rPr>
        <w:t xml:space="preserve"> age-specific</w:t>
      </w:r>
      <w:r>
        <w:rPr>
          <w:rFonts w:ascii="Times New Roman" w:hAnsi="Times New Roman" w:cs="Times New Roman"/>
          <w:sz w:val="24"/>
        </w:rPr>
        <w:t xml:space="preserve"> mortality rates from 2008-2014 were among females in their 80s and older (3.8 deaths per 100,000</w:t>
      </w:r>
      <w:r w:rsidR="00807E2C">
        <w:rPr>
          <w:rFonts w:ascii="Times New Roman" w:hAnsi="Times New Roman" w:cs="Times New Roman"/>
          <w:sz w:val="24"/>
        </w:rPr>
        <w:t xml:space="preserve"> females</w:t>
      </w:r>
      <w:r w:rsidR="00D743C5">
        <w:rPr>
          <w:rFonts w:ascii="Times New Roman" w:hAnsi="Times New Roman" w:cs="Times New Roman"/>
          <w:sz w:val="24"/>
        </w:rPr>
        <w:t>) and</w:t>
      </w:r>
      <w:r>
        <w:rPr>
          <w:rFonts w:ascii="Times New Roman" w:hAnsi="Times New Roman" w:cs="Times New Roman"/>
          <w:sz w:val="24"/>
        </w:rPr>
        <w:t xml:space="preserve"> 60s (3.6</w:t>
      </w:r>
      <w:r w:rsidR="00807E2C">
        <w:rPr>
          <w:rFonts w:ascii="Times New Roman" w:hAnsi="Times New Roman" w:cs="Times New Roman"/>
          <w:sz w:val="24"/>
        </w:rPr>
        <w:t xml:space="preserve"> deaths per 100,000 females</w:t>
      </w:r>
      <w:r w:rsidR="00D743C5">
        <w:rPr>
          <w:rFonts w:ascii="Times New Roman" w:hAnsi="Times New Roman" w:cs="Times New Roman"/>
          <w:sz w:val="24"/>
        </w:rPr>
        <w:t>).</w:t>
      </w:r>
    </w:p>
    <w:p w:rsidR="00EF1739" w:rsidRPr="00EF1739" w:rsidRDefault="00EF1739" w:rsidP="00EF1739">
      <w:pPr>
        <w:pStyle w:val="ListParagraph"/>
        <w:rPr>
          <w:rFonts w:ascii="Times New Roman" w:hAnsi="Times New Roman" w:cs="Times New Roman"/>
          <w:sz w:val="24"/>
        </w:rPr>
      </w:pPr>
    </w:p>
    <w:p w:rsidR="00EF1739" w:rsidRPr="00FB4794" w:rsidRDefault="00EF1739" w:rsidP="00EF173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 xml:space="preserve">Females in their 60s saw a </w:t>
      </w:r>
      <w:r w:rsidR="0072570B">
        <w:rPr>
          <w:rFonts w:ascii="Times New Roman" w:hAnsi="Times New Roman" w:cs="Times New Roman"/>
          <w:sz w:val="24"/>
        </w:rPr>
        <w:t xml:space="preserve">statistically </w:t>
      </w:r>
      <w:r>
        <w:rPr>
          <w:rFonts w:ascii="Times New Roman" w:hAnsi="Times New Roman" w:cs="Times New Roman"/>
          <w:sz w:val="24"/>
        </w:rPr>
        <w:t xml:space="preserve">significant </w:t>
      </w:r>
      <w:r w:rsidR="00807E2C">
        <w:rPr>
          <w:rFonts w:ascii="Times New Roman" w:hAnsi="Times New Roman" w:cs="Times New Roman"/>
          <w:sz w:val="24"/>
        </w:rPr>
        <w:t xml:space="preserve">annual </w:t>
      </w:r>
      <w:r>
        <w:rPr>
          <w:rFonts w:ascii="Times New Roman" w:hAnsi="Times New Roman" w:cs="Times New Roman"/>
          <w:sz w:val="24"/>
        </w:rPr>
        <w:t xml:space="preserve">decrease in the </w:t>
      </w:r>
      <w:r w:rsidR="005C5B08">
        <w:rPr>
          <w:rFonts w:ascii="Times New Roman" w:hAnsi="Times New Roman" w:cs="Times New Roman"/>
          <w:sz w:val="24"/>
        </w:rPr>
        <w:t xml:space="preserve">age-specific </w:t>
      </w:r>
      <w:r>
        <w:rPr>
          <w:rFonts w:ascii="Times New Roman" w:hAnsi="Times New Roman" w:cs="Times New Roman"/>
          <w:sz w:val="24"/>
        </w:rPr>
        <w:t>mortality rate of cervical cancer (-11.9%</w:t>
      </w:r>
      <w:r w:rsidR="00E30FD2">
        <w:rPr>
          <w:rFonts w:ascii="Times New Roman" w:hAnsi="Times New Roman" w:cs="Times New Roman"/>
          <w:sz w:val="24"/>
        </w:rPr>
        <w:t>, p=0.025</w:t>
      </w:r>
      <w:r>
        <w:rPr>
          <w:rFonts w:ascii="Times New Roman" w:hAnsi="Times New Roman" w:cs="Times New Roman"/>
          <w:sz w:val="24"/>
        </w:rPr>
        <w:t xml:space="preserve">). </w:t>
      </w:r>
      <w:r w:rsidR="008571F5">
        <w:rPr>
          <w:rFonts w:ascii="Times New Roman" w:hAnsi="Times New Roman" w:cs="Times New Roman"/>
          <w:sz w:val="24"/>
        </w:rPr>
        <w:t>Females</w:t>
      </w:r>
      <w:r>
        <w:rPr>
          <w:rFonts w:ascii="Times New Roman" w:hAnsi="Times New Roman" w:cs="Times New Roman"/>
          <w:sz w:val="24"/>
        </w:rPr>
        <w:t xml:space="preserve"> in their 50s saw a </w:t>
      </w:r>
      <w:r w:rsidR="0072570B">
        <w:rPr>
          <w:rFonts w:ascii="Times New Roman" w:hAnsi="Times New Roman" w:cs="Times New Roman"/>
          <w:sz w:val="24"/>
        </w:rPr>
        <w:t>statistically s</w:t>
      </w:r>
      <w:r>
        <w:rPr>
          <w:rFonts w:ascii="Times New Roman" w:hAnsi="Times New Roman" w:cs="Times New Roman"/>
          <w:sz w:val="24"/>
        </w:rPr>
        <w:t xml:space="preserve">ignificant </w:t>
      </w:r>
      <w:r w:rsidR="00807E2C">
        <w:rPr>
          <w:rFonts w:ascii="Times New Roman" w:hAnsi="Times New Roman" w:cs="Times New Roman"/>
          <w:sz w:val="24"/>
        </w:rPr>
        <w:t xml:space="preserve">annual </w:t>
      </w:r>
      <w:r>
        <w:rPr>
          <w:rFonts w:ascii="Times New Roman" w:hAnsi="Times New Roman" w:cs="Times New Roman"/>
          <w:sz w:val="24"/>
        </w:rPr>
        <w:t>increase in the mortality rate from 2008-2010 (30.6%</w:t>
      </w:r>
      <w:r w:rsidR="00E30FD2">
        <w:rPr>
          <w:rFonts w:ascii="Times New Roman" w:hAnsi="Times New Roman" w:cs="Times New Roman"/>
          <w:sz w:val="24"/>
        </w:rPr>
        <w:t>, p=0.026</w:t>
      </w:r>
      <w:r>
        <w:rPr>
          <w:rFonts w:ascii="Times New Roman" w:hAnsi="Times New Roman" w:cs="Times New Roman"/>
          <w:sz w:val="24"/>
        </w:rPr>
        <w:t xml:space="preserve">) followed by a </w:t>
      </w:r>
      <w:r w:rsidR="0072570B">
        <w:rPr>
          <w:rFonts w:ascii="Times New Roman" w:hAnsi="Times New Roman" w:cs="Times New Roman"/>
          <w:sz w:val="24"/>
        </w:rPr>
        <w:t xml:space="preserve">statistically </w:t>
      </w:r>
      <w:r>
        <w:rPr>
          <w:rFonts w:ascii="Times New Roman" w:hAnsi="Times New Roman" w:cs="Times New Roman"/>
          <w:sz w:val="24"/>
        </w:rPr>
        <w:t xml:space="preserve">significant </w:t>
      </w:r>
      <w:r w:rsidR="00807E2C">
        <w:rPr>
          <w:rFonts w:ascii="Times New Roman" w:hAnsi="Times New Roman" w:cs="Times New Roman"/>
          <w:sz w:val="24"/>
        </w:rPr>
        <w:t xml:space="preserve">annual </w:t>
      </w:r>
      <w:r>
        <w:rPr>
          <w:rFonts w:ascii="Times New Roman" w:hAnsi="Times New Roman" w:cs="Times New Roman"/>
          <w:sz w:val="24"/>
        </w:rPr>
        <w:t>decrease in the mortality rate from 2010-2014 (-6.1%</w:t>
      </w:r>
      <w:r w:rsidR="00E30FD2">
        <w:rPr>
          <w:rFonts w:ascii="Times New Roman" w:hAnsi="Times New Roman" w:cs="Times New Roman"/>
          <w:sz w:val="24"/>
        </w:rPr>
        <w:t>, p=0.034</w:t>
      </w:r>
      <w:r>
        <w:rPr>
          <w:rFonts w:ascii="Times New Roman" w:hAnsi="Times New Roman" w:cs="Times New Roman"/>
          <w:sz w:val="24"/>
        </w:rPr>
        <w:t>).</w:t>
      </w:r>
    </w:p>
    <w:p w:rsidR="00EF1739" w:rsidRDefault="00EF1739" w:rsidP="00EF1739">
      <w:pPr>
        <w:spacing w:after="0" w:line="240" w:lineRule="auto"/>
        <w:rPr>
          <w:rFonts w:ascii="Times New Roman" w:hAnsi="Times New Roman" w:cs="Times New Roman"/>
          <w:sz w:val="24"/>
        </w:rPr>
        <w:sectPr w:rsidR="00EF1739" w:rsidSect="00F56380">
          <w:type w:val="continuous"/>
          <w:pgSz w:w="12240" w:h="15840"/>
          <w:pgMar w:top="864" w:right="864" w:bottom="864" w:left="864" w:header="720" w:footer="720" w:gutter="0"/>
          <w:cols w:num="2" w:space="288"/>
          <w:docGrid w:linePitch="360"/>
        </w:sectPr>
      </w:pPr>
    </w:p>
    <w:p w:rsidR="00BC437D" w:rsidRDefault="00BC437D" w:rsidP="00EF1739">
      <w:pPr>
        <w:spacing w:after="0" w:line="240" w:lineRule="auto"/>
        <w:rPr>
          <w:rFonts w:ascii="Times New Roman" w:hAnsi="Times New Roman" w:cs="Times New Roman"/>
          <w:sz w:val="24"/>
        </w:rPr>
      </w:pPr>
    </w:p>
    <w:p w:rsidR="002916C6" w:rsidRDefault="002916C6" w:rsidP="00EF1739">
      <w:pPr>
        <w:spacing w:after="0" w:line="240" w:lineRule="auto"/>
        <w:rPr>
          <w:rFonts w:ascii="Times New Roman" w:hAnsi="Times New Roman" w:cs="Times New Roman"/>
          <w:sz w:val="24"/>
        </w:rPr>
      </w:pPr>
    </w:p>
    <w:p w:rsidR="00B347BC" w:rsidRDefault="00B347BC" w:rsidP="00EF1739">
      <w:pPr>
        <w:spacing w:after="0" w:line="240" w:lineRule="auto"/>
        <w:rPr>
          <w:rFonts w:ascii="Times New Roman" w:hAnsi="Times New Roman" w:cs="Times New Roman"/>
          <w:sz w:val="24"/>
        </w:rPr>
      </w:pPr>
    </w:p>
    <w:p w:rsidR="004C0BDE" w:rsidRDefault="004C0BDE" w:rsidP="00EF1739">
      <w:pPr>
        <w:spacing w:after="0" w:line="240" w:lineRule="auto"/>
        <w:rPr>
          <w:rFonts w:ascii="Times New Roman" w:hAnsi="Times New Roman" w:cs="Times New Roman"/>
          <w:sz w:val="24"/>
        </w:rPr>
      </w:pPr>
    </w:p>
    <w:p w:rsidR="00746B3D" w:rsidRDefault="00746B3D" w:rsidP="00EF1739">
      <w:pPr>
        <w:spacing w:after="0" w:line="240" w:lineRule="auto"/>
        <w:rPr>
          <w:rFonts w:ascii="Times New Roman" w:hAnsi="Times New Roman" w:cs="Times New Roman"/>
          <w:sz w:val="24"/>
        </w:rPr>
      </w:pPr>
    </w:p>
    <w:tbl>
      <w:tblPr>
        <w:tblStyle w:val="TableGrid"/>
        <w:tblpPr w:leftFromText="180" w:rightFromText="180" w:vertAnchor="page" w:horzAnchor="margin" w:tblpY="1021"/>
        <w:tblW w:w="10440" w:type="dxa"/>
        <w:tblLayout w:type="fixed"/>
        <w:tblLook w:val="04A0" w:firstRow="1" w:lastRow="0" w:firstColumn="1" w:lastColumn="0" w:noHBand="0" w:noVBand="1"/>
      </w:tblPr>
      <w:tblGrid>
        <w:gridCol w:w="990"/>
        <w:gridCol w:w="945"/>
        <w:gridCol w:w="945"/>
        <w:gridCol w:w="945"/>
        <w:gridCol w:w="945"/>
        <w:gridCol w:w="5670"/>
      </w:tblGrid>
      <w:tr w:rsidR="00B347BC" w:rsidRPr="00902D3A" w:rsidTr="00B347BC">
        <w:trPr>
          <w:trHeight w:val="423"/>
        </w:trPr>
        <w:tc>
          <w:tcPr>
            <w:tcW w:w="10440" w:type="dxa"/>
            <w:gridSpan w:val="6"/>
            <w:tcBorders>
              <w:top w:val="nil"/>
              <w:left w:val="nil"/>
              <w:right w:val="nil"/>
            </w:tcBorders>
            <w:vAlign w:val="center"/>
          </w:tcPr>
          <w:p w:rsidR="00B347BC" w:rsidRPr="00902D3A" w:rsidRDefault="00B347BC" w:rsidP="002916C6">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PATTERNS IN </w:t>
            </w:r>
            <w:r w:rsidRPr="00902D3A">
              <w:rPr>
                <w:rFonts w:ascii="Times New Roman" w:hAnsi="Times New Roman" w:cs="Times New Roman"/>
                <w:b/>
                <w:color w:val="1F497D" w:themeColor="text2"/>
                <w:sz w:val="24"/>
              </w:rPr>
              <w:t xml:space="preserve">CERVICAL CANCER </w:t>
            </w:r>
            <w:r w:rsidR="002916C6">
              <w:rPr>
                <w:rFonts w:ascii="Times New Roman" w:hAnsi="Times New Roman" w:cs="Times New Roman"/>
                <w:b/>
                <w:color w:val="1F497D" w:themeColor="text2"/>
                <w:sz w:val="24"/>
              </w:rPr>
              <w:t xml:space="preserve">INCIDENCE AND MORTALITY </w:t>
            </w:r>
            <w:r>
              <w:rPr>
                <w:rFonts w:ascii="Times New Roman" w:hAnsi="Times New Roman" w:cs="Times New Roman"/>
                <w:b/>
                <w:color w:val="1F497D" w:themeColor="text2"/>
                <w:sz w:val="24"/>
              </w:rPr>
              <w:t>BY RACE/ETHNICITY</w:t>
            </w:r>
          </w:p>
        </w:tc>
      </w:tr>
      <w:tr w:rsidR="00B347BC" w:rsidRPr="00902D3A" w:rsidTr="00B347BC">
        <w:trPr>
          <w:trHeight w:val="620"/>
        </w:trPr>
        <w:tc>
          <w:tcPr>
            <w:tcW w:w="10440" w:type="dxa"/>
            <w:gridSpan w:val="6"/>
            <w:tcBorders>
              <w:bottom w:val="single" w:sz="4" w:space="0" w:color="auto"/>
            </w:tcBorders>
            <w:vAlign w:val="center"/>
          </w:tcPr>
          <w:p w:rsidR="00B347BC" w:rsidRDefault="00B347BC" w:rsidP="00B347BC">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Figure 3. Age-adjusted </w:t>
            </w:r>
            <w:r w:rsidRPr="00902D3A">
              <w:rPr>
                <w:rFonts w:ascii="Times New Roman" w:hAnsi="Times New Roman" w:cs="Times New Roman"/>
                <w:b/>
                <w:color w:val="1F497D" w:themeColor="text2"/>
                <w:sz w:val="24"/>
              </w:rPr>
              <w:t xml:space="preserve">incidence </w:t>
            </w:r>
            <w:r w:rsidR="002916C6">
              <w:rPr>
                <w:rFonts w:ascii="Times New Roman" w:hAnsi="Times New Roman" w:cs="Times New Roman"/>
                <w:b/>
                <w:color w:val="1F497D" w:themeColor="text2"/>
                <w:sz w:val="24"/>
              </w:rPr>
              <w:t xml:space="preserve">(2004-2014) </w:t>
            </w:r>
            <w:r>
              <w:rPr>
                <w:rFonts w:ascii="Times New Roman" w:hAnsi="Times New Roman" w:cs="Times New Roman"/>
                <w:b/>
                <w:color w:val="1F497D" w:themeColor="text2"/>
                <w:sz w:val="24"/>
              </w:rPr>
              <w:t xml:space="preserve">and mortality </w:t>
            </w:r>
            <w:r w:rsidR="002916C6">
              <w:rPr>
                <w:rFonts w:ascii="Times New Roman" w:hAnsi="Times New Roman" w:cs="Times New Roman"/>
                <w:b/>
                <w:color w:val="1F497D" w:themeColor="text2"/>
                <w:sz w:val="24"/>
              </w:rPr>
              <w:t xml:space="preserve">(2008-2014) </w:t>
            </w:r>
            <w:r w:rsidRPr="00902D3A">
              <w:rPr>
                <w:rFonts w:ascii="Times New Roman" w:hAnsi="Times New Roman" w:cs="Times New Roman"/>
                <w:b/>
                <w:color w:val="1F497D" w:themeColor="text2"/>
                <w:sz w:val="24"/>
              </w:rPr>
              <w:t>rate</w:t>
            </w:r>
            <w:r>
              <w:rPr>
                <w:rFonts w:ascii="Times New Roman" w:hAnsi="Times New Roman" w:cs="Times New Roman"/>
                <w:b/>
                <w:color w:val="1F497D" w:themeColor="text2"/>
                <w:sz w:val="24"/>
              </w:rPr>
              <w:t>s^</w:t>
            </w:r>
            <w:r w:rsidRPr="00902D3A">
              <w:rPr>
                <w:rFonts w:ascii="Times New Roman" w:hAnsi="Times New Roman" w:cs="Times New Roman"/>
                <w:b/>
                <w:color w:val="1F497D" w:themeColor="text2"/>
                <w:sz w:val="24"/>
              </w:rPr>
              <w:t xml:space="preserve"> of</w:t>
            </w:r>
            <w:r>
              <w:rPr>
                <w:rFonts w:ascii="Times New Roman" w:hAnsi="Times New Roman" w:cs="Times New Roman"/>
                <w:b/>
                <w:color w:val="1F497D" w:themeColor="text2"/>
                <w:sz w:val="24"/>
              </w:rPr>
              <w:t xml:space="preserve"> cervical</w:t>
            </w:r>
            <w:r w:rsidRPr="00902D3A">
              <w:rPr>
                <w:rFonts w:ascii="Times New Roman" w:hAnsi="Times New Roman" w:cs="Times New Roman"/>
                <w:b/>
                <w:color w:val="1F497D" w:themeColor="text2"/>
                <w:sz w:val="24"/>
              </w:rPr>
              <w:t xml:space="preserve"> </w:t>
            </w:r>
            <w:r>
              <w:rPr>
                <w:rFonts w:ascii="Times New Roman" w:hAnsi="Times New Roman" w:cs="Times New Roman"/>
                <w:b/>
                <w:color w:val="1F497D" w:themeColor="text2"/>
                <w:sz w:val="24"/>
              </w:rPr>
              <w:t>cancer</w:t>
            </w:r>
            <w:r w:rsidRPr="00902D3A">
              <w:rPr>
                <w:rFonts w:ascii="Times New Roman" w:hAnsi="Times New Roman" w:cs="Times New Roman"/>
                <w:b/>
                <w:color w:val="1F497D" w:themeColor="text2"/>
                <w:sz w:val="24"/>
              </w:rPr>
              <w:t xml:space="preserve"> </w:t>
            </w:r>
            <w:r>
              <w:rPr>
                <w:rFonts w:ascii="Times New Roman" w:hAnsi="Times New Roman" w:cs="Times New Roman"/>
                <w:b/>
                <w:color w:val="1F497D" w:themeColor="text2"/>
                <w:sz w:val="24"/>
              </w:rPr>
              <w:t>by race/ethnicity, Massachusetts</w:t>
            </w:r>
          </w:p>
        </w:tc>
      </w:tr>
      <w:tr w:rsidR="00B347BC" w:rsidRPr="00902D3A" w:rsidTr="00B347BC">
        <w:trPr>
          <w:trHeight w:val="422"/>
        </w:trPr>
        <w:tc>
          <w:tcPr>
            <w:tcW w:w="4770" w:type="dxa"/>
            <w:gridSpan w:val="5"/>
            <w:tcBorders>
              <w:bottom w:val="single" w:sz="4" w:space="0" w:color="auto"/>
              <w:right w:val="nil"/>
            </w:tcBorders>
            <w:vAlign w:val="bottom"/>
          </w:tcPr>
          <w:p w:rsidR="00B347BC" w:rsidRDefault="00B347BC" w:rsidP="00B347BC">
            <w:pPr>
              <w:jc w:val="center"/>
              <w:rPr>
                <w:rFonts w:ascii="Times New Roman" w:hAnsi="Times New Roman" w:cs="Times New Roman"/>
                <w:b/>
                <w:color w:val="1F497D" w:themeColor="text2"/>
                <w:sz w:val="20"/>
              </w:rPr>
            </w:pPr>
          </w:p>
          <w:p w:rsidR="00B347BC" w:rsidRDefault="00B347BC" w:rsidP="00B347BC">
            <w:pPr>
              <w:jc w:val="center"/>
              <w:rPr>
                <w:rFonts w:ascii="Times New Roman" w:hAnsi="Times New Roman" w:cs="Times New Roman"/>
                <w:b/>
                <w:color w:val="1F497D" w:themeColor="text2"/>
                <w:sz w:val="20"/>
              </w:rPr>
            </w:pPr>
          </w:p>
          <w:p w:rsidR="004C0BDE" w:rsidRDefault="004C0BDE" w:rsidP="00B347BC">
            <w:pPr>
              <w:jc w:val="center"/>
              <w:rPr>
                <w:rFonts w:ascii="Times New Roman" w:hAnsi="Times New Roman" w:cs="Times New Roman"/>
                <w:b/>
                <w:color w:val="1F497D" w:themeColor="text2"/>
                <w:sz w:val="20"/>
              </w:rPr>
            </w:pPr>
          </w:p>
          <w:p w:rsidR="004C0BDE" w:rsidRDefault="004C0BDE" w:rsidP="00B347BC">
            <w:pPr>
              <w:jc w:val="center"/>
              <w:rPr>
                <w:rFonts w:ascii="Times New Roman" w:hAnsi="Times New Roman" w:cs="Times New Roman"/>
                <w:b/>
                <w:color w:val="1F497D" w:themeColor="text2"/>
                <w:sz w:val="20"/>
              </w:rPr>
            </w:pPr>
          </w:p>
          <w:p w:rsidR="004C0BDE" w:rsidRDefault="004C0BDE" w:rsidP="00B347BC">
            <w:pPr>
              <w:jc w:val="center"/>
              <w:rPr>
                <w:rFonts w:ascii="Times New Roman" w:hAnsi="Times New Roman" w:cs="Times New Roman"/>
                <w:b/>
                <w:color w:val="1F497D" w:themeColor="text2"/>
                <w:sz w:val="20"/>
              </w:rPr>
            </w:pPr>
          </w:p>
          <w:p w:rsidR="00B347BC" w:rsidRPr="00746B3D" w:rsidRDefault="00B347BC" w:rsidP="00B347BC">
            <w:pPr>
              <w:jc w:val="center"/>
              <w:rPr>
                <w:rFonts w:ascii="Times New Roman" w:hAnsi="Times New Roman" w:cs="Times New Roman"/>
                <w:b/>
                <w:color w:val="1F497D" w:themeColor="text2"/>
                <w:sz w:val="20"/>
              </w:rPr>
            </w:pPr>
            <w:r w:rsidRPr="00746B3D">
              <w:rPr>
                <w:rFonts w:ascii="Times New Roman" w:hAnsi="Times New Roman" w:cs="Times New Roman"/>
                <w:b/>
                <w:color w:val="1F497D" w:themeColor="text2"/>
                <w:sz w:val="20"/>
              </w:rPr>
              <w:t>Race/ethnicity</w:t>
            </w:r>
          </w:p>
        </w:tc>
        <w:tc>
          <w:tcPr>
            <w:tcW w:w="5670" w:type="dxa"/>
            <w:vMerge w:val="restart"/>
            <w:tcBorders>
              <w:left w:val="nil"/>
            </w:tcBorders>
            <w:vAlign w:val="center"/>
          </w:tcPr>
          <w:p w:rsidR="00B347BC" w:rsidRPr="00902D3A" w:rsidRDefault="00B347BC" w:rsidP="00B347BC">
            <w:pPr>
              <w:ind w:left="-558"/>
              <w:jc w:val="center"/>
              <w:rPr>
                <w:rFonts w:ascii="Times New Roman" w:hAnsi="Times New Roman" w:cs="Times New Roman"/>
                <w:b/>
                <w:color w:val="1F497D" w:themeColor="text2"/>
                <w:sz w:val="24"/>
              </w:rPr>
            </w:pPr>
            <w:r w:rsidRPr="005C5B08">
              <w:rPr>
                <w:noProof/>
                <w:sz w:val="20"/>
              </w:rPr>
              <w:drawing>
                <wp:anchor distT="0" distB="0" distL="114300" distR="114300" simplePos="0" relativeHeight="251682816" behindDoc="1" locked="0" layoutInCell="1" allowOverlap="1">
                  <wp:simplePos x="0" y="0"/>
                  <wp:positionH relativeFrom="column">
                    <wp:posOffset>-253365</wp:posOffset>
                  </wp:positionH>
                  <wp:positionV relativeFrom="paragraph">
                    <wp:posOffset>165735</wp:posOffset>
                  </wp:positionV>
                  <wp:extent cx="3619500" cy="2619375"/>
                  <wp:effectExtent l="0" t="0" r="0" b="0"/>
                  <wp:wrapNone/>
                  <wp:docPr id="10" name="Chart 10" descr="The incidence rate of cervical cancer is highest for non-Hispanic black women, followed by Hispanic women, Asian women, and non-Hisapnic white women. The mortality rate of cervical cancer is highest for non-Hispanic black women, followed by Hispanic women, Asian women, and non-Hispanic white women. The rates are per 100,000 and are age-standardized to the 2000 US population. 45 cases had unknown race/ethnicity. Data are from the Massachusetts cancer registry and Massachusetts registry of vital records and statistics. " title="Figure 3. Age-adjusted incidence and mortality rates of cervical cancer by race/ethnicity in Massachusetts from 2004-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r>
      <w:tr w:rsidR="00B347BC" w:rsidRPr="00902D3A" w:rsidTr="00B347BC">
        <w:trPr>
          <w:trHeight w:val="782"/>
        </w:trPr>
        <w:tc>
          <w:tcPr>
            <w:tcW w:w="990" w:type="dxa"/>
            <w:tcBorders>
              <w:bottom w:val="single" w:sz="4" w:space="0" w:color="auto"/>
              <w:right w:val="nil"/>
            </w:tcBorders>
            <w:vAlign w:val="center"/>
          </w:tcPr>
          <w:p w:rsidR="00B347BC" w:rsidRPr="00746B3D" w:rsidRDefault="00B347BC" w:rsidP="00B347BC">
            <w:pPr>
              <w:rPr>
                <w:rFonts w:ascii="Times New Roman" w:hAnsi="Times New Roman" w:cs="Times New Roman"/>
                <w:b/>
                <w:color w:val="1F497D" w:themeColor="text2"/>
                <w:sz w:val="20"/>
              </w:rPr>
            </w:pPr>
          </w:p>
        </w:tc>
        <w:tc>
          <w:tcPr>
            <w:tcW w:w="945" w:type="dxa"/>
            <w:tcBorders>
              <w:left w:val="nil"/>
              <w:bottom w:val="single" w:sz="4" w:space="0" w:color="auto"/>
              <w:right w:val="nil"/>
            </w:tcBorders>
            <w:vAlign w:val="bottom"/>
          </w:tcPr>
          <w:p w:rsidR="00B347BC" w:rsidRPr="00746B3D" w:rsidRDefault="00B347BC" w:rsidP="00B347BC">
            <w:pPr>
              <w:ind w:left="-112" w:right="-81"/>
              <w:jc w:val="center"/>
              <w:rPr>
                <w:rFonts w:ascii="Times New Roman" w:hAnsi="Times New Roman" w:cs="Times New Roman"/>
                <w:b/>
                <w:color w:val="1F497D" w:themeColor="text2"/>
                <w:sz w:val="20"/>
              </w:rPr>
            </w:pPr>
            <w:r w:rsidRPr="00746B3D">
              <w:rPr>
                <w:rFonts w:ascii="Times New Roman" w:hAnsi="Times New Roman" w:cs="Times New Roman"/>
                <w:b/>
                <w:color w:val="1F497D" w:themeColor="text2"/>
                <w:sz w:val="20"/>
              </w:rPr>
              <w:t>White, non-Hispanic</w:t>
            </w:r>
          </w:p>
        </w:tc>
        <w:tc>
          <w:tcPr>
            <w:tcW w:w="945" w:type="dxa"/>
            <w:tcBorders>
              <w:bottom w:val="single" w:sz="4" w:space="0" w:color="auto"/>
              <w:right w:val="nil"/>
            </w:tcBorders>
            <w:vAlign w:val="bottom"/>
          </w:tcPr>
          <w:p w:rsidR="00B347BC" w:rsidRPr="00746B3D" w:rsidRDefault="00B347BC" w:rsidP="00B347BC">
            <w:pPr>
              <w:ind w:left="-55" w:right="-58"/>
              <w:jc w:val="center"/>
              <w:rPr>
                <w:rFonts w:ascii="Times New Roman" w:hAnsi="Times New Roman" w:cs="Times New Roman"/>
                <w:b/>
                <w:color w:val="1F497D" w:themeColor="text2"/>
                <w:sz w:val="20"/>
              </w:rPr>
            </w:pPr>
            <w:r w:rsidRPr="00746B3D">
              <w:rPr>
                <w:rFonts w:ascii="Times New Roman" w:hAnsi="Times New Roman" w:cs="Times New Roman"/>
                <w:b/>
                <w:color w:val="1F497D" w:themeColor="text2"/>
                <w:sz w:val="20"/>
              </w:rPr>
              <w:t>Black, non-Hispanic</w:t>
            </w:r>
          </w:p>
        </w:tc>
        <w:tc>
          <w:tcPr>
            <w:tcW w:w="945" w:type="dxa"/>
            <w:tcBorders>
              <w:bottom w:val="single" w:sz="4" w:space="0" w:color="auto"/>
              <w:right w:val="nil"/>
            </w:tcBorders>
            <w:vAlign w:val="bottom"/>
          </w:tcPr>
          <w:p w:rsidR="00B347BC" w:rsidRPr="00746B3D" w:rsidRDefault="00B347BC" w:rsidP="00B347BC">
            <w:pPr>
              <w:ind w:left="-78" w:right="-35"/>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Asian, Non-Hispanic</w:t>
            </w:r>
          </w:p>
        </w:tc>
        <w:tc>
          <w:tcPr>
            <w:tcW w:w="945" w:type="dxa"/>
            <w:tcBorders>
              <w:bottom w:val="single" w:sz="4" w:space="0" w:color="auto"/>
              <w:right w:val="single" w:sz="4" w:space="0" w:color="auto"/>
            </w:tcBorders>
            <w:vAlign w:val="bottom"/>
          </w:tcPr>
          <w:p w:rsidR="00B347BC" w:rsidRPr="00746B3D" w:rsidRDefault="00B347BC" w:rsidP="00B347BC">
            <w:pPr>
              <w:tabs>
                <w:tab w:val="left" w:pos="809"/>
              </w:tabs>
              <w:ind w:left="-91" w:right="-102"/>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Hispanic</w:t>
            </w:r>
          </w:p>
        </w:tc>
        <w:tc>
          <w:tcPr>
            <w:tcW w:w="5670" w:type="dxa"/>
            <w:vMerge/>
            <w:tcBorders>
              <w:left w:val="single" w:sz="4" w:space="0" w:color="auto"/>
            </w:tcBorders>
            <w:vAlign w:val="center"/>
          </w:tcPr>
          <w:p w:rsidR="00B347BC" w:rsidRPr="00902D3A" w:rsidRDefault="00B347BC" w:rsidP="00B347BC">
            <w:pPr>
              <w:ind w:left="-558"/>
              <w:jc w:val="center"/>
              <w:rPr>
                <w:rFonts w:ascii="Times New Roman" w:hAnsi="Times New Roman" w:cs="Times New Roman"/>
                <w:b/>
                <w:color w:val="1F497D" w:themeColor="text2"/>
                <w:sz w:val="24"/>
              </w:rPr>
            </w:pPr>
          </w:p>
        </w:tc>
      </w:tr>
      <w:tr w:rsidR="00B347BC" w:rsidRPr="00902D3A" w:rsidTr="00B347BC">
        <w:trPr>
          <w:trHeight w:val="578"/>
        </w:trPr>
        <w:tc>
          <w:tcPr>
            <w:tcW w:w="990" w:type="dxa"/>
            <w:tcBorders>
              <w:bottom w:val="nil"/>
              <w:right w:val="nil"/>
            </w:tcBorders>
            <w:vAlign w:val="center"/>
          </w:tcPr>
          <w:p w:rsidR="00B347BC" w:rsidRPr="006D78BD" w:rsidRDefault="00B347BC" w:rsidP="00B347BC">
            <w:pPr>
              <w:ind w:left="-10" w:right="-104"/>
              <w:rPr>
                <w:rFonts w:ascii="Times New Roman" w:hAnsi="Times New Roman" w:cs="Times New Roman"/>
                <w:sz w:val="20"/>
              </w:rPr>
            </w:pPr>
            <w:r w:rsidRPr="006D78BD">
              <w:rPr>
                <w:rFonts w:ascii="Times New Roman" w:hAnsi="Times New Roman" w:cs="Times New Roman"/>
                <w:sz w:val="20"/>
              </w:rPr>
              <w:t>Incidence Rate</w:t>
            </w:r>
          </w:p>
        </w:tc>
        <w:tc>
          <w:tcPr>
            <w:tcW w:w="945" w:type="dxa"/>
            <w:tcBorders>
              <w:left w:val="nil"/>
              <w:bottom w:val="nil"/>
              <w:right w:val="nil"/>
            </w:tcBorders>
            <w:vAlign w:val="center"/>
          </w:tcPr>
          <w:p w:rsidR="00B347BC" w:rsidRPr="006D78BD" w:rsidRDefault="00B347BC" w:rsidP="00B347BC">
            <w:pPr>
              <w:jc w:val="center"/>
              <w:rPr>
                <w:rFonts w:ascii="Times New Roman" w:hAnsi="Times New Roman" w:cs="Times New Roman"/>
                <w:sz w:val="20"/>
              </w:rPr>
            </w:pPr>
            <w:r w:rsidRPr="006D78BD">
              <w:rPr>
                <w:rFonts w:ascii="Times New Roman" w:hAnsi="Times New Roman" w:cs="Times New Roman"/>
                <w:sz w:val="20"/>
              </w:rPr>
              <w:t>5.04</w:t>
            </w:r>
          </w:p>
        </w:tc>
        <w:tc>
          <w:tcPr>
            <w:tcW w:w="945" w:type="dxa"/>
            <w:tcBorders>
              <w:bottom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8.72</w:t>
            </w:r>
          </w:p>
        </w:tc>
        <w:tc>
          <w:tcPr>
            <w:tcW w:w="945" w:type="dxa"/>
            <w:tcBorders>
              <w:bottom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6.62</w:t>
            </w:r>
          </w:p>
        </w:tc>
        <w:tc>
          <w:tcPr>
            <w:tcW w:w="945" w:type="dxa"/>
            <w:tcBorders>
              <w:bottom w:val="nil"/>
              <w:right w:val="single" w:sz="4" w:space="0" w:color="auto"/>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8.07</w:t>
            </w:r>
          </w:p>
        </w:tc>
        <w:tc>
          <w:tcPr>
            <w:tcW w:w="5670" w:type="dxa"/>
            <w:vMerge/>
            <w:tcBorders>
              <w:left w:val="single" w:sz="4" w:space="0" w:color="auto"/>
            </w:tcBorders>
            <w:vAlign w:val="center"/>
          </w:tcPr>
          <w:p w:rsidR="00B347BC" w:rsidRPr="00902D3A" w:rsidRDefault="00B347BC" w:rsidP="00B347BC">
            <w:pPr>
              <w:ind w:left="-558"/>
              <w:jc w:val="center"/>
              <w:rPr>
                <w:rFonts w:ascii="Times New Roman" w:hAnsi="Times New Roman" w:cs="Times New Roman"/>
                <w:b/>
                <w:color w:val="1F497D" w:themeColor="text2"/>
                <w:sz w:val="24"/>
              </w:rPr>
            </w:pPr>
          </w:p>
        </w:tc>
      </w:tr>
      <w:tr w:rsidR="00B347BC" w:rsidRPr="00902D3A" w:rsidTr="00B347BC">
        <w:trPr>
          <w:trHeight w:val="638"/>
        </w:trPr>
        <w:tc>
          <w:tcPr>
            <w:tcW w:w="990" w:type="dxa"/>
            <w:tcBorders>
              <w:top w:val="nil"/>
              <w:bottom w:val="single" w:sz="4" w:space="0" w:color="auto"/>
              <w:right w:val="nil"/>
            </w:tcBorders>
            <w:vAlign w:val="center"/>
          </w:tcPr>
          <w:p w:rsidR="004C0BDE" w:rsidRDefault="004C0BDE" w:rsidP="00B347BC">
            <w:pPr>
              <w:ind w:left="-10" w:right="-104"/>
              <w:rPr>
                <w:rFonts w:ascii="Times New Roman" w:hAnsi="Times New Roman" w:cs="Times New Roman"/>
                <w:sz w:val="20"/>
              </w:rPr>
            </w:pPr>
            <w:r>
              <w:rPr>
                <w:rFonts w:ascii="Times New Roman" w:hAnsi="Times New Roman" w:cs="Times New Roman"/>
                <w:sz w:val="20"/>
              </w:rPr>
              <w:t xml:space="preserve">Incidence APC </w:t>
            </w:r>
          </w:p>
          <w:p w:rsidR="00B347BC" w:rsidRPr="006D78BD" w:rsidRDefault="004C0BDE" w:rsidP="00B347BC">
            <w:pPr>
              <w:ind w:left="-10" w:right="-104"/>
              <w:rPr>
                <w:rFonts w:ascii="Times New Roman" w:hAnsi="Times New Roman" w:cs="Times New Roman"/>
                <w:sz w:val="20"/>
              </w:rPr>
            </w:pPr>
            <w:r>
              <w:rPr>
                <w:rFonts w:ascii="Times New Roman" w:hAnsi="Times New Roman" w:cs="Times New Roman"/>
                <w:sz w:val="20"/>
              </w:rPr>
              <w:t>(2004-14)</w:t>
            </w:r>
          </w:p>
        </w:tc>
        <w:tc>
          <w:tcPr>
            <w:tcW w:w="945" w:type="dxa"/>
            <w:tcBorders>
              <w:top w:val="nil"/>
              <w:left w:val="nil"/>
              <w:bottom w:val="single" w:sz="4" w:space="0" w:color="auto"/>
              <w:right w:val="nil"/>
            </w:tcBorders>
            <w:vAlign w:val="center"/>
          </w:tcPr>
          <w:p w:rsidR="00B347BC" w:rsidRPr="006D78BD" w:rsidRDefault="00B347BC" w:rsidP="00B347BC">
            <w:pPr>
              <w:jc w:val="center"/>
              <w:rPr>
                <w:rFonts w:ascii="Times New Roman" w:hAnsi="Times New Roman" w:cs="Times New Roman"/>
                <w:sz w:val="20"/>
              </w:rPr>
            </w:pPr>
            <w:r w:rsidRPr="006D78BD">
              <w:rPr>
                <w:rFonts w:ascii="Times New Roman" w:hAnsi="Times New Roman" w:cs="Times New Roman"/>
                <w:sz w:val="20"/>
              </w:rPr>
              <w:t>-2.54*</w:t>
            </w:r>
          </w:p>
        </w:tc>
        <w:tc>
          <w:tcPr>
            <w:tcW w:w="945" w:type="dxa"/>
            <w:tcBorders>
              <w:top w:val="nil"/>
              <w:bottom w:val="single" w:sz="4" w:space="0" w:color="auto"/>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-4.74*</w:t>
            </w:r>
          </w:p>
        </w:tc>
        <w:tc>
          <w:tcPr>
            <w:tcW w:w="945" w:type="dxa"/>
            <w:tcBorders>
              <w:top w:val="nil"/>
              <w:bottom w:val="single" w:sz="4" w:space="0" w:color="auto"/>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3.73</w:t>
            </w:r>
          </w:p>
        </w:tc>
        <w:tc>
          <w:tcPr>
            <w:tcW w:w="945" w:type="dxa"/>
            <w:tcBorders>
              <w:top w:val="nil"/>
              <w:bottom w:val="single" w:sz="4" w:space="0" w:color="auto"/>
              <w:right w:val="single" w:sz="4" w:space="0" w:color="auto"/>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-6.36*</w:t>
            </w:r>
          </w:p>
        </w:tc>
        <w:tc>
          <w:tcPr>
            <w:tcW w:w="5670" w:type="dxa"/>
            <w:vMerge/>
            <w:tcBorders>
              <w:left w:val="single" w:sz="4" w:space="0" w:color="auto"/>
            </w:tcBorders>
            <w:vAlign w:val="center"/>
          </w:tcPr>
          <w:p w:rsidR="00B347BC" w:rsidRPr="00902D3A" w:rsidRDefault="00B347BC" w:rsidP="00B347BC">
            <w:pPr>
              <w:ind w:left="-558"/>
              <w:jc w:val="center"/>
              <w:rPr>
                <w:rFonts w:ascii="Times New Roman" w:hAnsi="Times New Roman" w:cs="Times New Roman"/>
                <w:b/>
                <w:color w:val="1F497D" w:themeColor="text2"/>
                <w:sz w:val="24"/>
              </w:rPr>
            </w:pPr>
          </w:p>
        </w:tc>
      </w:tr>
      <w:tr w:rsidR="00B347BC" w:rsidRPr="00902D3A" w:rsidTr="00B347BC">
        <w:trPr>
          <w:trHeight w:val="578"/>
        </w:trPr>
        <w:tc>
          <w:tcPr>
            <w:tcW w:w="990" w:type="dxa"/>
            <w:tcBorders>
              <w:bottom w:val="nil"/>
              <w:right w:val="nil"/>
            </w:tcBorders>
            <w:vAlign w:val="center"/>
          </w:tcPr>
          <w:p w:rsidR="00B347BC" w:rsidRPr="006D78BD" w:rsidRDefault="00B347BC" w:rsidP="00B347BC">
            <w:pPr>
              <w:ind w:left="-10" w:right="-104"/>
              <w:rPr>
                <w:rFonts w:ascii="Times New Roman" w:hAnsi="Times New Roman" w:cs="Times New Roman"/>
                <w:sz w:val="20"/>
              </w:rPr>
            </w:pPr>
            <w:r w:rsidRPr="006D78BD">
              <w:rPr>
                <w:rFonts w:ascii="Times New Roman" w:hAnsi="Times New Roman" w:cs="Times New Roman"/>
                <w:sz w:val="20"/>
              </w:rPr>
              <w:t>Mortality Rate</w:t>
            </w:r>
          </w:p>
        </w:tc>
        <w:tc>
          <w:tcPr>
            <w:tcW w:w="945" w:type="dxa"/>
            <w:tcBorders>
              <w:left w:val="nil"/>
              <w:bottom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1.25</w:t>
            </w:r>
          </w:p>
        </w:tc>
        <w:tc>
          <w:tcPr>
            <w:tcW w:w="945" w:type="dxa"/>
            <w:tcBorders>
              <w:bottom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2.28</w:t>
            </w:r>
          </w:p>
        </w:tc>
        <w:tc>
          <w:tcPr>
            <w:tcW w:w="945" w:type="dxa"/>
            <w:tcBorders>
              <w:bottom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1.34</w:t>
            </w:r>
          </w:p>
        </w:tc>
        <w:tc>
          <w:tcPr>
            <w:tcW w:w="945" w:type="dxa"/>
            <w:tcBorders>
              <w:bottom w:val="nil"/>
              <w:right w:val="single" w:sz="4" w:space="0" w:color="auto"/>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1.41</w:t>
            </w:r>
          </w:p>
        </w:tc>
        <w:tc>
          <w:tcPr>
            <w:tcW w:w="5670" w:type="dxa"/>
            <w:vMerge/>
            <w:tcBorders>
              <w:left w:val="single" w:sz="4" w:space="0" w:color="auto"/>
            </w:tcBorders>
            <w:vAlign w:val="center"/>
          </w:tcPr>
          <w:p w:rsidR="00B347BC" w:rsidRPr="00902D3A" w:rsidRDefault="00B347BC" w:rsidP="00B347BC">
            <w:pPr>
              <w:ind w:left="-558"/>
              <w:jc w:val="center"/>
              <w:rPr>
                <w:rFonts w:ascii="Times New Roman" w:hAnsi="Times New Roman" w:cs="Times New Roman"/>
                <w:b/>
                <w:color w:val="1F497D" w:themeColor="text2"/>
                <w:sz w:val="24"/>
              </w:rPr>
            </w:pPr>
          </w:p>
        </w:tc>
      </w:tr>
      <w:tr w:rsidR="00B347BC" w:rsidRPr="00902D3A" w:rsidTr="00B347BC">
        <w:trPr>
          <w:trHeight w:val="647"/>
        </w:trPr>
        <w:tc>
          <w:tcPr>
            <w:tcW w:w="990" w:type="dxa"/>
            <w:tcBorders>
              <w:top w:val="nil"/>
              <w:right w:val="nil"/>
            </w:tcBorders>
            <w:vAlign w:val="center"/>
          </w:tcPr>
          <w:p w:rsidR="004C0BDE" w:rsidRDefault="004C0BDE" w:rsidP="00B347BC">
            <w:pPr>
              <w:ind w:left="-10" w:right="-104"/>
              <w:rPr>
                <w:rFonts w:ascii="Times New Roman" w:hAnsi="Times New Roman" w:cs="Times New Roman"/>
                <w:sz w:val="20"/>
              </w:rPr>
            </w:pPr>
            <w:r>
              <w:rPr>
                <w:rFonts w:ascii="Times New Roman" w:hAnsi="Times New Roman" w:cs="Times New Roman"/>
                <w:sz w:val="20"/>
              </w:rPr>
              <w:t xml:space="preserve">Mortality APC </w:t>
            </w:r>
          </w:p>
          <w:p w:rsidR="00B347BC" w:rsidRPr="006D78BD" w:rsidRDefault="004C0BDE" w:rsidP="00B347BC">
            <w:pPr>
              <w:ind w:left="-10" w:right="-104"/>
              <w:rPr>
                <w:rFonts w:ascii="Times New Roman" w:hAnsi="Times New Roman" w:cs="Times New Roman"/>
                <w:sz w:val="20"/>
              </w:rPr>
            </w:pPr>
            <w:r>
              <w:rPr>
                <w:rFonts w:ascii="Times New Roman" w:hAnsi="Times New Roman" w:cs="Times New Roman"/>
                <w:sz w:val="20"/>
              </w:rPr>
              <w:t>(2008-14)</w:t>
            </w:r>
          </w:p>
        </w:tc>
        <w:tc>
          <w:tcPr>
            <w:tcW w:w="945" w:type="dxa"/>
            <w:tcBorders>
              <w:top w:val="nil"/>
              <w:left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-4.65</w:t>
            </w:r>
          </w:p>
        </w:tc>
        <w:tc>
          <w:tcPr>
            <w:tcW w:w="945" w:type="dxa"/>
            <w:tcBorders>
              <w:top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-5.12</w:t>
            </w:r>
          </w:p>
        </w:tc>
        <w:tc>
          <w:tcPr>
            <w:tcW w:w="945" w:type="dxa"/>
            <w:tcBorders>
              <w:top w:val="nil"/>
              <w:right w:val="nil"/>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5.04</w:t>
            </w:r>
          </w:p>
        </w:tc>
        <w:tc>
          <w:tcPr>
            <w:tcW w:w="945" w:type="dxa"/>
            <w:tcBorders>
              <w:top w:val="nil"/>
              <w:right w:val="single" w:sz="4" w:space="0" w:color="auto"/>
            </w:tcBorders>
            <w:vAlign w:val="center"/>
          </w:tcPr>
          <w:p w:rsidR="00B347BC" w:rsidRPr="006D78BD" w:rsidRDefault="00B347BC" w:rsidP="00B347BC">
            <w:pPr>
              <w:jc w:val="center"/>
              <w:rPr>
                <w:rFonts w:ascii="Times New Roman" w:hAnsi="Times New Roman" w:cs="Times New Roman"/>
                <w:sz w:val="20"/>
              </w:rPr>
            </w:pPr>
            <w:r>
              <w:rPr>
                <w:rFonts w:ascii="Times New Roman" w:hAnsi="Times New Roman" w:cs="Times New Roman"/>
                <w:sz w:val="20"/>
              </w:rPr>
              <w:t>4.07</w:t>
            </w:r>
          </w:p>
        </w:tc>
        <w:tc>
          <w:tcPr>
            <w:tcW w:w="5670" w:type="dxa"/>
            <w:vMerge/>
            <w:tcBorders>
              <w:left w:val="single" w:sz="4" w:space="0" w:color="auto"/>
            </w:tcBorders>
            <w:vAlign w:val="center"/>
          </w:tcPr>
          <w:p w:rsidR="00B347BC" w:rsidRPr="00902D3A" w:rsidRDefault="00B347BC" w:rsidP="00B347BC">
            <w:pPr>
              <w:ind w:left="-558"/>
              <w:jc w:val="center"/>
              <w:rPr>
                <w:rFonts w:ascii="Times New Roman" w:hAnsi="Times New Roman" w:cs="Times New Roman"/>
                <w:b/>
                <w:color w:val="1F497D" w:themeColor="text2"/>
                <w:sz w:val="24"/>
              </w:rPr>
            </w:pPr>
          </w:p>
        </w:tc>
      </w:tr>
      <w:tr w:rsidR="00B347BC" w:rsidRPr="008358B2" w:rsidTr="00B347BC">
        <w:trPr>
          <w:trHeight w:val="800"/>
        </w:trPr>
        <w:tc>
          <w:tcPr>
            <w:tcW w:w="10440" w:type="dxa"/>
            <w:gridSpan w:val="6"/>
            <w:tcBorders>
              <w:top w:val="single" w:sz="4" w:space="0" w:color="auto"/>
            </w:tcBorders>
            <w:vAlign w:val="center"/>
          </w:tcPr>
          <w:p w:rsidR="00B347BC" w:rsidRDefault="00B347BC" w:rsidP="004C0BDE">
            <w:pPr>
              <w:rPr>
                <w:rFonts w:ascii="Times New Roman" w:hAnsi="Times New Roman" w:cs="Times New Roman"/>
                <w:sz w:val="20"/>
              </w:rPr>
            </w:pPr>
            <w:r>
              <w:rPr>
                <w:rFonts w:ascii="Times New Roman" w:hAnsi="Times New Roman" w:cs="Times New Roman"/>
                <w:sz w:val="20"/>
              </w:rPr>
              <w:t>^</w:t>
            </w:r>
            <w:r w:rsidR="004C0BDE">
              <w:rPr>
                <w:rFonts w:ascii="Times New Roman" w:hAnsi="Times New Roman" w:cs="Times New Roman"/>
                <w:sz w:val="20"/>
              </w:rPr>
              <w:t>per 100,000 and a</w:t>
            </w:r>
            <w:r>
              <w:rPr>
                <w:rFonts w:ascii="Times New Roman" w:hAnsi="Times New Roman" w:cs="Times New Roman"/>
                <w:sz w:val="20"/>
              </w:rPr>
              <w:t>ge-standardized to the 2000 U.S. population</w:t>
            </w:r>
            <w:r w:rsidR="004C0BDE">
              <w:rPr>
                <w:rFonts w:ascii="Times New Roman" w:hAnsi="Times New Roman" w:cs="Times New Roman"/>
                <w:sz w:val="20"/>
              </w:rPr>
              <w:t>;</w:t>
            </w:r>
            <w:r>
              <w:rPr>
                <w:rFonts w:ascii="Times New Roman" w:hAnsi="Times New Roman" w:cs="Times New Roman"/>
                <w:sz w:val="20"/>
              </w:rPr>
              <w:t xml:space="preserve"> </w:t>
            </w:r>
            <w:r w:rsidRPr="007F3C84">
              <w:rPr>
                <w:rFonts w:ascii="Times New Roman" w:hAnsi="Times New Roman" w:cs="Times New Roman"/>
                <w:sz w:val="20"/>
              </w:rPr>
              <w:t>*indicates a statistic</w:t>
            </w:r>
            <w:r>
              <w:rPr>
                <w:rFonts w:ascii="Times New Roman" w:hAnsi="Times New Roman" w:cs="Times New Roman"/>
                <w:sz w:val="20"/>
              </w:rPr>
              <w:t>ally significant trend (p&lt;</w:t>
            </w:r>
            <w:r w:rsidR="007B4A1D">
              <w:rPr>
                <w:rFonts w:ascii="Times New Roman" w:hAnsi="Times New Roman" w:cs="Times New Roman"/>
                <w:sz w:val="20"/>
              </w:rPr>
              <w:t>0.05)</w:t>
            </w:r>
            <w:r w:rsidR="004C0BDE">
              <w:rPr>
                <w:rFonts w:ascii="Times New Roman" w:hAnsi="Times New Roman" w:cs="Times New Roman"/>
                <w:sz w:val="20"/>
              </w:rPr>
              <w:t xml:space="preserve">; APC = </w:t>
            </w:r>
            <w:r w:rsidR="007B4A1D">
              <w:rPr>
                <w:rFonts w:ascii="Times New Roman" w:hAnsi="Times New Roman" w:cs="Times New Roman"/>
                <w:sz w:val="20"/>
              </w:rPr>
              <w:t>Annual Percent Change</w:t>
            </w:r>
            <w:r w:rsidR="004C0BDE">
              <w:rPr>
                <w:rFonts w:ascii="Times New Roman" w:hAnsi="Times New Roman" w:cs="Times New Roman"/>
                <w:sz w:val="20"/>
              </w:rPr>
              <w:t>;</w:t>
            </w:r>
            <w:r w:rsidR="007B4A1D">
              <w:rPr>
                <w:rFonts w:ascii="Times New Roman" w:hAnsi="Times New Roman" w:cs="Times New Roman"/>
                <w:sz w:val="20"/>
              </w:rPr>
              <w:t xml:space="preserve"> </w:t>
            </w:r>
            <w:r w:rsidR="00DF4CFA">
              <w:rPr>
                <w:rFonts w:ascii="Times New Roman" w:hAnsi="Times New Roman" w:cs="Times New Roman"/>
                <w:sz w:val="20"/>
              </w:rPr>
              <w:t>45 cases with unknown race/ethnicity</w:t>
            </w:r>
            <w:r w:rsidR="004C0BDE">
              <w:rPr>
                <w:rFonts w:ascii="Times New Roman" w:hAnsi="Times New Roman" w:cs="Times New Roman"/>
                <w:sz w:val="20"/>
              </w:rPr>
              <w:t>;</w:t>
            </w:r>
            <w:r w:rsidR="00DF4CFA">
              <w:rPr>
                <w:rFonts w:ascii="Times New Roman" w:hAnsi="Times New Roman" w:cs="Times New Roman"/>
                <w:sz w:val="20"/>
              </w:rPr>
              <w:t xml:space="preserve"> </w:t>
            </w:r>
            <w:r>
              <w:rPr>
                <w:rFonts w:ascii="Times New Roman" w:hAnsi="Times New Roman" w:cs="Times New Roman"/>
                <w:sz w:val="20"/>
              </w:rPr>
              <w:t>Data source: Massachusetts Cancer Registry and Massachusetts Registry of Vital Records and Statistics</w:t>
            </w:r>
          </w:p>
        </w:tc>
      </w:tr>
    </w:tbl>
    <w:p w:rsidR="00FB4794" w:rsidRPr="002B4414" w:rsidRDefault="00FB4794" w:rsidP="00553017">
      <w:pPr>
        <w:spacing w:after="0" w:line="240" w:lineRule="auto"/>
        <w:rPr>
          <w:rFonts w:ascii="Times New Roman" w:hAnsi="Times New Roman" w:cs="Times New Roman"/>
          <w:b/>
          <w:sz w:val="24"/>
        </w:rPr>
      </w:pPr>
    </w:p>
    <w:p w:rsidR="008358B2" w:rsidRDefault="008358B2" w:rsidP="00553017">
      <w:pPr>
        <w:pStyle w:val="ListParagraph"/>
        <w:spacing w:after="0" w:line="240" w:lineRule="auto"/>
        <w:rPr>
          <w:rFonts w:ascii="Times New Roman" w:hAnsi="Times New Roman" w:cs="Times New Roman"/>
          <w:sz w:val="24"/>
          <w:u w:val="single"/>
        </w:rPr>
        <w:sectPr w:rsidR="008358B2" w:rsidSect="00B347BC">
          <w:type w:val="continuous"/>
          <w:pgSz w:w="12240" w:h="15840"/>
          <w:pgMar w:top="864" w:right="864" w:bottom="864" w:left="864" w:header="720" w:footer="720" w:gutter="0"/>
          <w:cols w:space="720"/>
          <w:docGrid w:linePitch="360"/>
        </w:sectPr>
      </w:pPr>
    </w:p>
    <w:p w:rsidR="00553017" w:rsidRDefault="00553017" w:rsidP="00553017">
      <w:pPr>
        <w:pStyle w:val="ListParagraph"/>
        <w:spacing w:after="0" w:line="240" w:lineRule="auto"/>
        <w:rPr>
          <w:rFonts w:ascii="Times New Roman" w:hAnsi="Times New Roman" w:cs="Times New Roman"/>
          <w:sz w:val="24"/>
          <w:u w:val="single"/>
        </w:rPr>
      </w:pPr>
    </w:p>
    <w:p w:rsidR="0072171F" w:rsidRDefault="0072171F" w:rsidP="00EA5059">
      <w:pPr>
        <w:pStyle w:val="ListParagraph"/>
        <w:numPr>
          <w:ilvl w:val="0"/>
          <w:numId w:val="4"/>
        </w:numPr>
        <w:spacing w:after="0" w:line="240" w:lineRule="auto"/>
        <w:ind w:left="180" w:hanging="180"/>
        <w:rPr>
          <w:rFonts w:ascii="Times New Roman" w:hAnsi="Times New Roman" w:cs="Times New Roman"/>
          <w:sz w:val="24"/>
        </w:rPr>
        <w:sectPr w:rsidR="0072171F" w:rsidSect="002E2538">
          <w:type w:val="continuous"/>
          <w:pgSz w:w="12240" w:h="15840"/>
          <w:pgMar w:top="1440" w:right="1440" w:bottom="1440" w:left="1440" w:header="720" w:footer="720" w:gutter="0"/>
          <w:cols w:space="720"/>
          <w:docGrid w:linePitch="360"/>
        </w:sectPr>
      </w:pPr>
    </w:p>
    <w:p w:rsidR="004C0BDE" w:rsidRPr="004C0BDE" w:rsidRDefault="004C0BDE" w:rsidP="004C0BDE">
      <w:pPr>
        <w:spacing w:after="0" w:line="240" w:lineRule="auto"/>
        <w:rPr>
          <w:rFonts w:ascii="Times New Roman" w:hAnsi="Times New Roman" w:cs="Times New Roman"/>
          <w:b/>
          <w:sz w:val="24"/>
        </w:rPr>
      </w:pPr>
      <w:r w:rsidRPr="004C0BDE">
        <w:rPr>
          <w:rFonts w:ascii="Times New Roman" w:hAnsi="Times New Roman" w:cs="Times New Roman"/>
          <w:b/>
          <w:sz w:val="24"/>
        </w:rPr>
        <w:t xml:space="preserve">Incidence by race/ethnicity </w:t>
      </w:r>
    </w:p>
    <w:p w:rsidR="004C0BDE" w:rsidRPr="004C0BDE" w:rsidRDefault="004C0BDE" w:rsidP="004C0BDE">
      <w:pPr>
        <w:spacing w:after="0" w:line="240" w:lineRule="auto"/>
        <w:rPr>
          <w:rFonts w:ascii="Times New Roman" w:hAnsi="Times New Roman" w:cs="Times New Roman"/>
          <w:sz w:val="24"/>
        </w:rPr>
      </w:pPr>
    </w:p>
    <w:p w:rsidR="00A44677" w:rsidRDefault="00EA5059" w:rsidP="00EA5059">
      <w:pPr>
        <w:pStyle w:val="ListParagraph"/>
        <w:numPr>
          <w:ilvl w:val="0"/>
          <w:numId w:val="4"/>
        </w:numPr>
        <w:spacing w:after="0" w:line="240" w:lineRule="auto"/>
        <w:ind w:left="180" w:hanging="180"/>
        <w:rPr>
          <w:rFonts w:ascii="Times New Roman" w:hAnsi="Times New Roman" w:cs="Times New Roman"/>
          <w:sz w:val="24"/>
        </w:rPr>
      </w:pPr>
      <w:r w:rsidRPr="00FB4794">
        <w:rPr>
          <w:rFonts w:ascii="Times New Roman" w:hAnsi="Times New Roman" w:cs="Times New Roman"/>
          <w:sz w:val="24"/>
        </w:rPr>
        <w:t>Non-Hispanic blacks had the highest</w:t>
      </w:r>
      <w:r w:rsidR="005C5B08">
        <w:rPr>
          <w:rFonts w:ascii="Times New Roman" w:hAnsi="Times New Roman" w:cs="Times New Roman"/>
          <w:sz w:val="24"/>
        </w:rPr>
        <w:t xml:space="preserve"> age-adjusted</w:t>
      </w:r>
      <w:r w:rsidRPr="00FB4794">
        <w:rPr>
          <w:rFonts w:ascii="Times New Roman" w:hAnsi="Times New Roman" w:cs="Times New Roman"/>
          <w:sz w:val="24"/>
        </w:rPr>
        <w:t xml:space="preserve"> incidence rate of cervical cancer (8.7 cases per 100,000) followed b</w:t>
      </w:r>
      <w:r w:rsidR="00A44677">
        <w:rPr>
          <w:rFonts w:ascii="Times New Roman" w:hAnsi="Times New Roman" w:cs="Times New Roman"/>
          <w:sz w:val="24"/>
        </w:rPr>
        <w:t>y Hispanics (8.1), Asians (6.6)</w:t>
      </w:r>
      <w:r w:rsidRPr="00FB4794">
        <w:rPr>
          <w:rFonts w:ascii="Times New Roman" w:hAnsi="Times New Roman" w:cs="Times New Roman"/>
          <w:sz w:val="24"/>
        </w:rPr>
        <w:t xml:space="preserve"> and non-Hispanic whites (5.0)</w:t>
      </w:r>
      <w:r w:rsidR="005C5B08">
        <w:rPr>
          <w:rFonts w:ascii="Times New Roman" w:hAnsi="Times New Roman" w:cs="Times New Roman"/>
          <w:sz w:val="24"/>
        </w:rPr>
        <w:t xml:space="preserve"> from 2004-2014</w:t>
      </w:r>
      <w:r w:rsidRPr="00FB4794">
        <w:rPr>
          <w:rFonts w:ascii="Times New Roman" w:hAnsi="Times New Roman" w:cs="Times New Roman"/>
          <w:sz w:val="24"/>
        </w:rPr>
        <w:t xml:space="preserve">. </w:t>
      </w:r>
    </w:p>
    <w:p w:rsidR="00A44677" w:rsidRDefault="00A44677" w:rsidP="00A44677">
      <w:pPr>
        <w:pStyle w:val="ListParagraph"/>
        <w:spacing w:after="0" w:line="240" w:lineRule="auto"/>
        <w:ind w:left="180"/>
        <w:rPr>
          <w:rFonts w:ascii="Times New Roman" w:hAnsi="Times New Roman" w:cs="Times New Roman"/>
          <w:sz w:val="24"/>
        </w:rPr>
      </w:pPr>
    </w:p>
    <w:p w:rsidR="00EA5059" w:rsidRDefault="005C5B08" w:rsidP="00EA505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The incidence</w:t>
      </w:r>
      <w:r w:rsidR="007B4A1D">
        <w:rPr>
          <w:rFonts w:ascii="Times New Roman" w:hAnsi="Times New Roman" w:cs="Times New Roman"/>
          <w:sz w:val="24"/>
        </w:rPr>
        <w:t xml:space="preserve"> rate of cervical cancer was 1.7</w:t>
      </w:r>
      <w:r w:rsidR="009D7A49">
        <w:rPr>
          <w:rFonts w:ascii="Times New Roman" w:hAnsi="Times New Roman" w:cs="Times New Roman"/>
          <w:sz w:val="24"/>
        </w:rPr>
        <w:t xml:space="preserve"> times higher</w:t>
      </w:r>
      <w:r>
        <w:rPr>
          <w:rFonts w:ascii="Times New Roman" w:hAnsi="Times New Roman" w:cs="Times New Roman"/>
          <w:sz w:val="24"/>
        </w:rPr>
        <w:t xml:space="preserve"> among non-Hispanic black </w:t>
      </w:r>
      <w:r w:rsidR="008571F5">
        <w:rPr>
          <w:rFonts w:ascii="Times New Roman" w:hAnsi="Times New Roman" w:cs="Times New Roman"/>
          <w:sz w:val="24"/>
        </w:rPr>
        <w:t>females</w:t>
      </w:r>
      <w:r>
        <w:rPr>
          <w:rFonts w:ascii="Times New Roman" w:hAnsi="Times New Roman" w:cs="Times New Roman"/>
          <w:sz w:val="24"/>
        </w:rPr>
        <w:t xml:space="preserve"> than non-Hispanic white </w:t>
      </w:r>
      <w:r w:rsidR="008571F5">
        <w:rPr>
          <w:rFonts w:ascii="Times New Roman" w:hAnsi="Times New Roman" w:cs="Times New Roman"/>
          <w:sz w:val="24"/>
        </w:rPr>
        <w:t>females</w:t>
      </w:r>
      <w:r>
        <w:rPr>
          <w:rFonts w:ascii="Times New Roman" w:hAnsi="Times New Roman" w:cs="Times New Roman"/>
          <w:sz w:val="24"/>
        </w:rPr>
        <w:t xml:space="preserve">. </w:t>
      </w:r>
    </w:p>
    <w:p w:rsidR="00EA5059" w:rsidRPr="00FB4794" w:rsidRDefault="00EA5059" w:rsidP="00EA5059">
      <w:pPr>
        <w:pStyle w:val="ListParagraph"/>
        <w:ind w:left="180" w:hanging="180"/>
        <w:rPr>
          <w:rFonts w:ascii="Times New Roman" w:hAnsi="Times New Roman" w:cs="Times New Roman"/>
          <w:sz w:val="24"/>
        </w:rPr>
      </w:pPr>
    </w:p>
    <w:p w:rsidR="00EA5059" w:rsidRDefault="005C5B08" w:rsidP="00EA505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Non-Hispanic w</w:t>
      </w:r>
      <w:r w:rsidR="00EA5059" w:rsidRPr="00FB4794">
        <w:rPr>
          <w:rFonts w:ascii="Times New Roman" w:hAnsi="Times New Roman" w:cs="Times New Roman"/>
          <w:sz w:val="24"/>
        </w:rPr>
        <w:t xml:space="preserve">hites, </w:t>
      </w:r>
      <w:r>
        <w:rPr>
          <w:rFonts w:ascii="Times New Roman" w:hAnsi="Times New Roman" w:cs="Times New Roman"/>
          <w:sz w:val="24"/>
        </w:rPr>
        <w:t xml:space="preserve">non-Hispanic </w:t>
      </w:r>
      <w:r w:rsidR="00EA5059" w:rsidRPr="00FB4794">
        <w:rPr>
          <w:rFonts w:ascii="Times New Roman" w:hAnsi="Times New Roman" w:cs="Times New Roman"/>
          <w:sz w:val="24"/>
        </w:rPr>
        <w:t xml:space="preserve">blacks, and Hispanics all had decreases in the </w:t>
      </w:r>
      <w:r w:rsidR="0072171F">
        <w:rPr>
          <w:rFonts w:ascii="Times New Roman" w:hAnsi="Times New Roman" w:cs="Times New Roman"/>
          <w:sz w:val="24"/>
        </w:rPr>
        <w:t xml:space="preserve">age-adjusted </w:t>
      </w:r>
      <w:r w:rsidR="00EA5059" w:rsidRPr="00FB4794">
        <w:rPr>
          <w:rFonts w:ascii="Times New Roman" w:hAnsi="Times New Roman" w:cs="Times New Roman"/>
          <w:sz w:val="24"/>
        </w:rPr>
        <w:t>incidence rate of cervical cancer from 2004-2014 (-2.5%</w:t>
      </w:r>
      <w:r w:rsidR="00E30FD2">
        <w:rPr>
          <w:rFonts w:ascii="Times New Roman" w:hAnsi="Times New Roman" w:cs="Times New Roman"/>
          <w:sz w:val="24"/>
        </w:rPr>
        <w:t>, p=0.020;</w:t>
      </w:r>
      <w:r w:rsidR="00EA5059" w:rsidRPr="00FB4794">
        <w:rPr>
          <w:rFonts w:ascii="Times New Roman" w:hAnsi="Times New Roman" w:cs="Times New Roman"/>
          <w:sz w:val="24"/>
        </w:rPr>
        <w:t xml:space="preserve"> -4.7%</w:t>
      </w:r>
      <w:r w:rsidR="00E30FD2">
        <w:rPr>
          <w:rFonts w:ascii="Times New Roman" w:hAnsi="Times New Roman" w:cs="Times New Roman"/>
          <w:sz w:val="24"/>
        </w:rPr>
        <w:t>, p=0.028;</w:t>
      </w:r>
      <w:r w:rsidR="00EA5059" w:rsidRPr="00FB4794">
        <w:rPr>
          <w:rFonts w:ascii="Times New Roman" w:hAnsi="Times New Roman" w:cs="Times New Roman"/>
          <w:sz w:val="24"/>
        </w:rPr>
        <w:t xml:space="preserve"> </w:t>
      </w:r>
      <w:r w:rsidR="0072570B" w:rsidRPr="00FB4794">
        <w:rPr>
          <w:rFonts w:ascii="Times New Roman" w:hAnsi="Times New Roman" w:cs="Times New Roman"/>
          <w:sz w:val="24"/>
        </w:rPr>
        <w:t xml:space="preserve">and </w:t>
      </w:r>
      <w:r w:rsidR="0072570B">
        <w:rPr>
          <w:rFonts w:ascii="Times New Roman" w:hAnsi="Times New Roman" w:cs="Times New Roman"/>
          <w:sz w:val="24"/>
        </w:rPr>
        <w:t>-</w:t>
      </w:r>
      <w:r w:rsidR="00EA5059" w:rsidRPr="00FB4794">
        <w:rPr>
          <w:rFonts w:ascii="Times New Roman" w:hAnsi="Times New Roman" w:cs="Times New Roman"/>
          <w:sz w:val="24"/>
        </w:rPr>
        <w:t>6.4%</w:t>
      </w:r>
      <w:r w:rsidR="00E30FD2">
        <w:rPr>
          <w:rFonts w:ascii="Times New Roman" w:hAnsi="Times New Roman" w:cs="Times New Roman"/>
          <w:sz w:val="24"/>
        </w:rPr>
        <w:t>, p=0.010,</w:t>
      </w:r>
      <w:r w:rsidR="00EA5059" w:rsidRPr="00FB4794">
        <w:rPr>
          <w:rFonts w:ascii="Times New Roman" w:hAnsi="Times New Roman" w:cs="Times New Roman"/>
          <w:sz w:val="24"/>
        </w:rPr>
        <w:t xml:space="preserve"> </w:t>
      </w:r>
      <w:r w:rsidR="00EA5059">
        <w:rPr>
          <w:rFonts w:ascii="Times New Roman" w:hAnsi="Times New Roman" w:cs="Times New Roman"/>
          <w:sz w:val="24"/>
        </w:rPr>
        <w:t>respectively).</w:t>
      </w:r>
      <w:r w:rsidR="0072171F">
        <w:rPr>
          <w:rFonts w:ascii="Times New Roman" w:hAnsi="Times New Roman" w:cs="Times New Roman"/>
          <w:sz w:val="24"/>
        </w:rPr>
        <w:t xml:space="preserve"> Asians had a 3.7% annual increase in the age-adjusted incidence rate of cervical cancer</w:t>
      </w:r>
      <w:r w:rsidR="0072570B">
        <w:rPr>
          <w:rFonts w:ascii="Times New Roman" w:hAnsi="Times New Roman" w:cs="Times New Roman"/>
          <w:sz w:val="24"/>
        </w:rPr>
        <w:t>, which was not statistically significant</w:t>
      </w:r>
      <w:r w:rsidR="0072171F">
        <w:rPr>
          <w:rFonts w:ascii="Times New Roman" w:hAnsi="Times New Roman" w:cs="Times New Roman"/>
          <w:sz w:val="24"/>
        </w:rPr>
        <w:t xml:space="preserve">. </w:t>
      </w:r>
    </w:p>
    <w:p w:rsidR="0072171F" w:rsidRDefault="0072171F" w:rsidP="0072171F">
      <w:pPr>
        <w:pStyle w:val="ListParagraph"/>
        <w:rPr>
          <w:rFonts w:ascii="Times New Roman" w:hAnsi="Times New Roman" w:cs="Times New Roman"/>
          <w:sz w:val="24"/>
        </w:rPr>
      </w:pPr>
    </w:p>
    <w:p w:rsidR="0072171F" w:rsidRDefault="0072171F" w:rsidP="0072171F">
      <w:pPr>
        <w:pStyle w:val="ListParagraph"/>
        <w:rPr>
          <w:rFonts w:ascii="Times New Roman" w:hAnsi="Times New Roman" w:cs="Times New Roman"/>
          <w:sz w:val="24"/>
        </w:rPr>
      </w:pPr>
    </w:p>
    <w:p w:rsidR="00A44677" w:rsidRDefault="00A44677" w:rsidP="0072171F">
      <w:pPr>
        <w:pStyle w:val="ListParagraph"/>
        <w:rPr>
          <w:rFonts w:ascii="Times New Roman" w:hAnsi="Times New Roman" w:cs="Times New Roman"/>
          <w:sz w:val="24"/>
        </w:rPr>
      </w:pPr>
    </w:p>
    <w:p w:rsidR="004C0BDE" w:rsidRPr="004C0BDE" w:rsidRDefault="004C0BDE" w:rsidP="004C0BDE">
      <w:pPr>
        <w:spacing w:after="0" w:line="240" w:lineRule="auto"/>
        <w:rPr>
          <w:rFonts w:ascii="Times New Roman" w:hAnsi="Times New Roman" w:cs="Times New Roman"/>
          <w:b/>
          <w:sz w:val="24"/>
        </w:rPr>
      </w:pPr>
      <w:r w:rsidRPr="004C0BDE">
        <w:rPr>
          <w:rFonts w:ascii="Times New Roman" w:hAnsi="Times New Roman" w:cs="Times New Roman"/>
          <w:b/>
          <w:sz w:val="24"/>
        </w:rPr>
        <w:t>Mortality by race/ethnicity</w:t>
      </w:r>
    </w:p>
    <w:p w:rsidR="004C0BDE" w:rsidRPr="004C0BDE" w:rsidRDefault="004C0BDE" w:rsidP="004C0BDE">
      <w:pPr>
        <w:spacing w:after="0" w:line="240" w:lineRule="auto"/>
        <w:rPr>
          <w:rFonts w:ascii="Times New Roman" w:hAnsi="Times New Roman" w:cs="Times New Roman"/>
          <w:sz w:val="24"/>
        </w:rPr>
      </w:pPr>
    </w:p>
    <w:p w:rsidR="00A44677" w:rsidRDefault="0072171F" w:rsidP="00EA505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 xml:space="preserve">Non-Hispanic blacks had the highest age-adjusted mortality rate of cervical cancer (2.3 deaths per 100,000) followed by Hispanics (1.4), Asians (1.3) and non-Hispanic whites (1.3) from 2008-2014. </w:t>
      </w:r>
    </w:p>
    <w:p w:rsidR="00A44677" w:rsidRDefault="00A44677" w:rsidP="00A44677">
      <w:pPr>
        <w:pStyle w:val="ListParagraph"/>
        <w:spacing w:after="0" w:line="240" w:lineRule="auto"/>
        <w:ind w:left="180"/>
        <w:rPr>
          <w:rFonts w:ascii="Times New Roman" w:hAnsi="Times New Roman" w:cs="Times New Roman"/>
          <w:sz w:val="24"/>
        </w:rPr>
      </w:pPr>
    </w:p>
    <w:p w:rsidR="0072171F" w:rsidRDefault="0072171F" w:rsidP="00EA505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The mortality rate of cervi</w:t>
      </w:r>
      <w:r w:rsidR="00C44D60">
        <w:rPr>
          <w:rFonts w:ascii="Times New Roman" w:hAnsi="Times New Roman" w:cs="Times New Roman"/>
          <w:sz w:val="24"/>
        </w:rPr>
        <w:t>cal cancer was 1.8 times higher</w:t>
      </w:r>
      <w:r>
        <w:rPr>
          <w:rFonts w:ascii="Times New Roman" w:hAnsi="Times New Roman" w:cs="Times New Roman"/>
          <w:sz w:val="24"/>
        </w:rPr>
        <w:t xml:space="preserve"> among non-Hispanic black </w:t>
      </w:r>
      <w:r w:rsidR="008571F5">
        <w:rPr>
          <w:rFonts w:ascii="Times New Roman" w:hAnsi="Times New Roman" w:cs="Times New Roman"/>
          <w:sz w:val="24"/>
        </w:rPr>
        <w:t>females</w:t>
      </w:r>
      <w:r>
        <w:rPr>
          <w:rFonts w:ascii="Times New Roman" w:hAnsi="Times New Roman" w:cs="Times New Roman"/>
          <w:sz w:val="24"/>
        </w:rPr>
        <w:t xml:space="preserve"> than non-Hispanic white </w:t>
      </w:r>
      <w:r w:rsidR="008571F5">
        <w:rPr>
          <w:rFonts w:ascii="Times New Roman" w:hAnsi="Times New Roman" w:cs="Times New Roman"/>
          <w:sz w:val="24"/>
        </w:rPr>
        <w:t>females</w:t>
      </w:r>
      <w:r>
        <w:rPr>
          <w:rFonts w:ascii="Times New Roman" w:hAnsi="Times New Roman" w:cs="Times New Roman"/>
          <w:sz w:val="24"/>
        </w:rPr>
        <w:t xml:space="preserve">. </w:t>
      </w:r>
    </w:p>
    <w:p w:rsidR="0072171F" w:rsidRPr="0072171F" w:rsidRDefault="0072171F" w:rsidP="0072171F">
      <w:pPr>
        <w:pStyle w:val="ListParagraph"/>
        <w:tabs>
          <w:tab w:val="left" w:pos="6570"/>
        </w:tabs>
        <w:rPr>
          <w:rFonts w:ascii="Times New Roman" w:hAnsi="Times New Roman" w:cs="Times New Roman"/>
          <w:sz w:val="24"/>
        </w:rPr>
      </w:pPr>
      <w:r>
        <w:rPr>
          <w:rFonts w:ascii="Times New Roman" w:hAnsi="Times New Roman" w:cs="Times New Roman"/>
          <w:sz w:val="24"/>
        </w:rPr>
        <w:tab/>
      </w:r>
    </w:p>
    <w:p w:rsidR="0072171F" w:rsidRPr="00FB4794" w:rsidRDefault="0072171F" w:rsidP="00EA5059">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Non-Hispanic whites and non-Hispanic blacks had decreases in the age-adjusted mortality rate of cervical cancer from 2008-2014 (-4.7% and -5.1% respectively)</w:t>
      </w:r>
      <w:r w:rsidR="0072570B">
        <w:rPr>
          <w:rFonts w:ascii="Times New Roman" w:hAnsi="Times New Roman" w:cs="Times New Roman"/>
          <w:sz w:val="24"/>
        </w:rPr>
        <w:t xml:space="preserve"> </w:t>
      </w:r>
      <w:proofErr w:type="gramStart"/>
      <w:r w:rsidR="0072570B">
        <w:rPr>
          <w:rFonts w:ascii="Times New Roman" w:hAnsi="Times New Roman" w:cs="Times New Roman"/>
          <w:sz w:val="24"/>
        </w:rPr>
        <w:t>that were</w:t>
      </w:r>
      <w:proofErr w:type="gramEnd"/>
      <w:r w:rsidR="0072570B">
        <w:rPr>
          <w:rFonts w:ascii="Times New Roman" w:hAnsi="Times New Roman" w:cs="Times New Roman"/>
          <w:sz w:val="24"/>
        </w:rPr>
        <w:t xml:space="preserve"> not statistically significant</w:t>
      </w:r>
      <w:r>
        <w:rPr>
          <w:rFonts w:ascii="Times New Roman" w:hAnsi="Times New Roman" w:cs="Times New Roman"/>
          <w:sz w:val="24"/>
        </w:rPr>
        <w:t>. Asians and Hispanics had increases in the age-adjusted mortality rate of cervical cancer from 2008-2014 (5.0% and 4.1% respectively)</w:t>
      </w:r>
      <w:r w:rsidR="0072570B">
        <w:rPr>
          <w:rFonts w:ascii="Times New Roman" w:hAnsi="Times New Roman" w:cs="Times New Roman"/>
          <w:sz w:val="24"/>
        </w:rPr>
        <w:t xml:space="preserve"> that were not statistically significant</w:t>
      </w:r>
      <w:r>
        <w:rPr>
          <w:rFonts w:ascii="Times New Roman" w:hAnsi="Times New Roman" w:cs="Times New Roman"/>
          <w:sz w:val="24"/>
        </w:rPr>
        <w:t xml:space="preserve">. </w:t>
      </w:r>
    </w:p>
    <w:p w:rsidR="0072171F" w:rsidRDefault="0072171F" w:rsidP="00EA5059">
      <w:pPr>
        <w:pStyle w:val="ListParagraph"/>
        <w:spacing w:after="0" w:line="240" w:lineRule="auto"/>
        <w:ind w:left="180" w:hanging="180"/>
        <w:rPr>
          <w:rFonts w:ascii="Times New Roman" w:hAnsi="Times New Roman" w:cs="Times New Roman"/>
          <w:sz w:val="24"/>
        </w:rPr>
      </w:pPr>
    </w:p>
    <w:p w:rsidR="00B6199B" w:rsidRDefault="00B6199B" w:rsidP="00EA5059">
      <w:pPr>
        <w:pStyle w:val="ListParagraph"/>
        <w:spacing w:after="0" w:line="240" w:lineRule="auto"/>
        <w:ind w:left="180" w:hanging="180"/>
        <w:rPr>
          <w:rFonts w:ascii="Times New Roman" w:hAnsi="Times New Roman" w:cs="Times New Roman"/>
          <w:sz w:val="24"/>
        </w:rPr>
      </w:pPr>
    </w:p>
    <w:p w:rsidR="00B6199B" w:rsidRDefault="00B6199B" w:rsidP="00EA5059">
      <w:pPr>
        <w:pStyle w:val="ListParagraph"/>
        <w:spacing w:after="0" w:line="240" w:lineRule="auto"/>
        <w:ind w:left="180" w:hanging="180"/>
        <w:rPr>
          <w:rFonts w:ascii="Times New Roman" w:hAnsi="Times New Roman" w:cs="Times New Roman"/>
          <w:sz w:val="24"/>
        </w:rPr>
      </w:pPr>
    </w:p>
    <w:p w:rsidR="00F56380" w:rsidRDefault="00F56380" w:rsidP="00EA5059">
      <w:pPr>
        <w:pStyle w:val="ListParagraph"/>
        <w:spacing w:after="0" w:line="240" w:lineRule="auto"/>
        <w:ind w:left="180" w:hanging="180"/>
        <w:rPr>
          <w:rFonts w:ascii="Times New Roman" w:hAnsi="Times New Roman" w:cs="Times New Roman"/>
          <w:sz w:val="24"/>
        </w:rPr>
      </w:pPr>
    </w:p>
    <w:p w:rsidR="00B347BC" w:rsidRPr="00A44677" w:rsidRDefault="00B347BC" w:rsidP="00A44677">
      <w:pPr>
        <w:spacing w:after="0" w:line="240" w:lineRule="auto"/>
        <w:rPr>
          <w:rFonts w:ascii="Times New Roman" w:hAnsi="Times New Roman" w:cs="Times New Roman"/>
          <w:sz w:val="24"/>
        </w:rPr>
        <w:sectPr w:rsidR="00B347BC" w:rsidRPr="00A44677" w:rsidSect="00F56380">
          <w:type w:val="continuous"/>
          <w:pgSz w:w="12240" w:h="15840"/>
          <w:pgMar w:top="864" w:right="864" w:bottom="864" w:left="864" w:header="720" w:footer="720" w:gutter="0"/>
          <w:cols w:num="2" w:space="288"/>
          <w:docGrid w:linePitch="360"/>
        </w:sectPr>
      </w:pPr>
    </w:p>
    <w:tbl>
      <w:tblPr>
        <w:tblStyle w:val="TableGrid"/>
        <w:tblW w:w="10440" w:type="dxa"/>
        <w:jc w:val="center"/>
        <w:tblLayout w:type="fixed"/>
        <w:tblLook w:val="04A0" w:firstRow="1" w:lastRow="0" w:firstColumn="1" w:lastColumn="0" w:noHBand="0" w:noVBand="1"/>
      </w:tblPr>
      <w:tblGrid>
        <w:gridCol w:w="1425"/>
        <w:gridCol w:w="994"/>
        <w:gridCol w:w="993"/>
        <w:gridCol w:w="994"/>
        <w:gridCol w:w="994"/>
        <w:gridCol w:w="5040"/>
      </w:tblGrid>
      <w:tr w:rsidR="00EF4E30" w:rsidRPr="00902D3A" w:rsidTr="00B347BC">
        <w:trPr>
          <w:trHeight w:val="423"/>
          <w:jc w:val="center"/>
        </w:trPr>
        <w:tc>
          <w:tcPr>
            <w:tcW w:w="10440" w:type="dxa"/>
            <w:gridSpan w:val="6"/>
            <w:tcBorders>
              <w:top w:val="nil"/>
              <w:left w:val="nil"/>
              <w:right w:val="nil"/>
            </w:tcBorders>
            <w:vAlign w:val="center"/>
          </w:tcPr>
          <w:p w:rsidR="00EF4E30" w:rsidRPr="00902D3A" w:rsidRDefault="00EF4E30" w:rsidP="00EF4E30">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PATTERNS OF </w:t>
            </w:r>
            <w:r w:rsidRPr="00902D3A">
              <w:rPr>
                <w:rFonts w:ascii="Times New Roman" w:hAnsi="Times New Roman" w:cs="Times New Roman"/>
                <w:b/>
                <w:color w:val="1F497D" w:themeColor="text2"/>
                <w:sz w:val="24"/>
              </w:rPr>
              <w:t xml:space="preserve">CERVICAL CANCER </w:t>
            </w:r>
            <w:r>
              <w:rPr>
                <w:rFonts w:ascii="Times New Roman" w:hAnsi="Times New Roman" w:cs="Times New Roman"/>
                <w:b/>
                <w:color w:val="1F497D" w:themeColor="text2"/>
                <w:sz w:val="24"/>
              </w:rPr>
              <w:t>BY STAGE AT DIAGNOSIS</w:t>
            </w:r>
          </w:p>
        </w:tc>
      </w:tr>
      <w:tr w:rsidR="00EF4E30" w:rsidRPr="00902D3A" w:rsidTr="00B347BC">
        <w:trPr>
          <w:trHeight w:val="620"/>
          <w:jc w:val="center"/>
        </w:trPr>
        <w:tc>
          <w:tcPr>
            <w:tcW w:w="10440" w:type="dxa"/>
            <w:gridSpan w:val="6"/>
            <w:tcBorders>
              <w:bottom w:val="single" w:sz="4" w:space="0" w:color="auto"/>
            </w:tcBorders>
            <w:vAlign w:val="center"/>
          </w:tcPr>
          <w:p w:rsidR="00EF4E30" w:rsidRDefault="00EF4E30" w:rsidP="0090233B">
            <w:pPr>
              <w:rPr>
                <w:rFonts w:ascii="Times New Roman" w:hAnsi="Times New Roman" w:cs="Times New Roman"/>
                <w:b/>
                <w:color w:val="1F497D" w:themeColor="text2"/>
                <w:sz w:val="24"/>
              </w:rPr>
            </w:pPr>
            <w:r>
              <w:rPr>
                <w:rFonts w:ascii="Times New Roman" w:hAnsi="Times New Roman" w:cs="Times New Roman"/>
                <w:b/>
                <w:color w:val="1F497D" w:themeColor="text2"/>
                <w:sz w:val="24"/>
              </w:rPr>
              <w:t>Figure 4. Number and percentage distribution among cervical cancer cases by stage at diagnosis^ overall and by race/ethnicity, Massachusetts, 2004-2014</w:t>
            </w:r>
          </w:p>
        </w:tc>
      </w:tr>
      <w:tr w:rsidR="00EF4E30" w:rsidRPr="00902D3A" w:rsidTr="00B347BC">
        <w:trPr>
          <w:trHeight w:val="377"/>
          <w:jc w:val="center"/>
        </w:trPr>
        <w:tc>
          <w:tcPr>
            <w:tcW w:w="5400" w:type="dxa"/>
            <w:gridSpan w:val="5"/>
            <w:tcBorders>
              <w:bottom w:val="single" w:sz="4" w:space="0" w:color="auto"/>
              <w:right w:val="nil"/>
            </w:tcBorders>
            <w:vAlign w:val="bottom"/>
          </w:tcPr>
          <w:p w:rsidR="00EF4E30" w:rsidRPr="00746B3D" w:rsidRDefault="00EF4E30" w:rsidP="0078556D">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Stage at diagnosis</w:t>
            </w:r>
          </w:p>
        </w:tc>
        <w:tc>
          <w:tcPr>
            <w:tcW w:w="5040" w:type="dxa"/>
            <w:vMerge w:val="restart"/>
            <w:tcBorders>
              <w:left w:val="nil"/>
            </w:tcBorders>
            <w:vAlign w:val="center"/>
          </w:tcPr>
          <w:p w:rsidR="00EF4E30" w:rsidRPr="00902D3A" w:rsidRDefault="00C65955" w:rsidP="0090233B">
            <w:pPr>
              <w:ind w:left="-558"/>
              <w:jc w:val="center"/>
              <w:rPr>
                <w:rFonts w:ascii="Times New Roman" w:hAnsi="Times New Roman" w:cs="Times New Roman"/>
                <w:b/>
                <w:color w:val="1F497D" w:themeColor="text2"/>
                <w:sz w:val="24"/>
              </w:rPr>
            </w:pPr>
            <w:r w:rsidRPr="002B4414">
              <w:rPr>
                <w:rFonts w:ascii="Times New Roman" w:hAnsi="Times New Roman" w:cs="Times New Roman"/>
                <w:noProof/>
                <w:sz w:val="24"/>
              </w:rPr>
              <w:drawing>
                <wp:anchor distT="0" distB="0" distL="114300" distR="114300" simplePos="0" relativeHeight="251675648" behindDoc="0" locked="0" layoutInCell="1" allowOverlap="1" wp14:anchorId="20A97B72" wp14:editId="20F18DC5">
                  <wp:simplePos x="0" y="0"/>
                  <wp:positionH relativeFrom="column">
                    <wp:posOffset>-40005</wp:posOffset>
                  </wp:positionH>
                  <wp:positionV relativeFrom="paragraph">
                    <wp:posOffset>6985</wp:posOffset>
                  </wp:positionV>
                  <wp:extent cx="2838450" cy="2457450"/>
                  <wp:effectExtent l="0" t="0" r="0" b="0"/>
                  <wp:wrapNone/>
                  <wp:docPr id="18" name="Chart 18" descr="50.3% of women were diagnosed with stage I disease, 33.8% were diagnosed with stage II disease, 13.2% were diagnosed wtih stage III diseae, and 2.8% were diagnosed with stage IV disease. Hispanic women were more likely to be diagnosed with stage I or II disease than non-Hispanic white women. 45 women had an unknown race/ethnicity. Data are from the Massachusetts Cancer Registry. " title="Figure 4. Number and percentage distribution among cervical cancer cases by stage at diagnosis overall and by race/ethnicity in Massachusetts 2004-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c>
      </w:tr>
      <w:tr w:rsidR="00071C5D" w:rsidRPr="00902D3A" w:rsidTr="00B347BC">
        <w:trPr>
          <w:trHeight w:val="278"/>
          <w:jc w:val="center"/>
        </w:trPr>
        <w:tc>
          <w:tcPr>
            <w:tcW w:w="1425" w:type="dxa"/>
            <w:tcBorders>
              <w:top w:val="single" w:sz="4" w:space="0" w:color="auto"/>
              <w:left w:val="single" w:sz="4" w:space="0" w:color="auto"/>
              <w:bottom w:val="nil"/>
              <w:right w:val="nil"/>
            </w:tcBorders>
            <w:vAlign w:val="center"/>
          </w:tcPr>
          <w:p w:rsidR="00EF4E30" w:rsidRPr="00746B3D" w:rsidRDefault="00EF4E30" w:rsidP="0090233B">
            <w:pPr>
              <w:rPr>
                <w:rFonts w:ascii="Times New Roman" w:hAnsi="Times New Roman" w:cs="Times New Roman"/>
                <w:b/>
                <w:color w:val="1F497D" w:themeColor="text2"/>
                <w:sz w:val="20"/>
              </w:rPr>
            </w:pPr>
          </w:p>
        </w:tc>
        <w:tc>
          <w:tcPr>
            <w:tcW w:w="994" w:type="dxa"/>
            <w:tcBorders>
              <w:top w:val="single" w:sz="4" w:space="0" w:color="auto"/>
              <w:left w:val="nil"/>
              <w:bottom w:val="nil"/>
              <w:right w:val="nil"/>
            </w:tcBorders>
            <w:vAlign w:val="bottom"/>
          </w:tcPr>
          <w:p w:rsidR="00EF4E30" w:rsidRPr="00746B3D" w:rsidRDefault="00EF4E30" w:rsidP="0090233B">
            <w:pPr>
              <w:ind w:left="-112" w:right="-81"/>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Stage I</w:t>
            </w:r>
          </w:p>
        </w:tc>
        <w:tc>
          <w:tcPr>
            <w:tcW w:w="993" w:type="dxa"/>
            <w:tcBorders>
              <w:top w:val="single" w:sz="4" w:space="0" w:color="auto"/>
              <w:left w:val="nil"/>
              <w:bottom w:val="nil"/>
              <w:right w:val="nil"/>
            </w:tcBorders>
            <w:vAlign w:val="bottom"/>
          </w:tcPr>
          <w:p w:rsidR="00EF4E30" w:rsidRPr="00746B3D" w:rsidRDefault="00EF4E30" w:rsidP="0090233B">
            <w:pPr>
              <w:ind w:left="-55" w:right="-58"/>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Stage II</w:t>
            </w:r>
          </w:p>
        </w:tc>
        <w:tc>
          <w:tcPr>
            <w:tcW w:w="994" w:type="dxa"/>
            <w:tcBorders>
              <w:top w:val="single" w:sz="4" w:space="0" w:color="auto"/>
              <w:left w:val="nil"/>
              <w:bottom w:val="nil"/>
              <w:right w:val="nil"/>
            </w:tcBorders>
            <w:vAlign w:val="bottom"/>
          </w:tcPr>
          <w:p w:rsidR="00EF4E30" w:rsidRPr="00746B3D" w:rsidRDefault="00EF4E30" w:rsidP="0090233B">
            <w:pPr>
              <w:ind w:left="-78" w:right="-35"/>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Stage III</w:t>
            </w:r>
          </w:p>
        </w:tc>
        <w:tc>
          <w:tcPr>
            <w:tcW w:w="994" w:type="dxa"/>
            <w:tcBorders>
              <w:top w:val="single" w:sz="4" w:space="0" w:color="auto"/>
              <w:left w:val="nil"/>
              <w:bottom w:val="nil"/>
              <w:right w:val="single" w:sz="4" w:space="0" w:color="auto"/>
            </w:tcBorders>
            <w:vAlign w:val="bottom"/>
          </w:tcPr>
          <w:p w:rsidR="00EF4E30" w:rsidRPr="00746B3D" w:rsidRDefault="00EF4E30" w:rsidP="0090233B">
            <w:pPr>
              <w:tabs>
                <w:tab w:val="left" w:pos="809"/>
              </w:tabs>
              <w:ind w:left="-91" w:right="-102"/>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Stage IV</w:t>
            </w:r>
          </w:p>
        </w:tc>
        <w:tc>
          <w:tcPr>
            <w:tcW w:w="5040" w:type="dxa"/>
            <w:vMerge/>
            <w:tcBorders>
              <w:left w:val="single" w:sz="4" w:space="0" w:color="auto"/>
            </w:tcBorders>
            <w:vAlign w:val="center"/>
          </w:tcPr>
          <w:p w:rsidR="00EF4E30" w:rsidRPr="00902D3A" w:rsidRDefault="00EF4E30" w:rsidP="0090233B">
            <w:pPr>
              <w:ind w:left="-558"/>
              <w:jc w:val="center"/>
              <w:rPr>
                <w:rFonts w:ascii="Times New Roman" w:hAnsi="Times New Roman" w:cs="Times New Roman"/>
                <w:b/>
                <w:color w:val="1F497D" w:themeColor="text2"/>
                <w:sz w:val="24"/>
              </w:rPr>
            </w:pPr>
          </w:p>
        </w:tc>
      </w:tr>
      <w:tr w:rsidR="00071C5D" w:rsidRPr="00902D3A" w:rsidTr="00B347BC">
        <w:trPr>
          <w:trHeight w:val="260"/>
          <w:jc w:val="center"/>
        </w:trPr>
        <w:tc>
          <w:tcPr>
            <w:tcW w:w="1425" w:type="dxa"/>
            <w:tcBorders>
              <w:top w:val="nil"/>
              <w:left w:val="single" w:sz="4" w:space="0" w:color="auto"/>
              <w:bottom w:val="single" w:sz="4" w:space="0" w:color="auto"/>
              <w:right w:val="nil"/>
            </w:tcBorders>
            <w:vAlign w:val="center"/>
          </w:tcPr>
          <w:p w:rsidR="00EF4E30" w:rsidRPr="006D78BD" w:rsidRDefault="00EF4E30" w:rsidP="0090233B">
            <w:pPr>
              <w:ind w:left="-10" w:right="-104"/>
              <w:rPr>
                <w:rFonts w:ascii="Times New Roman" w:hAnsi="Times New Roman" w:cs="Times New Roman"/>
                <w:sz w:val="20"/>
              </w:rPr>
            </w:pPr>
          </w:p>
        </w:tc>
        <w:tc>
          <w:tcPr>
            <w:tcW w:w="994" w:type="dxa"/>
            <w:tcBorders>
              <w:top w:val="nil"/>
              <w:left w:val="nil"/>
              <w:bottom w:val="single" w:sz="4" w:space="0" w:color="auto"/>
              <w:right w:val="nil"/>
            </w:tcBorders>
            <w:vAlign w:val="center"/>
          </w:tcPr>
          <w:p w:rsidR="00EF4E30" w:rsidRPr="00071C5D" w:rsidRDefault="00EF4E30" w:rsidP="00DF4CFA">
            <w:pPr>
              <w:ind w:left="-108" w:right="-108"/>
              <w:jc w:val="center"/>
              <w:rPr>
                <w:rFonts w:ascii="Times New Roman" w:hAnsi="Times New Roman" w:cs="Times New Roman"/>
                <w:color w:val="1F497D" w:themeColor="text2"/>
                <w:sz w:val="20"/>
              </w:rPr>
            </w:pPr>
            <w:r w:rsidRPr="00071C5D">
              <w:rPr>
                <w:rFonts w:ascii="Times New Roman" w:hAnsi="Times New Roman" w:cs="Times New Roman"/>
                <w:color w:val="1F497D" w:themeColor="text2"/>
                <w:sz w:val="20"/>
              </w:rPr>
              <w:t>N (%)</w:t>
            </w:r>
          </w:p>
        </w:tc>
        <w:tc>
          <w:tcPr>
            <w:tcW w:w="993" w:type="dxa"/>
            <w:tcBorders>
              <w:top w:val="nil"/>
              <w:left w:val="nil"/>
              <w:bottom w:val="single" w:sz="4" w:space="0" w:color="auto"/>
              <w:right w:val="nil"/>
            </w:tcBorders>
            <w:vAlign w:val="center"/>
          </w:tcPr>
          <w:p w:rsidR="00EF4E30" w:rsidRPr="00071C5D" w:rsidRDefault="00EF4E30" w:rsidP="00DF4CFA">
            <w:pPr>
              <w:ind w:left="-108" w:right="-108"/>
              <w:jc w:val="center"/>
              <w:rPr>
                <w:rFonts w:ascii="Times New Roman" w:hAnsi="Times New Roman" w:cs="Times New Roman"/>
                <w:color w:val="1F497D" w:themeColor="text2"/>
                <w:sz w:val="20"/>
              </w:rPr>
            </w:pPr>
            <w:r w:rsidRPr="00071C5D">
              <w:rPr>
                <w:rFonts w:ascii="Times New Roman" w:hAnsi="Times New Roman" w:cs="Times New Roman"/>
                <w:color w:val="1F497D" w:themeColor="text2"/>
                <w:sz w:val="20"/>
              </w:rPr>
              <w:t>N (%)</w:t>
            </w:r>
          </w:p>
        </w:tc>
        <w:tc>
          <w:tcPr>
            <w:tcW w:w="994" w:type="dxa"/>
            <w:tcBorders>
              <w:top w:val="nil"/>
              <w:left w:val="nil"/>
              <w:bottom w:val="single" w:sz="4" w:space="0" w:color="auto"/>
              <w:right w:val="nil"/>
            </w:tcBorders>
            <w:vAlign w:val="center"/>
          </w:tcPr>
          <w:p w:rsidR="00EF4E30" w:rsidRPr="00071C5D" w:rsidRDefault="00EF4E30" w:rsidP="00DF4CFA">
            <w:pPr>
              <w:jc w:val="center"/>
              <w:rPr>
                <w:rFonts w:ascii="Times New Roman" w:hAnsi="Times New Roman" w:cs="Times New Roman"/>
                <w:color w:val="1F497D" w:themeColor="text2"/>
                <w:sz w:val="20"/>
              </w:rPr>
            </w:pPr>
            <w:r w:rsidRPr="00071C5D">
              <w:rPr>
                <w:rFonts w:ascii="Times New Roman" w:hAnsi="Times New Roman" w:cs="Times New Roman"/>
                <w:color w:val="1F497D" w:themeColor="text2"/>
                <w:sz w:val="20"/>
              </w:rPr>
              <w:t>N (%)</w:t>
            </w:r>
          </w:p>
        </w:tc>
        <w:tc>
          <w:tcPr>
            <w:tcW w:w="994" w:type="dxa"/>
            <w:tcBorders>
              <w:top w:val="nil"/>
              <w:left w:val="nil"/>
              <w:bottom w:val="single" w:sz="4" w:space="0" w:color="auto"/>
              <w:right w:val="single" w:sz="4" w:space="0" w:color="auto"/>
            </w:tcBorders>
            <w:vAlign w:val="center"/>
          </w:tcPr>
          <w:p w:rsidR="00EF4E30" w:rsidRPr="00071C5D" w:rsidRDefault="00EF4E30" w:rsidP="00DF4CFA">
            <w:pPr>
              <w:ind w:left="-108" w:right="-108"/>
              <w:jc w:val="center"/>
              <w:rPr>
                <w:rFonts w:ascii="Times New Roman" w:hAnsi="Times New Roman" w:cs="Times New Roman"/>
                <w:color w:val="1F497D" w:themeColor="text2"/>
                <w:sz w:val="20"/>
              </w:rPr>
            </w:pPr>
            <w:r w:rsidRPr="00071C5D">
              <w:rPr>
                <w:rFonts w:ascii="Times New Roman" w:hAnsi="Times New Roman" w:cs="Times New Roman"/>
                <w:color w:val="1F497D" w:themeColor="text2"/>
                <w:sz w:val="20"/>
              </w:rPr>
              <w:t>N (%)</w:t>
            </w:r>
          </w:p>
        </w:tc>
        <w:tc>
          <w:tcPr>
            <w:tcW w:w="5040" w:type="dxa"/>
            <w:vMerge/>
            <w:tcBorders>
              <w:left w:val="single" w:sz="4" w:space="0" w:color="auto"/>
            </w:tcBorders>
            <w:vAlign w:val="center"/>
          </w:tcPr>
          <w:p w:rsidR="00EF4E30" w:rsidRPr="00902D3A" w:rsidRDefault="00EF4E30" w:rsidP="0090233B">
            <w:pPr>
              <w:ind w:left="-558"/>
              <w:jc w:val="center"/>
              <w:rPr>
                <w:rFonts w:ascii="Times New Roman" w:hAnsi="Times New Roman" w:cs="Times New Roman"/>
                <w:b/>
                <w:color w:val="1F497D" w:themeColor="text2"/>
                <w:sz w:val="24"/>
              </w:rPr>
            </w:pPr>
          </w:p>
        </w:tc>
      </w:tr>
      <w:tr w:rsidR="00071C5D" w:rsidRPr="00902D3A" w:rsidTr="00B347BC">
        <w:trPr>
          <w:trHeight w:val="530"/>
          <w:jc w:val="center"/>
        </w:trPr>
        <w:tc>
          <w:tcPr>
            <w:tcW w:w="1425" w:type="dxa"/>
            <w:tcBorders>
              <w:top w:val="single" w:sz="4" w:space="0" w:color="auto"/>
              <w:left w:val="single" w:sz="4" w:space="0" w:color="auto"/>
              <w:bottom w:val="single" w:sz="4" w:space="0" w:color="auto"/>
              <w:right w:val="nil"/>
            </w:tcBorders>
            <w:vAlign w:val="center"/>
          </w:tcPr>
          <w:p w:rsidR="00EF4E30" w:rsidRPr="00C65955" w:rsidRDefault="00EF4E30" w:rsidP="00C65955">
            <w:pPr>
              <w:ind w:left="-90" w:right="-104"/>
              <w:rPr>
                <w:rFonts w:ascii="Times New Roman" w:hAnsi="Times New Roman" w:cs="Times New Roman"/>
                <w:b/>
                <w:sz w:val="20"/>
              </w:rPr>
            </w:pPr>
            <w:r w:rsidRPr="00C65955">
              <w:rPr>
                <w:rFonts w:ascii="Times New Roman" w:hAnsi="Times New Roman" w:cs="Times New Roman"/>
                <w:b/>
                <w:sz w:val="20"/>
              </w:rPr>
              <w:t>Overall</w:t>
            </w:r>
          </w:p>
        </w:tc>
        <w:tc>
          <w:tcPr>
            <w:tcW w:w="994" w:type="dxa"/>
            <w:tcBorders>
              <w:top w:val="single" w:sz="4" w:space="0" w:color="auto"/>
              <w:left w:val="nil"/>
              <w:bottom w:val="single" w:sz="4" w:space="0" w:color="auto"/>
              <w:right w:val="nil"/>
            </w:tcBorders>
            <w:vAlign w:val="center"/>
          </w:tcPr>
          <w:p w:rsidR="00EF4E30" w:rsidRPr="00EF4E30" w:rsidRDefault="00DF4CFA" w:rsidP="00C65955">
            <w:pPr>
              <w:tabs>
                <w:tab w:val="left" w:pos="702"/>
              </w:tabs>
              <w:ind w:left="-108" w:right="-108"/>
              <w:jc w:val="center"/>
              <w:rPr>
                <w:rFonts w:ascii="Times New Roman" w:hAnsi="Times New Roman" w:cs="Times New Roman"/>
                <w:sz w:val="20"/>
                <w:szCs w:val="20"/>
              </w:rPr>
            </w:pPr>
            <w:r>
              <w:rPr>
                <w:rFonts w:ascii="Times New Roman" w:hAnsi="Times New Roman" w:cs="Times New Roman"/>
                <w:sz w:val="20"/>
                <w:szCs w:val="20"/>
              </w:rPr>
              <w:t>1,102</w:t>
            </w:r>
            <w:r w:rsidR="007B4A1D">
              <w:rPr>
                <w:rFonts w:ascii="Times New Roman" w:hAnsi="Times New Roman" w:cs="Times New Roman"/>
                <w:sz w:val="20"/>
                <w:szCs w:val="20"/>
              </w:rPr>
              <w:t xml:space="preserve"> (</w:t>
            </w:r>
            <w:r>
              <w:rPr>
                <w:rFonts w:ascii="Times New Roman" w:hAnsi="Times New Roman" w:cs="Times New Roman"/>
                <w:sz w:val="20"/>
                <w:szCs w:val="20"/>
              </w:rPr>
              <w:t>50.3</w:t>
            </w:r>
            <w:r w:rsidR="00EF4E30" w:rsidRPr="00EF4E30">
              <w:rPr>
                <w:rFonts w:ascii="Times New Roman" w:hAnsi="Times New Roman" w:cs="Times New Roman"/>
                <w:sz w:val="20"/>
                <w:szCs w:val="20"/>
              </w:rPr>
              <w:t>)</w:t>
            </w:r>
          </w:p>
        </w:tc>
        <w:tc>
          <w:tcPr>
            <w:tcW w:w="993" w:type="dxa"/>
            <w:tcBorders>
              <w:top w:val="single" w:sz="4" w:space="0" w:color="auto"/>
              <w:left w:val="nil"/>
              <w:bottom w:val="single" w:sz="4" w:space="0" w:color="auto"/>
              <w:right w:val="nil"/>
            </w:tcBorders>
            <w:vAlign w:val="center"/>
          </w:tcPr>
          <w:p w:rsidR="00EF4E30" w:rsidRPr="00EF4E30" w:rsidRDefault="00DF4CFA" w:rsidP="00C65955">
            <w:pPr>
              <w:ind w:left="-108" w:right="-108"/>
              <w:jc w:val="center"/>
              <w:rPr>
                <w:rFonts w:ascii="Times New Roman" w:hAnsi="Times New Roman" w:cs="Times New Roman"/>
                <w:sz w:val="20"/>
                <w:szCs w:val="20"/>
              </w:rPr>
            </w:pPr>
            <w:r>
              <w:rPr>
                <w:rFonts w:ascii="Times New Roman" w:hAnsi="Times New Roman" w:cs="Times New Roman"/>
                <w:sz w:val="20"/>
                <w:szCs w:val="20"/>
              </w:rPr>
              <w:t>741</w:t>
            </w:r>
            <w:r w:rsidR="007B4A1D">
              <w:rPr>
                <w:rFonts w:ascii="Times New Roman" w:hAnsi="Times New Roman" w:cs="Times New Roman"/>
                <w:sz w:val="20"/>
                <w:szCs w:val="20"/>
              </w:rPr>
              <w:t xml:space="preserve"> (33.</w:t>
            </w:r>
            <w:r>
              <w:rPr>
                <w:rFonts w:ascii="Times New Roman" w:hAnsi="Times New Roman" w:cs="Times New Roman"/>
                <w:sz w:val="20"/>
                <w:szCs w:val="20"/>
              </w:rPr>
              <w:t>8</w:t>
            </w:r>
            <w:r w:rsidR="00EF4E30" w:rsidRPr="00EF4E30">
              <w:rPr>
                <w:rFonts w:ascii="Times New Roman" w:hAnsi="Times New Roman" w:cs="Times New Roman"/>
                <w:sz w:val="20"/>
                <w:szCs w:val="20"/>
              </w:rPr>
              <w:t>)</w:t>
            </w:r>
          </w:p>
        </w:tc>
        <w:tc>
          <w:tcPr>
            <w:tcW w:w="994" w:type="dxa"/>
            <w:tcBorders>
              <w:top w:val="single" w:sz="4" w:space="0" w:color="auto"/>
              <w:left w:val="nil"/>
              <w:bottom w:val="single" w:sz="4" w:space="0" w:color="auto"/>
              <w:right w:val="nil"/>
            </w:tcBorders>
            <w:vAlign w:val="center"/>
          </w:tcPr>
          <w:p w:rsidR="00EF4E30" w:rsidRPr="00EF4E30" w:rsidRDefault="00DF4CFA" w:rsidP="00071C5D">
            <w:pPr>
              <w:ind w:left="-108" w:right="-108"/>
              <w:jc w:val="center"/>
              <w:rPr>
                <w:rFonts w:ascii="Times New Roman" w:hAnsi="Times New Roman" w:cs="Times New Roman"/>
                <w:sz w:val="20"/>
                <w:szCs w:val="20"/>
              </w:rPr>
            </w:pPr>
            <w:r>
              <w:rPr>
                <w:rFonts w:ascii="Times New Roman" w:hAnsi="Times New Roman" w:cs="Times New Roman"/>
                <w:sz w:val="20"/>
                <w:szCs w:val="20"/>
              </w:rPr>
              <w:t>289</w:t>
            </w:r>
            <w:r w:rsidR="007B4A1D">
              <w:rPr>
                <w:rFonts w:ascii="Times New Roman" w:hAnsi="Times New Roman" w:cs="Times New Roman"/>
                <w:sz w:val="20"/>
                <w:szCs w:val="20"/>
              </w:rPr>
              <w:t xml:space="preserve"> (13.</w:t>
            </w:r>
            <w:r>
              <w:rPr>
                <w:rFonts w:ascii="Times New Roman" w:hAnsi="Times New Roman" w:cs="Times New Roman"/>
                <w:sz w:val="20"/>
                <w:szCs w:val="20"/>
              </w:rPr>
              <w:t>2</w:t>
            </w:r>
            <w:r w:rsidR="00EF4E30" w:rsidRPr="00EF4E30">
              <w:rPr>
                <w:rFonts w:ascii="Times New Roman" w:hAnsi="Times New Roman" w:cs="Times New Roman"/>
                <w:sz w:val="20"/>
                <w:szCs w:val="20"/>
              </w:rPr>
              <w:t>)</w:t>
            </w:r>
          </w:p>
        </w:tc>
        <w:tc>
          <w:tcPr>
            <w:tcW w:w="994" w:type="dxa"/>
            <w:tcBorders>
              <w:top w:val="single" w:sz="4" w:space="0" w:color="auto"/>
              <w:left w:val="nil"/>
              <w:bottom w:val="single" w:sz="4" w:space="0" w:color="auto"/>
              <w:right w:val="single" w:sz="4" w:space="0" w:color="auto"/>
            </w:tcBorders>
            <w:vAlign w:val="center"/>
          </w:tcPr>
          <w:p w:rsidR="00EF4E30" w:rsidRPr="00C65955" w:rsidRDefault="00DF4CFA" w:rsidP="00071C5D">
            <w:pPr>
              <w:ind w:left="-108" w:right="-108"/>
              <w:jc w:val="center"/>
              <w:rPr>
                <w:rFonts w:ascii="Times New Roman" w:hAnsi="Times New Roman" w:cs="Times New Roman"/>
                <w:sz w:val="20"/>
                <w:szCs w:val="20"/>
              </w:rPr>
            </w:pPr>
            <w:r>
              <w:rPr>
                <w:rFonts w:ascii="Times New Roman" w:hAnsi="Times New Roman" w:cs="Times New Roman"/>
                <w:sz w:val="20"/>
                <w:szCs w:val="20"/>
              </w:rPr>
              <w:t>61</w:t>
            </w:r>
            <w:r w:rsidR="007B4A1D">
              <w:rPr>
                <w:rFonts w:ascii="Times New Roman" w:hAnsi="Times New Roman" w:cs="Times New Roman"/>
                <w:sz w:val="20"/>
                <w:szCs w:val="20"/>
              </w:rPr>
              <w:t xml:space="preserve"> (2.</w:t>
            </w:r>
            <w:r>
              <w:rPr>
                <w:rFonts w:ascii="Times New Roman" w:hAnsi="Times New Roman" w:cs="Times New Roman"/>
                <w:sz w:val="20"/>
                <w:szCs w:val="20"/>
              </w:rPr>
              <w:t>8</w:t>
            </w:r>
            <w:r w:rsidR="00EF4E30" w:rsidRPr="00C65955">
              <w:rPr>
                <w:rFonts w:ascii="Times New Roman" w:hAnsi="Times New Roman" w:cs="Times New Roman"/>
                <w:sz w:val="20"/>
                <w:szCs w:val="20"/>
              </w:rPr>
              <w:t>)</w:t>
            </w:r>
          </w:p>
        </w:tc>
        <w:tc>
          <w:tcPr>
            <w:tcW w:w="5040" w:type="dxa"/>
            <w:vMerge/>
            <w:tcBorders>
              <w:left w:val="single" w:sz="4" w:space="0" w:color="auto"/>
            </w:tcBorders>
            <w:vAlign w:val="center"/>
          </w:tcPr>
          <w:p w:rsidR="00EF4E30" w:rsidRPr="00902D3A" w:rsidRDefault="00EF4E30" w:rsidP="0090233B">
            <w:pPr>
              <w:ind w:left="-558"/>
              <w:jc w:val="center"/>
              <w:rPr>
                <w:rFonts w:ascii="Times New Roman" w:hAnsi="Times New Roman" w:cs="Times New Roman"/>
                <w:b/>
                <w:color w:val="1F497D" w:themeColor="text2"/>
                <w:sz w:val="24"/>
              </w:rPr>
            </w:pPr>
          </w:p>
        </w:tc>
      </w:tr>
      <w:tr w:rsidR="00EF4E30" w:rsidRPr="00902D3A" w:rsidTr="00B347BC">
        <w:trPr>
          <w:trHeight w:val="260"/>
          <w:jc w:val="center"/>
        </w:trPr>
        <w:tc>
          <w:tcPr>
            <w:tcW w:w="5400" w:type="dxa"/>
            <w:gridSpan w:val="5"/>
            <w:tcBorders>
              <w:top w:val="single" w:sz="4" w:space="0" w:color="auto"/>
              <w:left w:val="single" w:sz="4" w:space="0" w:color="auto"/>
              <w:bottom w:val="nil"/>
              <w:right w:val="single" w:sz="4" w:space="0" w:color="auto"/>
            </w:tcBorders>
            <w:vAlign w:val="center"/>
          </w:tcPr>
          <w:p w:rsidR="00EF4E30" w:rsidRPr="00C65955" w:rsidRDefault="00EF4E30" w:rsidP="00C65955">
            <w:pPr>
              <w:ind w:left="-90"/>
              <w:rPr>
                <w:rFonts w:ascii="Times New Roman" w:hAnsi="Times New Roman" w:cs="Times New Roman"/>
                <w:b/>
                <w:sz w:val="20"/>
              </w:rPr>
            </w:pPr>
            <w:r w:rsidRPr="00C65955">
              <w:rPr>
                <w:rFonts w:ascii="Times New Roman" w:hAnsi="Times New Roman" w:cs="Times New Roman"/>
                <w:b/>
                <w:sz w:val="20"/>
              </w:rPr>
              <w:t>Race/Ethnicity</w:t>
            </w:r>
          </w:p>
        </w:tc>
        <w:tc>
          <w:tcPr>
            <w:tcW w:w="5040" w:type="dxa"/>
            <w:vMerge/>
            <w:tcBorders>
              <w:left w:val="single" w:sz="4" w:space="0" w:color="auto"/>
            </w:tcBorders>
            <w:vAlign w:val="center"/>
          </w:tcPr>
          <w:p w:rsidR="00EF4E30" w:rsidRPr="00902D3A" w:rsidRDefault="00EF4E30" w:rsidP="0090233B">
            <w:pPr>
              <w:ind w:left="-558"/>
              <w:jc w:val="center"/>
              <w:rPr>
                <w:rFonts w:ascii="Times New Roman" w:hAnsi="Times New Roman" w:cs="Times New Roman"/>
                <w:b/>
                <w:color w:val="1F497D" w:themeColor="text2"/>
                <w:sz w:val="24"/>
              </w:rPr>
            </w:pPr>
          </w:p>
        </w:tc>
      </w:tr>
      <w:tr w:rsidR="00C65955" w:rsidRPr="00902D3A" w:rsidTr="00B347BC">
        <w:trPr>
          <w:trHeight w:val="530"/>
          <w:jc w:val="center"/>
        </w:trPr>
        <w:tc>
          <w:tcPr>
            <w:tcW w:w="1425" w:type="dxa"/>
            <w:tcBorders>
              <w:top w:val="nil"/>
              <w:left w:val="single" w:sz="4" w:space="0" w:color="auto"/>
              <w:bottom w:val="nil"/>
              <w:right w:val="nil"/>
            </w:tcBorders>
            <w:vAlign w:val="center"/>
          </w:tcPr>
          <w:p w:rsidR="00C65955" w:rsidRPr="006D78BD" w:rsidRDefault="00071C5D" w:rsidP="00071C5D">
            <w:pPr>
              <w:ind w:left="-90" w:right="-198"/>
              <w:rPr>
                <w:rFonts w:ascii="Times New Roman" w:hAnsi="Times New Roman" w:cs="Times New Roman"/>
                <w:sz w:val="20"/>
              </w:rPr>
            </w:pPr>
            <w:r>
              <w:rPr>
                <w:rFonts w:ascii="Times New Roman" w:hAnsi="Times New Roman" w:cs="Times New Roman"/>
                <w:sz w:val="20"/>
              </w:rPr>
              <w:t>White, non-Hispanic</w:t>
            </w:r>
          </w:p>
        </w:tc>
        <w:tc>
          <w:tcPr>
            <w:tcW w:w="994" w:type="dxa"/>
            <w:tcBorders>
              <w:top w:val="nil"/>
              <w:left w:val="nil"/>
              <w:bottom w:val="nil"/>
              <w:right w:val="nil"/>
            </w:tcBorders>
            <w:vAlign w:val="center"/>
          </w:tcPr>
          <w:p w:rsidR="00C65955" w:rsidRPr="00C65955" w:rsidRDefault="00C65955" w:rsidP="00C65955">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817 (49.8)</w:t>
            </w:r>
          </w:p>
        </w:tc>
        <w:tc>
          <w:tcPr>
            <w:tcW w:w="993" w:type="dxa"/>
            <w:tcBorders>
              <w:top w:val="nil"/>
              <w:left w:val="nil"/>
              <w:bottom w:val="nil"/>
              <w:right w:val="nil"/>
            </w:tcBorders>
            <w:vAlign w:val="center"/>
          </w:tcPr>
          <w:p w:rsidR="00C65955" w:rsidRPr="00C65955" w:rsidRDefault="00C65955" w:rsidP="00C65955">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552 (33.6)</w:t>
            </w:r>
          </w:p>
        </w:tc>
        <w:tc>
          <w:tcPr>
            <w:tcW w:w="994"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232 (14.1)</w:t>
            </w:r>
          </w:p>
        </w:tc>
        <w:tc>
          <w:tcPr>
            <w:tcW w:w="994" w:type="dxa"/>
            <w:tcBorders>
              <w:top w:val="nil"/>
              <w:left w:val="nil"/>
              <w:bottom w:val="nil"/>
              <w:right w:val="single" w:sz="4" w:space="0" w:color="auto"/>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41 (2.5)</w:t>
            </w:r>
          </w:p>
        </w:tc>
        <w:tc>
          <w:tcPr>
            <w:tcW w:w="5040" w:type="dxa"/>
            <w:vMerge/>
            <w:tcBorders>
              <w:left w:val="single" w:sz="4" w:space="0" w:color="auto"/>
            </w:tcBorders>
            <w:vAlign w:val="center"/>
          </w:tcPr>
          <w:p w:rsidR="00C65955" w:rsidRPr="00902D3A" w:rsidRDefault="00C65955" w:rsidP="0090233B">
            <w:pPr>
              <w:ind w:left="-558"/>
              <w:jc w:val="center"/>
              <w:rPr>
                <w:rFonts w:ascii="Times New Roman" w:hAnsi="Times New Roman" w:cs="Times New Roman"/>
                <w:b/>
                <w:color w:val="1F497D" w:themeColor="text2"/>
                <w:sz w:val="24"/>
              </w:rPr>
            </w:pPr>
          </w:p>
        </w:tc>
      </w:tr>
      <w:tr w:rsidR="00C65955" w:rsidRPr="00902D3A" w:rsidTr="00B347BC">
        <w:trPr>
          <w:trHeight w:val="530"/>
          <w:jc w:val="center"/>
        </w:trPr>
        <w:tc>
          <w:tcPr>
            <w:tcW w:w="1425" w:type="dxa"/>
            <w:tcBorders>
              <w:top w:val="nil"/>
              <w:left w:val="single" w:sz="4" w:space="0" w:color="auto"/>
              <w:bottom w:val="nil"/>
              <w:right w:val="nil"/>
            </w:tcBorders>
            <w:vAlign w:val="center"/>
          </w:tcPr>
          <w:p w:rsidR="00C65955" w:rsidRPr="006D78BD" w:rsidRDefault="00071C5D" w:rsidP="00071C5D">
            <w:pPr>
              <w:ind w:left="-90" w:right="-198"/>
              <w:rPr>
                <w:rFonts w:ascii="Times New Roman" w:hAnsi="Times New Roman" w:cs="Times New Roman"/>
                <w:sz w:val="20"/>
              </w:rPr>
            </w:pPr>
            <w:r>
              <w:rPr>
                <w:rFonts w:ascii="Times New Roman" w:hAnsi="Times New Roman" w:cs="Times New Roman"/>
                <w:sz w:val="20"/>
              </w:rPr>
              <w:t>Black, non-Hispanic</w:t>
            </w:r>
          </w:p>
        </w:tc>
        <w:tc>
          <w:tcPr>
            <w:tcW w:w="994"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86 (44.8)</w:t>
            </w:r>
          </w:p>
        </w:tc>
        <w:tc>
          <w:tcPr>
            <w:tcW w:w="993"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66 (34.4)</w:t>
            </w:r>
          </w:p>
        </w:tc>
        <w:tc>
          <w:tcPr>
            <w:tcW w:w="994"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30 (15.6)</w:t>
            </w:r>
          </w:p>
        </w:tc>
        <w:tc>
          <w:tcPr>
            <w:tcW w:w="994" w:type="dxa"/>
            <w:tcBorders>
              <w:top w:val="nil"/>
              <w:left w:val="nil"/>
              <w:bottom w:val="nil"/>
              <w:right w:val="single" w:sz="4" w:space="0" w:color="auto"/>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10 (5.2)</w:t>
            </w:r>
          </w:p>
        </w:tc>
        <w:tc>
          <w:tcPr>
            <w:tcW w:w="5040" w:type="dxa"/>
            <w:vMerge/>
            <w:tcBorders>
              <w:left w:val="single" w:sz="4" w:space="0" w:color="auto"/>
            </w:tcBorders>
            <w:vAlign w:val="center"/>
          </w:tcPr>
          <w:p w:rsidR="00C65955" w:rsidRPr="00902D3A" w:rsidRDefault="00C65955" w:rsidP="0090233B">
            <w:pPr>
              <w:ind w:left="-558"/>
              <w:jc w:val="center"/>
              <w:rPr>
                <w:rFonts w:ascii="Times New Roman" w:hAnsi="Times New Roman" w:cs="Times New Roman"/>
                <w:b/>
                <w:color w:val="1F497D" w:themeColor="text2"/>
                <w:sz w:val="24"/>
              </w:rPr>
            </w:pPr>
          </w:p>
        </w:tc>
      </w:tr>
      <w:tr w:rsidR="00C65955" w:rsidRPr="00902D3A" w:rsidTr="00B347BC">
        <w:trPr>
          <w:trHeight w:val="530"/>
          <w:jc w:val="center"/>
        </w:trPr>
        <w:tc>
          <w:tcPr>
            <w:tcW w:w="1425" w:type="dxa"/>
            <w:tcBorders>
              <w:top w:val="nil"/>
              <w:left w:val="single" w:sz="4" w:space="0" w:color="auto"/>
              <w:bottom w:val="nil"/>
              <w:right w:val="nil"/>
            </w:tcBorders>
            <w:vAlign w:val="center"/>
          </w:tcPr>
          <w:p w:rsidR="00C65955" w:rsidRPr="006D78BD" w:rsidRDefault="00071C5D" w:rsidP="00071C5D">
            <w:pPr>
              <w:ind w:left="-90" w:right="-198"/>
              <w:rPr>
                <w:rFonts w:ascii="Times New Roman" w:hAnsi="Times New Roman" w:cs="Times New Roman"/>
                <w:sz w:val="20"/>
              </w:rPr>
            </w:pPr>
            <w:r>
              <w:rPr>
                <w:rFonts w:ascii="Times New Roman" w:hAnsi="Times New Roman" w:cs="Times New Roman"/>
                <w:sz w:val="20"/>
              </w:rPr>
              <w:t>Asian, non-Hispanic</w:t>
            </w:r>
          </w:p>
        </w:tc>
        <w:tc>
          <w:tcPr>
            <w:tcW w:w="994"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64 (53.8)</w:t>
            </w:r>
          </w:p>
        </w:tc>
        <w:tc>
          <w:tcPr>
            <w:tcW w:w="993"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38 (31.9)</w:t>
            </w:r>
          </w:p>
        </w:tc>
        <w:tc>
          <w:tcPr>
            <w:tcW w:w="994" w:type="dxa"/>
            <w:tcBorders>
              <w:top w:val="nil"/>
              <w:left w:val="nil"/>
              <w:bottom w:val="nil"/>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14 (11.8)</w:t>
            </w:r>
          </w:p>
        </w:tc>
        <w:tc>
          <w:tcPr>
            <w:tcW w:w="994" w:type="dxa"/>
            <w:tcBorders>
              <w:top w:val="nil"/>
              <w:left w:val="nil"/>
              <w:bottom w:val="nil"/>
              <w:right w:val="single" w:sz="4" w:space="0" w:color="auto"/>
            </w:tcBorders>
            <w:vAlign w:val="center"/>
          </w:tcPr>
          <w:p w:rsidR="00C65955" w:rsidRPr="00C65955" w:rsidRDefault="00C65955" w:rsidP="00C65955">
            <w:pPr>
              <w:ind w:left="-108" w:right="-108"/>
              <w:jc w:val="center"/>
              <w:rPr>
                <w:rFonts w:ascii="Times New Roman" w:hAnsi="Times New Roman" w:cs="Times New Roman"/>
                <w:sz w:val="20"/>
                <w:szCs w:val="20"/>
              </w:rPr>
            </w:pPr>
            <w:r>
              <w:rPr>
                <w:rFonts w:ascii="Times New Roman" w:hAnsi="Times New Roman" w:cs="Times New Roman"/>
                <w:sz w:val="20"/>
                <w:szCs w:val="20"/>
              </w:rPr>
              <w:t>-</w:t>
            </w:r>
          </w:p>
        </w:tc>
        <w:tc>
          <w:tcPr>
            <w:tcW w:w="5040" w:type="dxa"/>
            <w:vMerge/>
            <w:tcBorders>
              <w:left w:val="single" w:sz="4" w:space="0" w:color="auto"/>
            </w:tcBorders>
            <w:vAlign w:val="center"/>
          </w:tcPr>
          <w:p w:rsidR="00C65955" w:rsidRPr="00902D3A" w:rsidRDefault="00C65955" w:rsidP="0090233B">
            <w:pPr>
              <w:ind w:left="-558"/>
              <w:jc w:val="center"/>
              <w:rPr>
                <w:rFonts w:ascii="Times New Roman" w:hAnsi="Times New Roman" w:cs="Times New Roman"/>
                <w:b/>
                <w:color w:val="1F497D" w:themeColor="text2"/>
                <w:sz w:val="24"/>
              </w:rPr>
            </w:pPr>
          </w:p>
        </w:tc>
      </w:tr>
      <w:tr w:rsidR="00C65955" w:rsidRPr="00902D3A" w:rsidTr="00B347BC">
        <w:trPr>
          <w:trHeight w:val="530"/>
          <w:jc w:val="center"/>
        </w:trPr>
        <w:tc>
          <w:tcPr>
            <w:tcW w:w="1425" w:type="dxa"/>
            <w:tcBorders>
              <w:top w:val="nil"/>
              <w:left w:val="single" w:sz="4" w:space="0" w:color="auto"/>
              <w:bottom w:val="single" w:sz="4" w:space="0" w:color="auto"/>
              <w:right w:val="nil"/>
            </w:tcBorders>
            <w:vAlign w:val="center"/>
          </w:tcPr>
          <w:p w:rsidR="00C65955" w:rsidRPr="006D78BD" w:rsidRDefault="00C65955" w:rsidP="00071C5D">
            <w:pPr>
              <w:ind w:left="-90" w:right="-104"/>
              <w:rPr>
                <w:rFonts w:ascii="Times New Roman" w:hAnsi="Times New Roman" w:cs="Times New Roman"/>
                <w:sz w:val="20"/>
              </w:rPr>
            </w:pPr>
            <w:r>
              <w:rPr>
                <w:rFonts w:ascii="Times New Roman" w:hAnsi="Times New Roman" w:cs="Times New Roman"/>
                <w:sz w:val="20"/>
              </w:rPr>
              <w:t>Hispanic</w:t>
            </w:r>
          </w:p>
        </w:tc>
        <w:tc>
          <w:tcPr>
            <w:tcW w:w="994" w:type="dxa"/>
            <w:tcBorders>
              <w:top w:val="nil"/>
              <w:left w:val="nil"/>
              <w:bottom w:val="single" w:sz="4" w:space="0" w:color="auto"/>
              <w:right w:val="nil"/>
            </w:tcBorders>
            <w:vAlign w:val="center"/>
          </w:tcPr>
          <w:p w:rsidR="00C65955" w:rsidRPr="00C65955" w:rsidRDefault="00C65955" w:rsidP="00C65955">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110 (56.4)</w:t>
            </w:r>
          </w:p>
        </w:tc>
        <w:tc>
          <w:tcPr>
            <w:tcW w:w="993" w:type="dxa"/>
            <w:tcBorders>
              <w:top w:val="nil"/>
              <w:left w:val="nil"/>
              <w:bottom w:val="single" w:sz="4" w:space="0" w:color="auto"/>
              <w:right w:val="nil"/>
            </w:tcBorders>
            <w:vAlign w:val="center"/>
          </w:tcPr>
          <w:p w:rsidR="00C65955" w:rsidRPr="00C65955" w:rsidRDefault="00C65955" w:rsidP="00071C5D">
            <w:pPr>
              <w:ind w:left="-108" w:right="-108"/>
              <w:jc w:val="center"/>
              <w:rPr>
                <w:rFonts w:ascii="Times New Roman" w:hAnsi="Times New Roman" w:cs="Times New Roman"/>
                <w:sz w:val="20"/>
                <w:szCs w:val="20"/>
              </w:rPr>
            </w:pPr>
            <w:r w:rsidRPr="00C65955">
              <w:rPr>
                <w:rFonts w:ascii="Times New Roman" w:hAnsi="Times New Roman" w:cs="Times New Roman"/>
                <w:sz w:val="20"/>
                <w:szCs w:val="20"/>
              </w:rPr>
              <w:t>73 (37.4)</w:t>
            </w:r>
          </w:p>
        </w:tc>
        <w:tc>
          <w:tcPr>
            <w:tcW w:w="994" w:type="dxa"/>
            <w:tcBorders>
              <w:top w:val="nil"/>
              <w:left w:val="nil"/>
              <w:bottom w:val="single" w:sz="4" w:space="0" w:color="auto"/>
              <w:right w:val="nil"/>
            </w:tcBorders>
            <w:vAlign w:val="center"/>
          </w:tcPr>
          <w:p w:rsidR="00C65955" w:rsidRPr="00C65955" w:rsidRDefault="00C65955" w:rsidP="00C65955">
            <w:pPr>
              <w:ind w:left="-108" w:right="-108"/>
              <w:jc w:val="center"/>
              <w:rPr>
                <w:rFonts w:ascii="Times New Roman" w:hAnsi="Times New Roman" w:cs="Times New Roman"/>
                <w:sz w:val="20"/>
                <w:szCs w:val="20"/>
              </w:rPr>
            </w:pPr>
            <w:r>
              <w:rPr>
                <w:rFonts w:ascii="Times New Roman" w:hAnsi="Times New Roman" w:cs="Times New Roman"/>
                <w:sz w:val="20"/>
                <w:szCs w:val="20"/>
              </w:rPr>
              <w:t>-</w:t>
            </w:r>
          </w:p>
        </w:tc>
        <w:tc>
          <w:tcPr>
            <w:tcW w:w="994" w:type="dxa"/>
            <w:tcBorders>
              <w:top w:val="nil"/>
              <w:left w:val="nil"/>
              <w:bottom w:val="single" w:sz="4" w:space="0" w:color="auto"/>
              <w:right w:val="single" w:sz="4" w:space="0" w:color="auto"/>
            </w:tcBorders>
            <w:vAlign w:val="center"/>
          </w:tcPr>
          <w:p w:rsidR="00C65955" w:rsidRPr="00C65955" w:rsidRDefault="00C65955" w:rsidP="00C65955">
            <w:pPr>
              <w:ind w:left="-108" w:right="-108"/>
              <w:jc w:val="center"/>
              <w:rPr>
                <w:rFonts w:ascii="Times New Roman" w:hAnsi="Times New Roman" w:cs="Times New Roman"/>
                <w:sz w:val="20"/>
                <w:szCs w:val="20"/>
              </w:rPr>
            </w:pPr>
            <w:r>
              <w:rPr>
                <w:rFonts w:ascii="Times New Roman" w:hAnsi="Times New Roman" w:cs="Times New Roman"/>
                <w:sz w:val="20"/>
                <w:szCs w:val="20"/>
              </w:rPr>
              <w:t>-</w:t>
            </w:r>
          </w:p>
        </w:tc>
        <w:tc>
          <w:tcPr>
            <w:tcW w:w="5040" w:type="dxa"/>
            <w:vMerge/>
            <w:tcBorders>
              <w:left w:val="single" w:sz="4" w:space="0" w:color="auto"/>
            </w:tcBorders>
            <w:vAlign w:val="center"/>
          </w:tcPr>
          <w:p w:rsidR="00C65955" w:rsidRPr="00902D3A" w:rsidRDefault="00C65955" w:rsidP="0090233B">
            <w:pPr>
              <w:ind w:left="-558"/>
              <w:jc w:val="center"/>
              <w:rPr>
                <w:rFonts w:ascii="Times New Roman" w:hAnsi="Times New Roman" w:cs="Times New Roman"/>
                <w:b/>
                <w:color w:val="1F497D" w:themeColor="text2"/>
                <w:sz w:val="24"/>
              </w:rPr>
            </w:pPr>
          </w:p>
        </w:tc>
      </w:tr>
      <w:tr w:rsidR="00C65955" w:rsidRPr="008358B2" w:rsidTr="00B347BC">
        <w:trPr>
          <w:trHeight w:val="602"/>
          <w:jc w:val="center"/>
        </w:trPr>
        <w:tc>
          <w:tcPr>
            <w:tcW w:w="10440" w:type="dxa"/>
            <w:gridSpan w:val="6"/>
            <w:tcBorders>
              <w:top w:val="single" w:sz="4" w:space="0" w:color="auto"/>
            </w:tcBorders>
            <w:vAlign w:val="center"/>
          </w:tcPr>
          <w:p w:rsidR="00C65955" w:rsidRDefault="00024E0D" w:rsidP="00024E0D">
            <w:pPr>
              <w:rPr>
                <w:rFonts w:ascii="Times New Roman" w:hAnsi="Times New Roman" w:cs="Times New Roman"/>
                <w:sz w:val="20"/>
              </w:rPr>
            </w:pPr>
            <w:r>
              <w:rPr>
                <w:rFonts w:ascii="Times New Roman" w:hAnsi="Times New Roman" w:cs="Times New Roman"/>
                <w:sz w:val="20"/>
              </w:rPr>
              <w:t>^Based on SEER summary staging;</w:t>
            </w:r>
            <w:r w:rsidR="00C65955">
              <w:rPr>
                <w:rFonts w:ascii="Times New Roman" w:hAnsi="Times New Roman" w:cs="Times New Roman"/>
                <w:sz w:val="20"/>
              </w:rPr>
              <w:t xml:space="preserve"> </w:t>
            </w:r>
            <w:r>
              <w:rPr>
                <w:rFonts w:ascii="Times New Roman" w:hAnsi="Times New Roman" w:cs="Times New Roman"/>
                <w:sz w:val="20"/>
              </w:rPr>
              <w:t xml:space="preserve">N = number; </w:t>
            </w:r>
            <w:r w:rsidR="007B4A1D">
              <w:rPr>
                <w:rFonts w:ascii="Times New Roman" w:hAnsi="Times New Roman" w:cs="Times New Roman"/>
                <w:sz w:val="20"/>
              </w:rPr>
              <w:t xml:space="preserve">percentages may not add up to 100% due to </w:t>
            </w:r>
            <w:r w:rsidR="00DF4CFA">
              <w:rPr>
                <w:rFonts w:ascii="Times New Roman" w:hAnsi="Times New Roman" w:cs="Times New Roman"/>
                <w:sz w:val="20"/>
              </w:rPr>
              <w:t>rounding</w:t>
            </w:r>
            <w:r>
              <w:rPr>
                <w:rFonts w:ascii="Times New Roman" w:hAnsi="Times New Roman" w:cs="Times New Roman"/>
                <w:sz w:val="20"/>
              </w:rPr>
              <w:t>;</w:t>
            </w:r>
            <w:r w:rsidR="00DF4CFA">
              <w:rPr>
                <w:rFonts w:ascii="Times New Roman" w:hAnsi="Times New Roman" w:cs="Times New Roman"/>
                <w:sz w:val="20"/>
              </w:rPr>
              <w:t xml:space="preserve"> </w:t>
            </w:r>
            <w:r w:rsidR="00C65955">
              <w:rPr>
                <w:rFonts w:ascii="Times New Roman" w:hAnsi="Times New Roman" w:cs="Times New Roman"/>
                <w:sz w:val="20"/>
              </w:rPr>
              <w:t xml:space="preserve">45 </w:t>
            </w:r>
            <w:r w:rsidR="007B4A1D">
              <w:rPr>
                <w:rFonts w:ascii="Times New Roman" w:hAnsi="Times New Roman" w:cs="Times New Roman"/>
                <w:sz w:val="20"/>
              </w:rPr>
              <w:t xml:space="preserve">cases </w:t>
            </w:r>
            <w:r w:rsidR="00DF4CFA">
              <w:rPr>
                <w:rFonts w:ascii="Times New Roman" w:hAnsi="Times New Roman" w:cs="Times New Roman"/>
                <w:sz w:val="20"/>
              </w:rPr>
              <w:t xml:space="preserve">with unknown </w:t>
            </w:r>
            <w:r w:rsidR="007B4A1D">
              <w:rPr>
                <w:rFonts w:ascii="Times New Roman" w:hAnsi="Times New Roman" w:cs="Times New Roman"/>
                <w:sz w:val="20"/>
              </w:rPr>
              <w:t>race/ethnicity</w:t>
            </w:r>
            <w:r>
              <w:rPr>
                <w:rFonts w:ascii="Times New Roman" w:hAnsi="Times New Roman" w:cs="Times New Roman"/>
                <w:sz w:val="20"/>
              </w:rPr>
              <w:t>;</w:t>
            </w:r>
            <w:r w:rsidR="00C65955">
              <w:rPr>
                <w:rFonts w:ascii="Times New Roman" w:hAnsi="Times New Roman" w:cs="Times New Roman"/>
                <w:sz w:val="20"/>
              </w:rPr>
              <w:t xml:space="preserve"> cells with less than 10 observations not shown</w:t>
            </w:r>
            <w:r>
              <w:rPr>
                <w:rFonts w:ascii="Times New Roman" w:hAnsi="Times New Roman" w:cs="Times New Roman"/>
                <w:sz w:val="20"/>
              </w:rPr>
              <w:t>;</w:t>
            </w:r>
            <w:r w:rsidR="00C65955">
              <w:rPr>
                <w:rFonts w:ascii="Times New Roman" w:hAnsi="Times New Roman" w:cs="Times New Roman"/>
                <w:sz w:val="20"/>
              </w:rPr>
              <w:t xml:space="preserve"> Data source: Massachusetts Cancer Registry</w:t>
            </w:r>
          </w:p>
        </w:tc>
      </w:tr>
    </w:tbl>
    <w:p w:rsidR="00EF4E30" w:rsidRDefault="00EF4E30" w:rsidP="00EF4E30">
      <w:pPr>
        <w:spacing w:after="0" w:line="240" w:lineRule="auto"/>
        <w:rPr>
          <w:rFonts w:ascii="Times New Roman" w:hAnsi="Times New Roman" w:cs="Times New Roman"/>
          <w:sz w:val="24"/>
        </w:rPr>
      </w:pPr>
    </w:p>
    <w:p w:rsidR="00F56380" w:rsidRPr="00EF4E30" w:rsidRDefault="00F56380" w:rsidP="00EF4E30">
      <w:pPr>
        <w:spacing w:after="0" w:line="240" w:lineRule="auto"/>
        <w:rPr>
          <w:rFonts w:ascii="Times New Roman" w:hAnsi="Times New Roman" w:cs="Times New Roman"/>
          <w:sz w:val="24"/>
        </w:rPr>
      </w:pPr>
    </w:p>
    <w:p w:rsidR="0078556D" w:rsidRDefault="0078556D" w:rsidP="00EF4E30">
      <w:pPr>
        <w:pStyle w:val="ListParagraph"/>
        <w:numPr>
          <w:ilvl w:val="0"/>
          <w:numId w:val="4"/>
        </w:numPr>
        <w:spacing w:after="0" w:line="240" w:lineRule="auto"/>
        <w:ind w:left="180" w:hanging="180"/>
        <w:rPr>
          <w:rFonts w:ascii="Times New Roman" w:hAnsi="Times New Roman" w:cs="Times New Roman"/>
          <w:sz w:val="24"/>
        </w:rPr>
        <w:sectPr w:rsidR="0078556D" w:rsidSect="00A02173">
          <w:type w:val="continuous"/>
          <w:pgSz w:w="12240" w:h="15840"/>
          <w:pgMar w:top="864" w:right="864" w:bottom="864" w:left="864" w:header="720" w:footer="720" w:gutter="0"/>
          <w:cols w:space="720"/>
          <w:docGrid w:linePitch="360"/>
        </w:sectPr>
      </w:pPr>
    </w:p>
    <w:p w:rsidR="00EF4E30" w:rsidRDefault="00E30FD2" w:rsidP="00EF4E30">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Fifty percent</w:t>
      </w:r>
      <w:r w:rsidR="00EF4E30">
        <w:rPr>
          <w:rFonts w:ascii="Times New Roman" w:hAnsi="Times New Roman" w:cs="Times New Roman"/>
          <w:sz w:val="24"/>
        </w:rPr>
        <w:t xml:space="preserve"> of </w:t>
      </w:r>
      <w:r w:rsidR="008571F5">
        <w:rPr>
          <w:rFonts w:ascii="Times New Roman" w:hAnsi="Times New Roman" w:cs="Times New Roman"/>
          <w:sz w:val="24"/>
        </w:rPr>
        <w:t>females</w:t>
      </w:r>
      <w:r w:rsidR="00EF4E30">
        <w:rPr>
          <w:rFonts w:ascii="Times New Roman" w:hAnsi="Times New Roman" w:cs="Times New Roman"/>
          <w:sz w:val="24"/>
        </w:rPr>
        <w:t xml:space="preserve"> with cervical cancer in Massachusetts were diagn</w:t>
      </w:r>
      <w:r w:rsidR="00104C4B">
        <w:rPr>
          <w:rFonts w:ascii="Times New Roman" w:hAnsi="Times New Roman" w:cs="Times New Roman"/>
          <w:sz w:val="24"/>
        </w:rPr>
        <w:t>osed with stage I di</w:t>
      </w:r>
      <w:r w:rsidR="00DF4CFA">
        <w:rPr>
          <w:rFonts w:ascii="Times New Roman" w:hAnsi="Times New Roman" w:cs="Times New Roman"/>
          <w:sz w:val="24"/>
        </w:rPr>
        <w:t>sease from 2004 to 2014. Only 16.0</w:t>
      </w:r>
      <w:r w:rsidR="00104C4B">
        <w:rPr>
          <w:rFonts w:ascii="Times New Roman" w:hAnsi="Times New Roman" w:cs="Times New Roman"/>
          <w:sz w:val="24"/>
        </w:rPr>
        <w:t>%</w:t>
      </w:r>
      <w:r w:rsidR="00EF4E30">
        <w:rPr>
          <w:rFonts w:ascii="Times New Roman" w:hAnsi="Times New Roman" w:cs="Times New Roman"/>
          <w:sz w:val="24"/>
        </w:rPr>
        <w:t xml:space="preserve"> </w:t>
      </w:r>
      <w:r w:rsidR="00104C4B">
        <w:rPr>
          <w:rFonts w:ascii="Times New Roman" w:hAnsi="Times New Roman" w:cs="Times New Roman"/>
          <w:sz w:val="24"/>
        </w:rPr>
        <w:t xml:space="preserve">of </w:t>
      </w:r>
      <w:r w:rsidR="008571F5">
        <w:rPr>
          <w:rFonts w:ascii="Times New Roman" w:hAnsi="Times New Roman" w:cs="Times New Roman"/>
          <w:sz w:val="24"/>
        </w:rPr>
        <w:t>females</w:t>
      </w:r>
      <w:r w:rsidR="00104C4B">
        <w:rPr>
          <w:rFonts w:ascii="Times New Roman" w:hAnsi="Times New Roman" w:cs="Times New Roman"/>
          <w:sz w:val="24"/>
        </w:rPr>
        <w:t xml:space="preserve"> </w:t>
      </w:r>
      <w:r w:rsidR="00EF4E30">
        <w:rPr>
          <w:rFonts w:ascii="Times New Roman" w:hAnsi="Times New Roman" w:cs="Times New Roman"/>
          <w:sz w:val="24"/>
        </w:rPr>
        <w:t xml:space="preserve">were diagnosed with stage III or IV disease. </w:t>
      </w:r>
    </w:p>
    <w:p w:rsidR="00EF4E30" w:rsidRDefault="00EF4E30" w:rsidP="00EF4E30">
      <w:pPr>
        <w:pStyle w:val="ListParagraph"/>
        <w:spacing w:after="0" w:line="240" w:lineRule="auto"/>
        <w:ind w:left="180"/>
        <w:rPr>
          <w:rFonts w:ascii="Times New Roman" w:hAnsi="Times New Roman" w:cs="Times New Roman"/>
          <w:sz w:val="24"/>
        </w:rPr>
      </w:pPr>
    </w:p>
    <w:p w:rsidR="00F56380" w:rsidRDefault="00F56380" w:rsidP="00EF4E30">
      <w:pPr>
        <w:pStyle w:val="ListParagraph"/>
        <w:numPr>
          <w:ilvl w:val="0"/>
          <w:numId w:val="4"/>
        </w:numPr>
        <w:spacing w:after="0" w:line="240" w:lineRule="auto"/>
        <w:ind w:left="180" w:hanging="180"/>
        <w:rPr>
          <w:rFonts w:ascii="Times New Roman" w:hAnsi="Times New Roman" w:cs="Times New Roman"/>
          <w:sz w:val="24"/>
        </w:rPr>
      </w:pPr>
      <w:r w:rsidRPr="002B4414">
        <w:rPr>
          <w:rFonts w:ascii="Times New Roman" w:hAnsi="Times New Roman" w:cs="Times New Roman"/>
          <w:noProof/>
          <w:sz w:val="24"/>
        </w:rPr>
        <w:drawing>
          <wp:anchor distT="0" distB="0" distL="114300" distR="114300" simplePos="0" relativeHeight="251677696" behindDoc="0" locked="0" layoutInCell="1" allowOverlap="1" wp14:anchorId="6DD891BC" wp14:editId="285BCAF7">
            <wp:simplePos x="0" y="0"/>
            <wp:positionH relativeFrom="column">
              <wp:posOffset>3375660</wp:posOffset>
            </wp:positionH>
            <wp:positionV relativeFrom="paragraph">
              <wp:posOffset>23495</wp:posOffset>
            </wp:positionV>
            <wp:extent cx="3302000" cy="3352800"/>
            <wp:effectExtent l="0" t="0" r="12700" b="19050"/>
            <wp:wrapSquare wrapText="bothSides"/>
            <wp:docPr id="4" name="Chart 4" descr="The stage at diagnosis in Massachsuetts is compared to the stage at diagnosis in the US. 50% of MA cases are local compared to 46% of US cases. 47% of MA cases are regional compared to 36% of US cases. 3% of MA cases are distant compared to 14% of US cases. Data for the US are from the SEER registry." title="Figure 5. Cervical Cancer Stage at Diagnosis, Massachusetts 2006-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24E0D">
        <w:rPr>
          <w:rFonts w:ascii="Times New Roman" w:hAnsi="Times New Roman" w:cs="Times New Roman"/>
          <w:sz w:val="24"/>
        </w:rPr>
        <w:t xml:space="preserve"> Hispanic </w:t>
      </w:r>
      <w:r w:rsidR="008571F5">
        <w:rPr>
          <w:rFonts w:ascii="Times New Roman" w:hAnsi="Times New Roman" w:cs="Times New Roman"/>
          <w:sz w:val="24"/>
        </w:rPr>
        <w:t>females</w:t>
      </w:r>
      <w:r w:rsidR="00EF4E30">
        <w:rPr>
          <w:rFonts w:ascii="Times New Roman" w:hAnsi="Times New Roman" w:cs="Times New Roman"/>
          <w:sz w:val="24"/>
        </w:rPr>
        <w:t xml:space="preserve"> were more likely to be diagnosed with stage I or II disease when co</w:t>
      </w:r>
      <w:r w:rsidR="00024E0D">
        <w:rPr>
          <w:rFonts w:ascii="Times New Roman" w:hAnsi="Times New Roman" w:cs="Times New Roman"/>
          <w:sz w:val="24"/>
        </w:rPr>
        <w:t xml:space="preserve">mpared with white, non-Hispanic </w:t>
      </w:r>
      <w:r w:rsidR="008571F5">
        <w:rPr>
          <w:rFonts w:ascii="Times New Roman" w:hAnsi="Times New Roman" w:cs="Times New Roman"/>
          <w:sz w:val="24"/>
        </w:rPr>
        <w:t>females</w:t>
      </w:r>
      <w:r w:rsidR="00EF4E30">
        <w:rPr>
          <w:rFonts w:ascii="Times New Roman" w:hAnsi="Times New Roman" w:cs="Times New Roman"/>
          <w:sz w:val="24"/>
        </w:rPr>
        <w:t xml:space="preserve"> (93.8% vs 83.4% respectively). </w:t>
      </w:r>
    </w:p>
    <w:p w:rsidR="00F56380" w:rsidRPr="00F56380" w:rsidRDefault="00F56380" w:rsidP="00F56380">
      <w:pPr>
        <w:pStyle w:val="ListParagraph"/>
        <w:rPr>
          <w:rFonts w:ascii="Times New Roman" w:hAnsi="Times New Roman" w:cs="Times New Roman"/>
          <w:sz w:val="24"/>
        </w:rPr>
      </w:pPr>
    </w:p>
    <w:p w:rsidR="00F74BA4" w:rsidRDefault="00EF4E30" w:rsidP="00EF4E30">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Black, non-Hispanic</w:t>
      </w:r>
      <w:r w:rsidR="00024E0D">
        <w:rPr>
          <w:rFonts w:ascii="Times New Roman" w:hAnsi="Times New Roman" w:cs="Times New Roman"/>
          <w:sz w:val="24"/>
        </w:rPr>
        <w:t xml:space="preserve"> </w:t>
      </w:r>
      <w:r w:rsidR="008571F5">
        <w:rPr>
          <w:rFonts w:ascii="Times New Roman" w:hAnsi="Times New Roman" w:cs="Times New Roman"/>
          <w:sz w:val="24"/>
        </w:rPr>
        <w:t>females</w:t>
      </w:r>
      <w:r>
        <w:rPr>
          <w:rFonts w:ascii="Times New Roman" w:hAnsi="Times New Roman" w:cs="Times New Roman"/>
          <w:sz w:val="24"/>
        </w:rPr>
        <w:t xml:space="preserve"> were less likely to be diagnosed with stage I or II disease when compared with white, non-Hispani</w:t>
      </w:r>
      <w:r w:rsidR="00024E0D">
        <w:rPr>
          <w:rFonts w:ascii="Times New Roman" w:hAnsi="Times New Roman" w:cs="Times New Roman"/>
          <w:sz w:val="24"/>
        </w:rPr>
        <w:t xml:space="preserve">c </w:t>
      </w:r>
      <w:r w:rsidR="008571F5">
        <w:rPr>
          <w:rFonts w:ascii="Times New Roman" w:hAnsi="Times New Roman" w:cs="Times New Roman"/>
          <w:sz w:val="24"/>
        </w:rPr>
        <w:t>females</w:t>
      </w:r>
      <w:r w:rsidR="00024E0D">
        <w:rPr>
          <w:rFonts w:ascii="Times New Roman" w:hAnsi="Times New Roman" w:cs="Times New Roman"/>
          <w:sz w:val="24"/>
        </w:rPr>
        <w:t xml:space="preserve"> (79.2% vs 83.4% respectively</w:t>
      </w:r>
      <w:r w:rsidR="0072570B">
        <w:rPr>
          <w:rFonts w:ascii="Times New Roman" w:hAnsi="Times New Roman" w:cs="Times New Roman"/>
          <w:sz w:val="24"/>
        </w:rPr>
        <w:t>)</w:t>
      </w:r>
      <w:r>
        <w:rPr>
          <w:rFonts w:ascii="Times New Roman" w:hAnsi="Times New Roman" w:cs="Times New Roman"/>
          <w:sz w:val="24"/>
        </w:rPr>
        <w:t>.</w:t>
      </w:r>
    </w:p>
    <w:p w:rsidR="00F74BA4" w:rsidRPr="00F74BA4" w:rsidRDefault="00F74BA4" w:rsidP="00F74BA4">
      <w:pPr>
        <w:pStyle w:val="ListParagraph"/>
        <w:rPr>
          <w:rFonts w:ascii="Times New Roman" w:hAnsi="Times New Roman" w:cs="Times New Roman"/>
          <w:sz w:val="24"/>
        </w:rPr>
      </w:pPr>
    </w:p>
    <w:p w:rsidR="00F74BA4" w:rsidRDefault="00071C5D" w:rsidP="00F74BA4">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There was a 4.3% annual decrease in the incidence rate of stage I cervical cancer from 2004-2014 in Massachusetts</w:t>
      </w:r>
      <w:r w:rsidR="00024E0D">
        <w:rPr>
          <w:rFonts w:ascii="Times New Roman" w:hAnsi="Times New Roman" w:cs="Times New Roman"/>
          <w:sz w:val="24"/>
        </w:rPr>
        <w:t>, with statistical significance</w:t>
      </w:r>
      <w:r>
        <w:rPr>
          <w:rFonts w:ascii="Times New Roman" w:hAnsi="Times New Roman" w:cs="Times New Roman"/>
          <w:sz w:val="24"/>
        </w:rPr>
        <w:t xml:space="preserve">. While all other stages saw annual decreases, none of them were </w:t>
      </w:r>
      <w:r w:rsidR="0072570B">
        <w:rPr>
          <w:rFonts w:ascii="Times New Roman" w:hAnsi="Times New Roman" w:cs="Times New Roman"/>
          <w:sz w:val="24"/>
        </w:rPr>
        <w:t xml:space="preserve">statistically </w:t>
      </w:r>
      <w:r>
        <w:rPr>
          <w:rFonts w:ascii="Times New Roman" w:hAnsi="Times New Roman" w:cs="Times New Roman"/>
          <w:sz w:val="24"/>
        </w:rPr>
        <w:t>significant (stage II: -0.3%, stage III -0.9%, stage IV -4</w:t>
      </w:r>
      <w:r w:rsidR="00F74BA4">
        <w:rPr>
          <w:rFonts w:ascii="Times New Roman" w:hAnsi="Times New Roman" w:cs="Times New Roman"/>
          <w:sz w:val="24"/>
        </w:rPr>
        <w:t>.3%).</w:t>
      </w:r>
    </w:p>
    <w:p w:rsidR="00321242" w:rsidRPr="00321242" w:rsidRDefault="00321242" w:rsidP="00321242">
      <w:pPr>
        <w:pStyle w:val="ListParagraph"/>
        <w:rPr>
          <w:rFonts w:ascii="Times New Roman" w:hAnsi="Times New Roman" w:cs="Times New Roman"/>
          <w:sz w:val="24"/>
        </w:rPr>
      </w:pPr>
    </w:p>
    <w:p w:rsidR="00321242" w:rsidRDefault="00321242" w:rsidP="00321242">
      <w:pPr>
        <w:pStyle w:val="ListParagraph"/>
        <w:spacing w:after="0" w:line="240" w:lineRule="auto"/>
        <w:ind w:left="180"/>
        <w:rPr>
          <w:rFonts w:ascii="Times New Roman" w:hAnsi="Times New Roman" w:cs="Times New Roman"/>
          <w:sz w:val="24"/>
        </w:rPr>
      </w:pPr>
    </w:p>
    <w:p w:rsidR="00F74BA4" w:rsidRPr="00F74BA4" w:rsidRDefault="00F56380" w:rsidP="00F74BA4">
      <w:pPr>
        <w:pStyle w:val="ListParagraph"/>
        <w:numPr>
          <w:ilvl w:val="0"/>
          <w:numId w:val="4"/>
        </w:numPr>
        <w:spacing w:after="0" w:line="240" w:lineRule="auto"/>
        <w:ind w:left="180" w:hanging="180"/>
        <w:rPr>
          <w:rFonts w:ascii="Times New Roman" w:hAnsi="Times New Roman" w:cs="Times New Roman"/>
          <w:sz w:val="24"/>
        </w:rPr>
      </w:pPr>
      <w:r>
        <w:rPr>
          <w:rFonts w:ascii="Times New Roman" w:hAnsi="Times New Roman" w:cs="Times New Roman"/>
          <w:sz w:val="24"/>
        </w:rPr>
        <w:t>F</w:t>
      </w:r>
      <w:r w:rsidR="00F74BA4" w:rsidRPr="00F74BA4">
        <w:rPr>
          <w:rFonts w:ascii="Times New Roman" w:hAnsi="Times New Roman" w:cs="Times New Roman"/>
          <w:sz w:val="24"/>
        </w:rPr>
        <w:t>ewer females in Massachusetts were diagnosed at a distant stage when compared to the United States</w:t>
      </w:r>
      <w:r w:rsidR="00F74BA4">
        <w:rPr>
          <w:rFonts w:ascii="Times New Roman" w:hAnsi="Times New Roman" w:cs="Times New Roman"/>
          <w:sz w:val="24"/>
        </w:rPr>
        <w:t xml:space="preserve"> from 2006-2012 (Distant stage: MA=3%, US=14%</w:t>
      </w:r>
      <w:r w:rsidR="00F74BA4" w:rsidRPr="00F74BA4">
        <w:rPr>
          <w:rFonts w:ascii="Times New Roman" w:hAnsi="Times New Roman" w:cs="Times New Roman"/>
          <w:sz w:val="24"/>
        </w:rPr>
        <w:t>).</w:t>
      </w:r>
      <w:r w:rsidR="00135BFF">
        <w:rPr>
          <w:rFonts w:ascii="Times New Roman" w:hAnsi="Times New Roman" w:cs="Times New Roman"/>
          <w:sz w:val="24"/>
          <w:vertAlign w:val="superscript"/>
        </w:rPr>
        <w:t>3</w:t>
      </w:r>
    </w:p>
    <w:p w:rsidR="00B6199B" w:rsidRDefault="00B6199B" w:rsidP="00F74BA4">
      <w:pPr>
        <w:spacing w:after="0" w:line="240" w:lineRule="auto"/>
        <w:rPr>
          <w:rFonts w:ascii="Times New Roman" w:hAnsi="Times New Roman" w:cs="Times New Roman"/>
          <w:sz w:val="24"/>
        </w:rPr>
        <w:sectPr w:rsidR="00B6199B" w:rsidSect="00F56380">
          <w:type w:val="continuous"/>
          <w:pgSz w:w="12240" w:h="15840"/>
          <w:pgMar w:top="864" w:right="864" w:bottom="864" w:left="864" w:header="720" w:footer="720" w:gutter="0"/>
          <w:cols w:num="2" w:space="288"/>
          <w:docGrid w:linePitch="360"/>
        </w:sectPr>
      </w:pPr>
    </w:p>
    <w:p w:rsidR="00F56380" w:rsidRDefault="00F56380" w:rsidP="00F74BA4">
      <w:pPr>
        <w:spacing w:after="0" w:line="240" w:lineRule="auto"/>
        <w:rPr>
          <w:rFonts w:ascii="Times New Roman" w:hAnsi="Times New Roman" w:cs="Times New Roman"/>
          <w:sz w:val="24"/>
        </w:rPr>
      </w:pPr>
    </w:p>
    <w:p w:rsidR="00F56380" w:rsidRDefault="00F56380" w:rsidP="00F74BA4">
      <w:pPr>
        <w:spacing w:after="0" w:line="240" w:lineRule="auto"/>
        <w:rPr>
          <w:rFonts w:ascii="Times New Roman" w:hAnsi="Times New Roman" w:cs="Times New Roman"/>
          <w:sz w:val="24"/>
        </w:rPr>
      </w:pPr>
    </w:p>
    <w:p w:rsidR="00B347BC" w:rsidRDefault="00B347BC" w:rsidP="00F74BA4">
      <w:pPr>
        <w:spacing w:after="0" w:line="240" w:lineRule="auto"/>
        <w:rPr>
          <w:rFonts w:ascii="Times New Roman" w:hAnsi="Times New Roman" w:cs="Times New Roman"/>
          <w:sz w:val="24"/>
        </w:rPr>
      </w:pPr>
    </w:p>
    <w:tbl>
      <w:tblPr>
        <w:tblStyle w:val="TableGrid"/>
        <w:tblW w:w="10440" w:type="dxa"/>
        <w:jc w:val="center"/>
        <w:tblLook w:val="04A0" w:firstRow="1" w:lastRow="0" w:firstColumn="1" w:lastColumn="0" w:noHBand="0" w:noVBand="1"/>
      </w:tblPr>
      <w:tblGrid>
        <w:gridCol w:w="2250"/>
        <w:gridCol w:w="1614"/>
        <w:gridCol w:w="1924"/>
        <w:gridCol w:w="1772"/>
        <w:gridCol w:w="2880"/>
      </w:tblGrid>
      <w:tr w:rsidR="00E23D1D" w:rsidTr="00B347BC">
        <w:trPr>
          <w:trHeight w:val="423"/>
          <w:jc w:val="center"/>
        </w:trPr>
        <w:tc>
          <w:tcPr>
            <w:tcW w:w="10440" w:type="dxa"/>
            <w:gridSpan w:val="5"/>
            <w:tcBorders>
              <w:top w:val="nil"/>
              <w:left w:val="nil"/>
              <w:right w:val="nil"/>
            </w:tcBorders>
            <w:vAlign w:val="center"/>
          </w:tcPr>
          <w:p w:rsidR="00E23D1D" w:rsidRPr="00902D3A" w:rsidRDefault="00DF4CFA" w:rsidP="0090233B">
            <w:pPr>
              <w:rPr>
                <w:rFonts w:ascii="Times New Roman" w:hAnsi="Times New Roman" w:cs="Times New Roman"/>
                <w:b/>
                <w:color w:val="1F497D" w:themeColor="text2"/>
                <w:sz w:val="24"/>
              </w:rPr>
            </w:pPr>
            <w:r>
              <w:rPr>
                <w:rFonts w:ascii="Times New Roman" w:hAnsi="Times New Roman" w:cs="Times New Roman"/>
                <w:b/>
                <w:color w:val="1F497D" w:themeColor="text2"/>
                <w:sz w:val="24"/>
              </w:rPr>
              <w:t>CERVICAL CANCER INCIDENCE</w:t>
            </w:r>
            <w:r w:rsidR="00E23D1D">
              <w:rPr>
                <w:rFonts w:ascii="Times New Roman" w:hAnsi="Times New Roman" w:cs="Times New Roman"/>
                <w:b/>
                <w:color w:val="1F497D" w:themeColor="text2"/>
                <w:sz w:val="24"/>
              </w:rPr>
              <w:t xml:space="preserve"> ATTRIBUTABLE TO HPV</w:t>
            </w:r>
          </w:p>
        </w:tc>
      </w:tr>
      <w:tr w:rsidR="00E23D1D" w:rsidTr="00B347BC">
        <w:trPr>
          <w:trHeight w:val="557"/>
          <w:jc w:val="center"/>
        </w:trPr>
        <w:tc>
          <w:tcPr>
            <w:tcW w:w="10440" w:type="dxa"/>
            <w:gridSpan w:val="5"/>
            <w:tcBorders>
              <w:bottom w:val="single" w:sz="4" w:space="0" w:color="auto"/>
            </w:tcBorders>
            <w:vAlign w:val="center"/>
          </w:tcPr>
          <w:p w:rsidR="00E23D1D" w:rsidRPr="00902D3A" w:rsidRDefault="00E23D1D" w:rsidP="00E23D1D">
            <w:pPr>
              <w:rPr>
                <w:rFonts w:ascii="Times New Roman" w:hAnsi="Times New Roman" w:cs="Times New Roman"/>
                <w:b/>
                <w:color w:val="1F497D" w:themeColor="text2"/>
                <w:sz w:val="24"/>
              </w:rPr>
            </w:pPr>
            <w:r>
              <w:rPr>
                <w:rFonts w:ascii="Times New Roman" w:hAnsi="Times New Roman" w:cs="Times New Roman"/>
                <w:b/>
                <w:color w:val="1F497D" w:themeColor="text2"/>
                <w:sz w:val="24"/>
              </w:rPr>
              <w:t>Table 2</w:t>
            </w:r>
            <w:r w:rsidRPr="00902D3A">
              <w:rPr>
                <w:rFonts w:ascii="Times New Roman" w:hAnsi="Times New Roman" w:cs="Times New Roman"/>
                <w:b/>
                <w:color w:val="1F497D" w:themeColor="text2"/>
                <w:sz w:val="24"/>
              </w:rPr>
              <w:t xml:space="preserve">. </w:t>
            </w:r>
            <w:r>
              <w:rPr>
                <w:rFonts w:ascii="Times New Roman" w:hAnsi="Times New Roman" w:cs="Times New Roman"/>
                <w:b/>
                <w:color w:val="1F497D" w:themeColor="text2"/>
                <w:sz w:val="24"/>
              </w:rPr>
              <w:t xml:space="preserve">Estimated annual average number of cervical cancer cases attributable to HPV, Massachusetts, 2004-2014 </w:t>
            </w:r>
          </w:p>
        </w:tc>
      </w:tr>
      <w:tr w:rsidR="00B6199B" w:rsidTr="00B347BC">
        <w:trPr>
          <w:trHeight w:val="413"/>
          <w:jc w:val="center"/>
        </w:trPr>
        <w:tc>
          <w:tcPr>
            <w:tcW w:w="2250" w:type="dxa"/>
            <w:vMerge w:val="restart"/>
            <w:tcBorders>
              <w:top w:val="single" w:sz="4" w:space="0" w:color="auto"/>
              <w:right w:val="nil"/>
            </w:tcBorders>
            <w:vAlign w:val="center"/>
          </w:tcPr>
          <w:p w:rsidR="00E23D1D" w:rsidRPr="00B6199B" w:rsidRDefault="00E23D1D" w:rsidP="0090233B">
            <w:pPr>
              <w:rPr>
                <w:rFonts w:ascii="Times New Roman" w:hAnsi="Times New Roman" w:cs="Times New Roman"/>
                <w:b/>
                <w:color w:val="1F497D" w:themeColor="text2"/>
                <w:sz w:val="20"/>
              </w:rPr>
            </w:pPr>
          </w:p>
        </w:tc>
        <w:tc>
          <w:tcPr>
            <w:tcW w:w="1614" w:type="dxa"/>
            <w:vMerge w:val="restart"/>
            <w:tcBorders>
              <w:top w:val="single" w:sz="4" w:space="0" w:color="auto"/>
              <w:left w:val="nil"/>
              <w:right w:val="nil"/>
            </w:tcBorders>
            <w:vAlign w:val="bottom"/>
          </w:tcPr>
          <w:p w:rsidR="00E23D1D" w:rsidRPr="00B6199B" w:rsidRDefault="00DF4CFA" w:rsidP="00DF4CFA">
            <w:pPr>
              <w:ind w:left="-108" w:right="-114"/>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 xml:space="preserve">Average Annual Number </w:t>
            </w:r>
          </w:p>
        </w:tc>
        <w:tc>
          <w:tcPr>
            <w:tcW w:w="1924" w:type="dxa"/>
            <w:tcBorders>
              <w:top w:val="single" w:sz="4" w:space="0" w:color="auto"/>
              <w:left w:val="nil"/>
              <w:bottom w:val="nil"/>
              <w:right w:val="nil"/>
            </w:tcBorders>
            <w:vAlign w:val="center"/>
          </w:tcPr>
          <w:p w:rsidR="00E23D1D" w:rsidRPr="00B6199B" w:rsidRDefault="00E23D1D"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Attributable to any HPV type</w:t>
            </w:r>
          </w:p>
        </w:tc>
        <w:tc>
          <w:tcPr>
            <w:tcW w:w="1772" w:type="dxa"/>
            <w:tcBorders>
              <w:top w:val="single" w:sz="4" w:space="0" w:color="auto"/>
              <w:left w:val="nil"/>
              <w:bottom w:val="nil"/>
              <w:right w:val="nil"/>
            </w:tcBorders>
            <w:vAlign w:val="center"/>
          </w:tcPr>
          <w:p w:rsidR="00E23D1D" w:rsidRPr="00B6199B" w:rsidRDefault="00E23D1D"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Attributable to HPV 16/18</w:t>
            </w:r>
          </w:p>
        </w:tc>
        <w:tc>
          <w:tcPr>
            <w:tcW w:w="2880" w:type="dxa"/>
            <w:tcBorders>
              <w:top w:val="single" w:sz="4" w:space="0" w:color="auto"/>
              <w:left w:val="nil"/>
              <w:bottom w:val="nil"/>
            </w:tcBorders>
            <w:vAlign w:val="center"/>
          </w:tcPr>
          <w:p w:rsidR="00E23D1D" w:rsidRPr="00B6199B" w:rsidRDefault="00E23D1D"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Attributable to HPV 16/18/31/33/45/52/58</w:t>
            </w:r>
          </w:p>
        </w:tc>
      </w:tr>
      <w:tr w:rsidR="00B6199B" w:rsidTr="00B347BC">
        <w:trPr>
          <w:trHeight w:val="215"/>
          <w:jc w:val="center"/>
        </w:trPr>
        <w:tc>
          <w:tcPr>
            <w:tcW w:w="2250" w:type="dxa"/>
            <w:vMerge/>
            <w:tcBorders>
              <w:bottom w:val="single" w:sz="4" w:space="0" w:color="auto"/>
              <w:right w:val="nil"/>
            </w:tcBorders>
            <w:vAlign w:val="center"/>
          </w:tcPr>
          <w:p w:rsidR="00E23D1D" w:rsidRPr="00B6199B" w:rsidRDefault="00E23D1D" w:rsidP="0090233B">
            <w:pPr>
              <w:rPr>
                <w:rFonts w:ascii="Times New Roman" w:hAnsi="Times New Roman" w:cs="Times New Roman"/>
                <w:b/>
                <w:color w:val="1F497D" w:themeColor="text2"/>
                <w:sz w:val="20"/>
              </w:rPr>
            </w:pPr>
          </w:p>
        </w:tc>
        <w:tc>
          <w:tcPr>
            <w:tcW w:w="1614" w:type="dxa"/>
            <w:vMerge/>
            <w:tcBorders>
              <w:left w:val="nil"/>
              <w:bottom w:val="single" w:sz="4" w:space="0" w:color="auto"/>
              <w:right w:val="nil"/>
            </w:tcBorders>
            <w:vAlign w:val="center"/>
          </w:tcPr>
          <w:p w:rsidR="00E23D1D" w:rsidRPr="00B6199B" w:rsidRDefault="00E23D1D" w:rsidP="0090233B">
            <w:pPr>
              <w:jc w:val="center"/>
              <w:rPr>
                <w:rFonts w:ascii="Times New Roman" w:hAnsi="Times New Roman" w:cs="Times New Roman"/>
                <w:b/>
                <w:color w:val="1F497D" w:themeColor="text2"/>
                <w:sz w:val="20"/>
              </w:rPr>
            </w:pPr>
          </w:p>
        </w:tc>
        <w:tc>
          <w:tcPr>
            <w:tcW w:w="1924" w:type="dxa"/>
            <w:tcBorders>
              <w:top w:val="nil"/>
              <w:left w:val="nil"/>
              <w:bottom w:val="single" w:sz="4" w:space="0" w:color="auto"/>
              <w:right w:val="nil"/>
            </w:tcBorders>
            <w:vAlign w:val="center"/>
          </w:tcPr>
          <w:p w:rsidR="00E23D1D" w:rsidRPr="00B6199B" w:rsidRDefault="00DF4CFA" w:rsidP="0090233B">
            <w:pPr>
              <w:jc w:val="center"/>
              <w:rPr>
                <w:rFonts w:ascii="Times New Roman" w:hAnsi="Times New Roman" w:cs="Times New Roman"/>
                <w:b/>
                <w:color w:val="1F497D" w:themeColor="text2"/>
                <w:sz w:val="20"/>
              </w:rPr>
            </w:pPr>
            <w:r>
              <w:rPr>
                <w:rFonts w:ascii="Times New Roman" w:hAnsi="Times New Roman" w:cs="Times New Roman"/>
                <w:b/>
                <w:color w:val="1F497D" w:themeColor="text2"/>
                <w:sz w:val="20"/>
              </w:rPr>
              <w:t>Number</w:t>
            </w:r>
            <w:r w:rsidR="00E23D1D" w:rsidRPr="00B6199B">
              <w:rPr>
                <w:rFonts w:ascii="Times New Roman" w:hAnsi="Times New Roman" w:cs="Times New Roman"/>
                <w:b/>
                <w:color w:val="1F497D" w:themeColor="text2"/>
                <w:sz w:val="20"/>
              </w:rPr>
              <w:t xml:space="preserve"> (%)</w:t>
            </w:r>
          </w:p>
        </w:tc>
        <w:tc>
          <w:tcPr>
            <w:tcW w:w="1772" w:type="dxa"/>
            <w:tcBorders>
              <w:top w:val="nil"/>
              <w:left w:val="nil"/>
              <w:bottom w:val="single" w:sz="4" w:space="0" w:color="auto"/>
              <w:right w:val="nil"/>
            </w:tcBorders>
            <w:vAlign w:val="center"/>
          </w:tcPr>
          <w:p w:rsidR="00E23D1D" w:rsidRPr="00B6199B" w:rsidRDefault="00E23D1D"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Number (%)</w:t>
            </w:r>
          </w:p>
        </w:tc>
        <w:tc>
          <w:tcPr>
            <w:tcW w:w="2880" w:type="dxa"/>
            <w:tcBorders>
              <w:top w:val="nil"/>
              <w:left w:val="nil"/>
              <w:bottom w:val="single" w:sz="4" w:space="0" w:color="auto"/>
            </w:tcBorders>
            <w:vAlign w:val="center"/>
          </w:tcPr>
          <w:p w:rsidR="00E23D1D" w:rsidRPr="00B6199B" w:rsidRDefault="00E23D1D"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Number (%)</w:t>
            </w:r>
          </w:p>
        </w:tc>
      </w:tr>
      <w:tr w:rsidR="00E23D1D" w:rsidTr="00B347BC">
        <w:trPr>
          <w:trHeight w:val="342"/>
          <w:jc w:val="center"/>
        </w:trPr>
        <w:tc>
          <w:tcPr>
            <w:tcW w:w="2250" w:type="dxa"/>
            <w:tcBorders>
              <w:top w:val="single" w:sz="4" w:space="0" w:color="auto"/>
              <w:bottom w:val="nil"/>
              <w:right w:val="nil"/>
            </w:tcBorders>
            <w:vAlign w:val="center"/>
          </w:tcPr>
          <w:p w:rsidR="00E23D1D" w:rsidRPr="00B6199B" w:rsidRDefault="00E23D1D" w:rsidP="0090233B">
            <w:pPr>
              <w:rPr>
                <w:rFonts w:ascii="Times New Roman" w:hAnsi="Times New Roman" w:cs="Times New Roman"/>
                <w:sz w:val="20"/>
              </w:rPr>
            </w:pPr>
            <w:r w:rsidRPr="00B6199B">
              <w:rPr>
                <w:rFonts w:ascii="Times New Roman" w:hAnsi="Times New Roman" w:cs="Times New Roman"/>
                <w:sz w:val="20"/>
              </w:rPr>
              <w:t>Cervical Cancer</w:t>
            </w:r>
          </w:p>
        </w:tc>
        <w:tc>
          <w:tcPr>
            <w:tcW w:w="1614" w:type="dxa"/>
            <w:tcBorders>
              <w:top w:val="single" w:sz="4" w:space="0" w:color="auto"/>
              <w:left w:val="nil"/>
              <w:bottom w:val="nil"/>
              <w:right w:val="nil"/>
            </w:tcBorders>
            <w:vAlign w:val="center"/>
          </w:tcPr>
          <w:p w:rsidR="00E23D1D" w:rsidRPr="00B6199B" w:rsidRDefault="00E23D1D" w:rsidP="0090233B">
            <w:pPr>
              <w:jc w:val="center"/>
              <w:rPr>
                <w:rFonts w:ascii="Times New Roman" w:hAnsi="Times New Roman" w:cs="Times New Roman"/>
                <w:sz w:val="20"/>
              </w:rPr>
            </w:pPr>
            <w:r w:rsidRPr="00B6199B">
              <w:rPr>
                <w:rFonts w:ascii="Times New Roman" w:hAnsi="Times New Roman" w:cs="Times New Roman"/>
                <w:sz w:val="20"/>
              </w:rPr>
              <w:t>199</w:t>
            </w:r>
          </w:p>
        </w:tc>
        <w:tc>
          <w:tcPr>
            <w:tcW w:w="1924" w:type="dxa"/>
            <w:tcBorders>
              <w:top w:val="single" w:sz="4" w:space="0" w:color="auto"/>
              <w:left w:val="nil"/>
              <w:bottom w:val="nil"/>
              <w:right w:val="nil"/>
            </w:tcBorders>
            <w:vAlign w:val="center"/>
          </w:tcPr>
          <w:p w:rsidR="00E23D1D" w:rsidRPr="00B6199B" w:rsidRDefault="00E23D1D" w:rsidP="0090233B">
            <w:pPr>
              <w:jc w:val="center"/>
              <w:rPr>
                <w:rFonts w:ascii="Times New Roman" w:hAnsi="Times New Roman" w:cs="Times New Roman"/>
                <w:sz w:val="20"/>
              </w:rPr>
            </w:pPr>
            <w:r w:rsidRPr="00B6199B">
              <w:rPr>
                <w:rFonts w:ascii="Times New Roman" w:hAnsi="Times New Roman" w:cs="Times New Roman"/>
                <w:sz w:val="20"/>
              </w:rPr>
              <w:t>180  (90.6)</w:t>
            </w:r>
          </w:p>
        </w:tc>
        <w:tc>
          <w:tcPr>
            <w:tcW w:w="1772" w:type="dxa"/>
            <w:tcBorders>
              <w:top w:val="single" w:sz="4" w:space="0" w:color="auto"/>
              <w:left w:val="nil"/>
              <w:bottom w:val="nil"/>
              <w:right w:val="nil"/>
            </w:tcBorders>
            <w:vAlign w:val="center"/>
          </w:tcPr>
          <w:p w:rsidR="00E23D1D" w:rsidRPr="00B6199B" w:rsidRDefault="00E23D1D" w:rsidP="0090233B">
            <w:pPr>
              <w:jc w:val="center"/>
              <w:rPr>
                <w:rFonts w:ascii="Times New Roman" w:hAnsi="Times New Roman" w:cs="Times New Roman"/>
                <w:sz w:val="20"/>
              </w:rPr>
            </w:pPr>
            <w:r w:rsidRPr="00B6199B">
              <w:rPr>
                <w:rFonts w:ascii="Times New Roman" w:hAnsi="Times New Roman" w:cs="Times New Roman"/>
                <w:sz w:val="20"/>
              </w:rPr>
              <w:t>130 (66.3)</w:t>
            </w:r>
          </w:p>
        </w:tc>
        <w:tc>
          <w:tcPr>
            <w:tcW w:w="2880" w:type="dxa"/>
            <w:tcBorders>
              <w:top w:val="single" w:sz="4" w:space="0" w:color="auto"/>
              <w:left w:val="nil"/>
              <w:bottom w:val="nil"/>
            </w:tcBorders>
            <w:vAlign w:val="center"/>
          </w:tcPr>
          <w:p w:rsidR="00E23D1D" w:rsidRPr="00B6199B" w:rsidRDefault="00E23D1D" w:rsidP="0090233B">
            <w:pPr>
              <w:jc w:val="center"/>
              <w:rPr>
                <w:rFonts w:ascii="Times New Roman" w:hAnsi="Times New Roman" w:cs="Times New Roman"/>
                <w:sz w:val="20"/>
              </w:rPr>
            </w:pPr>
            <w:r w:rsidRPr="00B6199B">
              <w:rPr>
                <w:rFonts w:ascii="Times New Roman" w:hAnsi="Times New Roman" w:cs="Times New Roman"/>
                <w:sz w:val="20"/>
              </w:rPr>
              <w:t>160 (80.9)</w:t>
            </w:r>
          </w:p>
        </w:tc>
      </w:tr>
      <w:tr w:rsidR="00E23D1D" w:rsidTr="00B347BC">
        <w:trPr>
          <w:trHeight w:val="395"/>
          <w:jc w:val="center"/>
        </w:trPr>
        <w:tc>
          <w:tcPr>
            <w:tcW w:w="10440" w:type="dxa"/>
            <w:gridSpan w:val="5"/>
            <w:tcBorders>
              <w:top w:val="single" w:sz="4" w:space="0" w:color="auto"/>
            </w:tcBorders>
            <w:vAlign w:val="center"/>
          </w:tcPr>
          <w:p w:rsidR="00E23D1D" w:rsidRPr="006337C6" w:rsidRDefault="00E23D1D" w:rsidP="001A4F6C">
            <w:pPr>
              <w:rPr>
                <w:rFonts w:ascii="Times New Roman" w:hAnsi="Times New Roman" w:cs="Times New Roman"/>
                <w:sz w:val="20"/>
              </w:rPr>
            </w:pPr>
            <w:r>
              <w:rPr>
                <w:rFonts w:ascii="Times New Roman" w:hAnsi="Times New Roman" w:cs="Times New Roman"/>
                <w:sz w:val="20"/>
              </w:rPr>
              <w:t>Number attributable to HPV is rounded to the nearest 10</w:t>
            </w:r>
            <w:r w:rsidR="001A4F6C">
              <w:rPr>
                <w:rFonts w:ascii="Times New Roman" w:hAnsi="Times New Roman" w:cs="Times New Roman"/>
                <w:sz w:val="20"/>
              </w:rPr>
              <w:t>;</w:t>
            </w:r>
            <w:r>
              <w:rPr>
                <w:rFonts w:ascii="Times New Roman" w:hAnsi="Times New Roman" w:cs="Times New Roman"/>
                <w:sz w:val="20"/>
              </w:rPr>
              <w:t xml:space="preserve"> Data source: Massachusetts Cancer Registry and </w:t>
            </w:r>
            <w:r w:rsidR="00C83909">
              <w:rPr>
                <w:rFonts w:ascii="Times New Roman" w:hAnsi="Times New Roman" w:cs="Times New Roman"/>
                <w:sz w:val="20"/>
              </w:rPr>
              <w:t xml:space="preserve">assumes </w:t>
            </w:r>
            <w:r>
              <w:rPr>
                <w:rFonts w:ascii="Times New Roman" w:hAnsi="Times New Roman" w:cs="Times New Roman"/>
                <w:sz w:val="20"/>
              </w:rPr>
              <w:t xml:space="preserve">percentages from </w:t>
            </w:r>
            <w:proofErr w:type="spellStart"/>
            <w:r>
              <w:rPr>
                <w:rFonts w:ascii="Times New Roman" w:hAnsi="Times New Roman" w:cs="Times New Roman"/>
                <w:sz w:val="20"/>
              </w:rPr>
              <w:t>Saraiya</w:t>
            </w:r>
            <w:proofErr w:type="spellEnd"/>
            <w:r>
              <w:rPr>
                <w:rFonts w:ascii="Times New Roman" w:hAnsi="Times New Roman" w:cs="Times New Roman"/>
                <w:sz w:val="20"/>
              </w:rPr>
              <w:t xml:space="preserve"> et al, </w:t>
            </w:r>
            <w:r>
              <w:rPr>
                <w:rFonts w:ascii="Times New Roman" w:hAnsi="Times New Roman" w:cs="Times New Roman"/>
                <w:i/>
                <w:sz w:val="20"/>
              </w:rPr>
              <w:t xml:space="preserve">JNCI, </w:t>
            </w:r>
            <w:r>
              <w:rPr>
                <w:rFonts w:ascii="Times New Roman" w:hAnsi="Times New Roman" w:cs="Times New Roman"/>
                <w:sz w:val="20"/>
              </w:rPr>
              <w:t>2015</w:t>
            </w:r>
            <w:r w:rsidR="001A4F6C">
              <w:rPr>
                <w:rFonts w:ascii="Times New Roman" w:hAnsi="Times New Roman" w:cs="Times New Roman"/>
                <w:sz w:val="20"/>
                <w:vertAlign w:val="superscript"/>
              </w:rPr>
              <w:t>4</w:t>
            </w:r>
            <w:r w:rsidR="00C83909">
              <w:rPr>
                <w:rFonts w:ascii="Times New Roman" w:hAnsi="Times New Roman" w:cs="Times New Roman"/>
                <w:sz w:val="20"/>
              </w:rPr>
              <w:t>; no direct evidence of HPV strains was</w:t>
            </w:r>
            <w:r w:rsidR="006337C6">
              <w:rPr>
                <w:rFonts w:ascii="Times New Roman" w:hAnsi="Times New Roman" w:cs="Times New Roman"/>
                <w:sz w:val="20"/>
              </w:rPr>
              <w:t xml:space="preserve"> collected in MCR</w:t>
            </w:r>
          </w:p>
        </w:tc>
      </w:tr>
    </w:tbl>
    <w:p w:rsidR="00071C5D" w:rsidRDefault="00071C5D" w:rsidP="00071C5D">
      <w:pPr>
        <w:spacing w:after="0" w:line="240" w:lineRule="auto"/>
        <w:rPr>
          <w:rFonts w:ascii="Times New Roman" w:hAnsi="Times New Roman" w:cs="Times New Roman"/>
          <w:sz w:val="24"/>
        </w:rPr>
      </w:pPr>
    </w:p>
    <w:p w:rsidR="00104C4B" w:rsidRDefault="00104C4B" w:rsidP="00A3474A">
      <w:pPr>
        <w:pStyle w:val="ListParagraph"/>
        <w:numPr>
          <w:ilvl w:val="0"/>
          <w:numId w:val="4"/>
        </w:numPr>
        <w:spacing w:after="0" w:line="240" w:lineRule="auto"/>
        <w:ind w:left="180" w:hanging="180"/>
        <w:rPr>
          <w:rFonts w:ascii="Times New Roman" w:hAnsi="Times New Roman" w:cs="Times New Roman"/>
          <w:sz w:val="24"/>
        </w:rPr>
        <w:sectPr w:rsidR="00104C4B" w:rsidSect="00A02173">
          <w:type w:val="continuous"/>
          <w:pgSz w:w="12240" w:h="15840"/>
          <w:pgMar w:top="864" w:right="864" w:bottom="864" w:left="864" w:header="720" w:footer="720" w:gutter="0"/>
          <w:cols w:space="720"/>
          <w:docGrid w:linePitch="360"/>
        </w:sectPr>
      </w:pPr>
    </w:p>
    <w:p w:rsidR="00104C4B" w:rsidRDefault="00A3474A" w:rsidP="00A3474A">
      <w:pPr>
        <w:pStyle w:val="ListParagraph"/>
        <w:numPr>
          <w:ilvl w:val="0"/>
          <w:numId w:val="4"/>
        </w:numPr>
        <w:spacing w:after="0" w:line="240" w:lineRule="auto"/>
        <w:ind w:left="180" w:hanging="180"/>
        <w:rPr>
          <w:rFonts w:ascii="Times New Roman" w:hAnsi="Times New Roman" w:cs="Times New Roman"/>
          <w:sz w:val="24"/>
        </w:rPr>
      </w:pPr>
      <w:r w:rsidRPr="00104C4B">
        <w:rPr>
          <w:rFonts w:ascii="Times New Roman" w:hAnsi="Times New Roman" w:cs="Times New Roman"/>
          <w:sz w:val="24"/>
        </w:rPr>
        <w:t xml:space="preserve">In Massachusetts, </w:t>
      </w:r>
      <w:r w:rsidR="001A4F6C">
        <w:rPr>
          <w:rFonts w:ascii="Times New Roman" w:hAnsi="Times New Roman" w:cs="Times New Roman"/>
          <w:sz w:val="24"/>
        </w:rPr>
        <w:t>180 cases of cervical cancer were</w:t>
      </w:r>
      <w:r w:rsidRPr="00104C4B">
        <w:rPr>
          <w:rFonts w:ascii="Times New Roman" w:hAnsi="Times New Roman" w:cs="Times New Roman"/>
          <w:sz w:val="24"/>
        </w:rPr>
        <w:t xml:space="preserve"> estimated to be attributable to infection with any strain of HPV each year.</w:t>
      </w:r>
    </w:p>
    <w:p w:rsidR="00104C4B" w:rsidRDefault="00104C4B" w:rsidP="00104C4B">
      <w:pPr>
        <w:pStyle w:val="ListParagraph"/>
        <w:spacing w:after="0" w:line="240" w:lineRule="auto"/>
        <w:ind w:left="180"/>
        <w:rPr>
          <w:rFonts w:ascii="Times New Roman" w:hAnsi="Times New Roman" w:cs="Times New Roman"/>
          <w:sz w:val="24"/>
        </w:rPr>
      </w:pPr>
    </w:p>
    <w:p w:rsidR="00104C4B" w:rsidRDefault="00A3474A" w:rsidP="00104C4B">
      <w:pPr>
        <w:pStyle w:val="ListParagraph"/>
        <w:numPr>
          <w:ilvl w:val="0"/>
          <w:numId w:val="4"/>
        </w:numPr>
        <w:spacing w:after="0" w:line="240" w:lineRule="auto"/>
        <w:ind w:left="180" w:hanging="180"/>
        <w:rPr>
          <w:rFonts w:ascii="Times New Roman" w:hAnsi="Times New Roman" w:cs="Times New Roman"/>
          <w:sz w:val="24"/>
        </w:rPr>
      </w:pPr>
      <w:r w:rsidRPr="00104C4B">
        <w:rPr>
          <w:rFonts w:ascii="Times New Roman" w:hAnsi="Times New Roman" w:cs="Times New Roman"/>
          <w:sz w:val="24"/>
        </w:rPr>
        <w:t xml:space="preserve">Of those </w:t>
      </w:r>
      <w:r w:rsidR="00104C4B">
        <w:rPr>
          <w:rFonts w:ascii="Times New Roman" w:hAnsi="Times New Roman" w:cs="Times New Roman"/>
          <w:sz w:val="24"/>
        </w:rPr>
        <w:t xml:space="preserve">180 </w:t>
      </w:r>
      <w:r w:rsidRPr="00104C4B">
        <w:rPr>
          <w:rFonts w:ascii="Times New Roman" w:hAnsi="Times New Roman" w:cs="Times New Roman"/>
          <w:sz w:val="24"/>
        </w:rPr>
        <w:t>cases attributable to any strain</w:t>
      </w:r>
      <w:r w:rsidR="001A4F6C">
        <w:rPr>
          <w:rFonts w:ascii="Times New Roman" w:hAnsi="Times New Roman" w:cs="Times New Roman"/>
          <w:sz w:val="24"/>
        </w:rPr>
        <w:t xml:space="preserve"> of HPV, 130 cases each year were</w:t>
      </w:r>
      <w:r w:rsidRPr="00104C4B">
        <w:rPr>
          <w:rFonts w:ascii="Times New Roman" w:hAnsi="Times New Roman" w:cs="Times New Roman"/>
          <w:sz w:val="24"/>
        </w:rPr>
        <w:t xml:space="preserve"> </w:t>
      </w:r>
      <w:r w:rsidR="00C83909">
        <w:rPr>
          <w:rFonts w:ascii="Times New Roman" w:hAnsi="Times New Roman" w:cs="Times New Roman"/>
          <w:sz w:val="24"/>
        </w:rPr>
        <w:t xml:space="preserve">estimated to be </w:t>
      </w:r>
      <w:r w:rsidRPr="00104C4B">
        <w:rPr>
          <w:rFonts w:ascii="Times New Roman" w:hAnsi="Times New Roman" w:cs="Times New Roman"/>
          <w:sz w:val="24"/>
        </w:rPr>
        <w:t>attributable to HPV 16 and 18. All</w:t>
      </w:r>
      <w:r w:rsidR="00476A7E" w:rsidRPr="00104C4B">
        <w:rPr>
          <w:rFonts w:ascii="Times New Roman" w:hAnsi="Times New Roman" w:cs="Times New Roman"/>
          <w:sz w:val="24"/>
        </w:rPr>
        <w:t xml:space="preserve"> available HPV vaccines protect</w:t>
      </w:r>
      <w:r w:rsidRPr="00104C4B">
        <w:rPr>
          <w:rFonts w:ascii="Times New Roman" w:hAnsi="Times New Roman" w:cs="Times New Roman"/>
          <w:sz w:val="24"/>
        </w:rPr>
        <w:t xml:space="preserve"> against HPV 16 and 18. </w:t>
      </w:r>
    </w:p>
    <w:p w:rsidR="00104C4B" w:rsidRDefault="00104C4B" w:rsidP="00104C4B">
      <w:pPr>
        <w:pStyle w:val="ListParagraph"/>
        <w:spacing w:after="0" w:line="240" w:lineRule="auto"/>
        <w:ind w:left="180"/>
        <w:rPr>
          <w:rFonts w:ascii="Times New Roman" w:hAnsi="Times New Roman" w:cs="Times New Roman"/>
          <w:sz w:val="24"/>
        </w:rPr>
      </w:pPr>
    </w:p>
    <w:p w:rsidR="00104C4B" w:rsidRPr="00B6199B" w:rsidRDefault="00A3474A" w:rsidP="00553017">
      <w:pPr>
        <w:pStyle w:val="ListParagraph"/>
        <w:numPr>
          <w:ilvl w:val="0"/>
          <w:numId w:val="4"/>
        </w:numPr>
        <w:spacing w:after="0" w:line="240" w:lineRule="auto"/>
        <w:ind w:left="180" w:hanging="180"/>
        <w:rPr>
          <w:rFonts w:ascii="Times New Roman" w:hAnsi="Times New Roman" w:cs="Times New Roman"/>
          <w:sz w:val="24"/>
        </w:rPr>
      </w:pPr>
      <w:r w:rsidRPr="00104C4B">
        <w:rPr>
          <w:rFonts w:ascii="Times New Roman" w:hAnsi="Times New Roman" w:cs="Times New Roman"/>
          <w:sz w:val="24"/>
        </w:rPr>
        <w:t xml:space="preserve">Of those cases attributable to any strain of HPV, </w:t>
      </w:r>
      <w:r w:rsidR="00104C4B">
        <w:rPr>
          <w:rFonts w:ascii="Times New Roman" w:hAnsi="Times New Roman" w:cs="Times New Roman"/>
          <w:sz w:val="24"/>
        </w:rPr>
        <w:t>160</w:t>
      </w:r>
      <w:r w:rsidR="001A4F6C">
        <w:rPr>
          <w:rFonts w:ascii="Times New Roman" w:hAnsi="Times New Roman" w:cs="Times New Roman"/>
          <w:sz w:val="24"/>
        </w:rPr>
        <w:t xml:space="preserve"> were</w:t>
      </w:r>
      <w:r w:rsidRPr="00104C4B">
        <w:rPr>
          <w:rFonts w:ascii="Times New Roman" w:hAnsi="Times New Roman" w:cs="Times New Roman"/>
          <w:sz w:val="24"/>
        </w:rPr>
        <w:t xml:space="preserve"> attributable to HPV 16, 18, </w:t>
      </w:r>
      <w:r w:rsidR="00E30FD2">
        <w:rPr>
          <w:rFonts w:ascii="Times New Roman" w:hAnsi="Times New Roman" w:cs="Times New Roman"/>
          <w:sz w:val="24"/>
        </w:rPr>
        <w:t xml:space="preserve">31, 33, 45, 52, and 58. The 9 </w:t>
      </w:r>
      <w:r w:rsidRPr="00104C4B">
        <w:rPr>
          <w:rFonts w:ascii="Times New Roman" w:hAnsi="Times New Roman" w:cs="Times New Roman"/>
          <w:sz w:val="24"/>
        </w:rPr>
        <w:t>valent vaccine protects against those seven HPV strains.</w:t>
      </w:r>
    </w:p>
    <w:p w:rsidR="00B6199B" w:rsidRDefault="00B6199B" w:rsidP="00B6199B">
      <w:pPr>
        <w:pStyle w:val="ListParagraph"/>
        <w:numPr>
          <w:ilvl w:val="0"/>
          <w:numId w:val="4"/>
        </w:numPr>
        <w:spacing w:after="0" w:line="240" w:lineRule="auto"/>
        <w:ind w:left="180" w:hanging="180"/>
        <w:rPr>
          <w:rFonts w:ascii="Times New Roman" w:hAnsi="Times New Roman" w:cs="Times New Roman"/>
          <w:sz w:val="24"/>
        </w:rPr>
      </w:pPr>
      <w:r w:rsidRPr="00D2512C">
        <w:rPr>
          <w:rFonts w:ascii="Times New Roman" w:hAnsi="Times New Roman" w:cs="Times New Roman"/>
          <w:sz w:val="24"/>
        </w:rPr>
        <w:t xml:space="preserve">In Massachusetts, 70.6% of females age 18-26 reported having ever received a HPV vaccine in the 2015 BRFSS. Of those who ever received a HPV vaccine, 78.2% reported they completed the vaccine series. </w:t>
      </w:r>
    </w:p>
    <w:p w:rsidR="00B6199B" w:rsidRPr="00B6199B" w:rsidRDefault="00B6199B" w:rsidP="00B6199B">
      <w:pPr>
        <w:pStyle w:val="ListParagraph"/>
        <w:rPr>
          <w:rFonts w:ascii="Times New Roman" w:hAnsi="Times New Roman" w:cs="Times New Roman"/>
          <w:sz w:val="24"/>
        </w:rPr>
      </w:pPr>
    </w:p>
    <w:p w:rsidR="00B6199B" w:rsidRPr="00D2512C" w:rsidRDefault="00B6199B" w:rsidP="00B6199B">
      <w:pPr>
        <w:pStyle w:val="ListParagraph"/>
        <w:numPr>
          <w:ilvl w:val="0"/>
          <w:numId w:val="4"/>
        </w:numPr>
        <w:spacing w:after="0" w:line="240" w:lineRule="auto"/>
        <w:ind w:left="180" w:hanging="180"/>
        <w:rPr>
          <w:rFonts w:ascii="Times New Roman" w:hAnsi="Times New Roman" w:cs="Times New Roman"/>
          <w:sz w:val="24"/>
        </w:rPr>
      </w:pPr>
      <w:r w:rsidRPr="00D2512C">
        <w:rPr>
          <w:rFonts w:ascii="Times New Roman" w:hAnsi="Times New Roman" w:cs="Times New Roman"/>
          <w:sz w:val="24"/>
        </w:rPr>
        <w:t xml:space="preserve">Among younger </w:t>
      </w:r>
      <w:r w:rsidR="00DF4CFA">
        <w:rPr>
          <w:rFonts w:ascii="Times New Roman" w:hAnsi="Times New Roman" w:cs="Times New Roman"/>
          <w:sz w:val="24"/>
        </w:rPr>
        <w:t xml:space="preserve">Massachusetts </w:t>
      </w:r>
      <w:r w:rsidRPr="00D2512C">
        <w:rPr>
          <w:rFonts w:ascii="Times New Roman" w:hAnsi="Times New Roman" w:cs="Times New Roman"/>
          <w:sz w:val="24"/>
        </w:rPr>
        <w:t>females</w:t>
      </w:r>
      <w:r>
        <w:rPr>
          <w:rFonts w:ascii="Times New Roman" w:hAnsi="Times New Roman" w:cs="Times New Roman"/>
          <w:sz w:val="24"/>
        </w:rPr>
        <w:t>,</w:t>
      </w:r>
      <w:r w:rsidRPr="00D2512C">
        <w:rPr>
          <w:rFonts w:ascii="Times New Roman" w:hAnsi="Times New Roman" w:cs="Times New Roman"/>
          <w:sz w:val="24"/>
        </w:rPr>
        <w:t xml:space="preserve"> ages 13-17 years old</w:t>
      </w:r>
      <w:r>
        <w:rPr>
          <w:rFonts w:ascii="Times New Roman" w:hAnsi="Times New Roman" w:cs="Times New Roman"/>
          <w:sz w:val="24"/>
        </w:rPr>
        <w:t>,</w:t>
      </w:r>
      <w:r w:rsidRPr="00D2512C">
        <w:rPr>
          <w:rFonts w:ascii="Times New Roman" w:hAnsi="Times New Roman" w:cs="Times New Roman"/>
          <w:sz w:val="24"/>
        </w:rPr>
        <w:t xml:space="preserve"> 73.5% reported ever having at least one dose of the HPV vaccine.</w:t>
      </w:r>
      <w:r>
        <w:rPr>
          <w:rFonts w:ascii="Times New Roman" w:hAnsi="Times New Roman" w:cs="Times New Roman"/>
          <w:sz w:val="24"/>
        </w:rPr>
        <w:t xml:space="preserve"> Teens in Massachusetts</w:t>
      </w:r>
      <w:r w:rsidR="00E30FD2">
        <w:rPr>
          <w:rFonts w:ascii="Times New Roman" w:hAnsi="Times New Roman" w:cs="Times New Roman"/>
          <w:sz w:val="24"/>
        </w:rPr>
        <w:t xml:space="preserve"> have a higher prevalence of</w:t>
      </w:r>
      <w:r>
        <w:rPr>
          <w:rFonts w:ascii="Times New Roman" w:hAnsi="Times New Roman" w:cs="Times New Roman"/>
          <w:sz w:val="24"/>
        </w:rPr>
        <w:t xml:space="preserve"> HPV vaccin</w:t>
      </w:r>
      <w:r w:rsidR="00C83909">
        <w:rPr>
          <w:rFonts w:ascii="Times New Roman" w:hAnsi="Times New Roman" w:cs="Times New Roman"/>
          <w:sz w:val="24"/>
        </w:rPr>
        <w:t>ation</w:t>
      </w:r>
      <w:r>
        <w:rPr>
          <w:rFonts w:ascii="Times New Roman" w:hAnsi="Times New Roman" w:cs="Times New Roman"/>
          <w:sz w:val="24"/>
        </w:rPr>
        <w:t xml:space="preserve"> compared to the United States.</w:t>
      </w:r>
      <w:r w:rsidR="001A4F6C">
        <w:rPr>
          <w:rFonts w:ascii="Times New Roman" w:hAnsi="Times New Roman" w:cs="Times New Roman"/>
          <w:sz w:val="24"/>
          <w:vertAlign w:val="superscript"/>
        </w:rPr>
        <w:t>5</w:t>
      </w:r>
    </w:p>
    <w:p w:rsidR="00B6199B" w:rsidRDefault="00B6199B" w:rsidP="00553017">
      <w:pPr>
        <w:spacing w:after="0" w:line="240" w:lineRule="auto"/>
        <w:rPr>
          <w:rFonts w:ascii="Times New Roman" w:hAnsi="Times New Roman" w:cs="Times New Roman"/>
          <w:b/>
          <w:sz w:val="24"/>
        </w:rPr>
        <w:sectPr w:rsidR="00B6199B" w:rsidSect="00F56380">
          <w:type w:val="continuous"/>
          <w:pgSz w:w="12240" w:h="15840"/>
          <w:pgMar w:top="864" w:right="864" w:bottom="864" w:left="864" w:header="720" w:footer="720" w:gutter="0"/>
          <w:cols w:num="2" w:space="288"/>
          <w:docGrid w:linePitch="360"/>
        </w:sectPr>
      </w:pPr>
    </w:p>
    <w:p w:rsidR="00A3474A" w:rsidRDefault="00A3474A" w:rsidP="00553017">
      <w:pPr>
        <w:spacing w:after="0" w:line="240" w:lineRule="auto"/>
        <w:rPr>
          <w:rFonts w:ascii="Times New Roman" w:hAnsi="Times New Roman" w:cs="Times New Roman"/>
          <w:b/>
          <w:sz w:val="24"/>
        </w:rPr>
      </w:pPr>
    </w:p>
    <w:p w:rsidR="00932ADC" w:rsidRDefault="00932ADC" w:rsidP="00553017">
      <w:pPr>
        <w:spacing w:after="0" w:line="240" w:lineRule="auto"/>
        <w:rPr>
          <w:rFonts w:ascii="Times New Roman" w:hAnsi="Times New Roman" w:cs="Times New Roman"/>
          <w:b/>
          <w:sz w:val="24"/>
        </w:rPr>
      </w:pPr>
    </w:p>
    <w:tbl>
      <w:tblPr>
        <w:tblStyle w:val="TableGrid"/>
        <w:tblW w:w="10440" w:type="dxa"/>
        <w:jc w:val="center"/>
        <w:tblLook w:val="04A0" w:firstRow="1" w:lastRow="0" w:firstColumn="1" w:lastColumn="0" w:noHBand="0" w:noVBand="1"/>
      </w:tblPr>
      <w:tblGrid>
        <w:gridCol w:w="2347"/>
        <w:gridCol w:w="1915"/>
        <w:gridCol w:w="1915"/>
        <w:gridCol w:w="1915"/>
        <w:gridCol w:w="2348"/>
      </w:tblGrid>
      <w:tr w:rsidR="00104C4B" w:rsidRPr="00902D3A" w:rsidTr="00B347BC">
        <w:trPr>
          <w:trHeight w:val="423"/>
          <w:jc w:val="center"/>
        </w:trPr>
        <w:tc>
          <w:tcPr>
            <w:tcW w:w="10440" w:type="dxa"/>
            <w:gridSpan w:val="5"/>
            <w:tcBorders>
              <w:top w:val="nil"/>
              <w:left w:val="nil"/>
              <w:right w:val="nil"/>
            </w:tcBorders>
            <w:vAlign w:val="center"/>
          </w:tcPr>
          <w:p w:rsidR="00104C4B" w:rsidRPr="00902D3A" w:rsidRDefault="00104C4B" w:rsidP="00104C4B">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HPV VACCINATION IN MASSACHUSETTS COMPARED TO THE UNITED STATES  </w:t>
            </w:r>
          </w:p>
        </w:tc>
      </w:tr>
      <w:tr w:rsidR="00104C4B" w:rsidRPr="00902D3A" w:rsidTr="00B347BC">
        <w:trPr>
          <w:trHeight w:val="467"/>
          <w:jc w:val="center"/>
        </w:trPr>
        <w:tc>
          <w:tcPr>
            <w:tcW w:w="10440" w:type="dxa"/>
            <w:gridSpan w:val="5"/>
            <w:tcBorders>
              <w:bottom w:val="single" w:sz="4" w:space="0" w:color="auto"/>
            </w:tcBorders>
            <w:vAlign w:val="center"/>
          </w:tcPr>
          <w:p w:rsidR="00104C4B" w:rsidRDefault="00104C4B" w:rsidP="00104C4B">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Figure </w:t>
            </w:r>
            <w:r w:rsidR="00F74BA4">
              <w:rPr>
                <w:rFonts w:ascii="Times New Roman" w:hAnsi="Times New Roman" w:cs="Times New Roman"/>
                <w:b/>
                <w:color w:val="1F497D" w:themeColor="text2"/>
                <w:sz w:val="24"/>
              </w:rPr>
              <w:t>6</w:t>
            </w:r>
            <w:r>
              <w:rPr>
                <w:rFonts w:ascii="Times New Roman" w:hAnsi="Times New Roman" w:cs="Times New Roman"/>
                <w:b/>
                <w:color w:val="1F497D" w:themeColor="text2"/>
                <w:sz w:val="24"/>
              </w:rPr>
              <w:t>. Percent of teens, ages 13-17, receiving the HPV vaccine in Massachusetts and the United States, 2015</w:t>
            </w:r>
          </w:p>
        </w:tc>
      </w:tr>
      <w:tr w:rsidR="00104C4B" w:rsidRPr="00902D3A" w:rsidTr="00B347BC">
        <w:trPr>
          <w:trHeight w:val="3797"/>
          <w:jc w:val="center"/>
        </w:trPr>
        <w:tc>
          <w:tcPr>
            <w:tcW w:w="10440" w:type="dxa"/>
            <w:gridSpan w:val="5"/>
            <w:tcBorders>
              <w:bottom w:val="single" w:sz="4" w:space="0" w:color="auto"/>
            </w:tcBorders>
            <w:vAlign w:val="center"/>
          </w:tcPr>
          <w:p w:rsidR="00104C4B" w:rsidRDefault="00104C4B" w:rsidP="0090233B">
            <w:pPr>
              <w:jc w:val="center"/>
              <w:rPr>
                <w:noProof/>
              </w:rPr>
            </w:pPr>
            <w:r>
              <w:rPr>
                <w:noProof/>
              </w:rPr>
              <w:drawing>
                <wp:inline distT="0" distB="0" distL="0" distR="0" wp14:anchorId="64862E56" wp14:editId="0AAC7376">
                  <wp:extent cx="5041900" cy="2451100"/>
                  <wp:effectExtent l="0" t="0" r="6350" b="6350"/>
                  <wp:docPr id="7" name="Chart 7" descr="73.5% of MA girls had at least 1 dose compared to 62.8% in the US. 63% of MA boys had at least 1 dose compared to 49.8% in the US. 52.8% of MA girls had at least 3 doses compared to 41.9% in the US. 35.2% of MA boys had at least 3 doses compared to 28.1% in the US. The healthy people 2020 goal is for 80% of teens to have at least 3 doses. Data on vaccination is from the 2015 national immunization survey from the US Department of Health and Human Services. " title="Figure 6. Percent of teens, ages 13-17, receiving the HPV vaccine in Massachusetts and the US, 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104C4B" w:rsidRPr="00902D3A" w:rsidTr="00B347BC">
        <w:trPr>
          <w:trHeight w:val="287"/>
          <w:jc w:val="center"/>
        </w:trPr>
        <w:tc>
          <w:tcPr>
            <w:tcW w:w="2347" w:type="dxa"/>
            <w:tcBorders>
              <w:bottom w:val="single" w:sz="4" w:space="0" w:color="auto"/>
              <w:right w:val="nil"/>
            </w:tcBorders>
            <w:vAlign w:val="center"/>
          </w:tcPr>
          <w:p w:rsidR="00104C4B" w:rsidRPr="00B6199B" w:rsidRDefault="00104C4B" w:rsidP="0090233B">
            <w:pPr>
              <w:rPr>
                <w:rFonts w:ascii="Times New Roman" w:hAnsi="Times New Roman" w:cs="Times New Roman"/>
                <w:b/>
                <w:color w:val="1F497D" w:themeColor="text2"/>
                <w:sz w:val="20"/>
              </w:rPr>
            </w:pPr>
          </w:p>
        </w:tc>
        <w:tc>
          <w:tcPr>
            <w:tcW w:w="1915" w:type="dxa"/>
            <w:tcBorders>
              <w:left w:val="nil"/>
              <w:bottom w:val="single" w:sz="4" w:space="0" w:color="auto"/>
              <w:right w:val="nil"/>
            </w:tcBorders>
            <w:vAlign w:val="center"/>
          </w:tcPr>
          <w:p w:rsidR="00104C4B" w:rsidRPr="00B6199B" w:rsidRDefault="00104C4B"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≥1 dose girls</w:t>
            </w:r>
          </w:p>
        </w:tc>
        <w:tc>
          <w:tcPr>
            <w:tcW w:w="1915" w:type="dxa"/>
            <w:tcBorders>
              <w:left w:val="nil"/>
              <w:bottom w:val="single" w:sz="4" w:space="0" w:color="auto"/>
              <w:right w:val="nil"/>
            </w:tcBorders>
            <w:vAlign w:val="center"/>
          </w:tcPr>
          <w:p w:rsidR="00104C4B" w:rsidRPr="00B6199B" w:rsidRDefault="00104C4B"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≥1 dose boys</w:t>
            </w:r>
          </w:p>
        </w:tc>
        <w:tc>
          <w:tcPr>
            <w:tcW w:w="1915" w:type="dxa"/>
            <w:tcBorders>
              <w:left w:val="nil"/>
              <w:bottom w:val="single" w:sz="4" w:space="0" w:color="auto"/>
              <w:right w:val="nil"/>
            </w:tcBorders>
            <w:vAlign w:val="center"/>
          </w:tcPr>
          <w:p w:rsidR="00104C4B" w:rsidRPr="00B6199B" w:rsidRDefault="00104C4B"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≥3 doses girls</w:t>
            </w:r>
          </w:p>
        </w:tc>
        <w:tc>
          <w:tcPr>
            <w:tcW w:w="2348" w:type="dxa"/>
            <w:tcBorders>
              <w:left w:val="nil"/>
              <w:bottom w:val="single" w:sz="4" w:space="0" w:color="auto"/>
            </w:tcBorders>
            <w:vAlign w:val="center"/>
          </w:tcPr>
          <w:p w:rsidR="00104C4B" w:rsidRPr="00B6199B" w:rsidRDefault="00104C4B" w:rsidP="0090233B">
            <w:pPr>
              <w:jc w:val="center"/>
              <w:rPr>
                <w:rFonts w:ascii="Times New Roman" w:hAnsi="Times New Roman" w:cs="Times New Roman"/>
                <w:b/>
                <w:color w:val="1F497D" w:themeColor="text2"/>
                <w:sz w:val="20"/>
              </w:rPr>
            </w:pPr>
            <w:r w:rsidRPr="00B6199B">
              <w:rPr>
                <w:rFonts w:ascii="Times New Roman" w:hAnsi="Times New Roman" w:cs="Times New Roman"/>
                <w:b/>
                <w:color w:val="1F497D" w:themeColor="text2"/>
                <w:sz w:val="20"/>
              </w:rPr>
              <w:t>≥3 doses boys</w:t>
            </w:r>
          </w:p>
        </w:tc>
      </w:tr>
      <w:tr w:rsidR="00104C4B" w:rsidRPr="008358B2" w:rsidTr="00B347BC">
        <w:trPr>
          <w:trHeight w:val="188"/>
          <w:jc w:val="center"/>
        </w:trPr>
        <w:tc>
          <w:tcPr>
            <w:tcW w:w="2347" w:type="dxa"/>
            <w:tcBorders>
              <w:top w:val="single" w:sz="4" w:space="0" w:color="auto"/>
              <w:bottom w:val="nil"/>
              <w:right w:val="nil"/>
            </w:tcBorders>
            <w:vAlign w:val="center"/>
          </w:tcPr>
          <w:p w:rsidR="00104C4B" w:rsidRPr="00B6199B" w:rsidRDefault="00104C4B" w:rsidP="0090233B">
            <w:pPr>
              <w:rPr>
                <w:rFonts w:ascii="Times New Roman" w:hAnsi="Times New Roman" w:cs="Times New Roman"/>
                <w:sz w:val="20"/>
              </w:rPr>
            </w:pPr>
            <w:r w:rsidRPr="00B6199B">
              <w:rPr>
                <w:rFonts w:ascii="Times New Roman" w:hAnsi="Times New Roman" w:cs="Times New Roman"/>
                <w:sz w:val="20"/>
              </w:rPr>
              <w:t>Massachusetts</w:t>
            </w:r>
          </w:p>
        </w:tc>
        <w:tc>
          <w:tcPr>
            <w:tcW w:w="1915" w:type="dxa"/>
            <w:tcBorders>
              <w:top w:val="single" w:sz="4" w:space="0" w:color="auto"/>
              <w:left w:val="nil"/>
              <w:bottom w:val="nil"/>
              <w:right w:val="nil"/>
            </w:tcBorders>
            <w:vAlign w:val="center"/>
          </w:tcPr>
          <w:p w:rsidR="00104C4B" w:rsidRPr="00B6199B" w:rsidRDefault="00104C4B" w:rsidP="0090233B">
            <w:pPr>
              <w:tabs>
                <w:tab w:val="left" w:pos="702"/>
              </w:tabs>
              <w:ind w:right="-18" w:hanging="14"/>
              <w:jc w:val="center"/>
              <w:rPr>
                <w:rFonts w:ascii="Times New Roman" w:hAnsi="Times New Roman" w:cs="Times New Roman"/>
                <w:sz w:val="20"/>
              </w:rPr>
            </w:pPr>
            <w:r w:rsidRPr="00B6199B">
              <w:rPr>
                <w:rFonts w:ascii="Times New Roman" w:hAnsi="Times New Roman" w:cs="Times New Roman"/>
                <w:sz w:val="20"/>
              </w:rPr>
              <w:t>73.5%</w:t>
            </w:r>
          </w:p>
        </w:tc>
        <w:tc>
          <w:tcPr>
            <w:tcW w:w="1915" w:type="dxa"/>
            <w:tcBorders>
              <w:top w:val="single" w:sz="4" w:space="0" w:color="auto"/>
              <w:left w:val="nil"/>
              <w:bottom w:val="nil"/>
              <w:right w:val="nil"/>
            </w:tcBorders>
            <w:vAlign w:val="center"/>
          </w:tcPr>
          <w:p w:rsidR="00104C4B" w:rsidRPr="00B6199B" w:rsidRDefault="00104C4B" w:rsidP="0090233B">
            <w:pPr>
              <w:tabs>
                <w:tab w:val="left" w:pos="0"/>
              </w:tabs>
              <w:jc w:val="center"/>
              <w:rPr>
                <w:rFonts w:ascii="Times New Roman" w:hAnsi="Times New Roman" w:cs="Times New Roman"/>
                <w:sz w:val="20"/>
              </w:rPr>
            </w:pPr>
            <w:r w:rsidRPr="00B6199B">
              <w:rPr>
                <w:rFonts w:ascii="Times New Roman" w:hAnsi="Times New Roman" w:cs="Times New Roman"/>
                <w:sz w:val="20"/>
              </w:rPr>
              <w:t>63.0%</w:t>
            </w:r>
          </w:p>
        </w:tc>
        <w:tc>
          <w:tcPr>
            <w:tcW w:w="1915" w:type="dxa"/>
            <w:tcBorders>
              <w:top w:val="single" w:sz="4" w:space="0" w:color="auto"/>
              <w:left w:val="nil"/>
              <w:bottom w:val="nil"/>
              <w:right w:val="nil"/>
            </w:tcBorders>
            <w:vAlign w:val="center"/>
          </w:tcPr>
          <w:p w:rsidR="00104C4B" w:rsidRPr="00B6199B" w:rsidRDefault="00104C4B" w:rsidP="0090233B">
            <w:pPr>
              <w:tabs>
                <w:tab w:val="left" w:pos="0"/>
              </w:tabs>
              <w:jc w:val="center"/>
              <w:rPr>
                <w:rFonts w:ascii="Times New Roman" w:hAnsi="Times New Roman" w:cs="Times New Roman"/>
                <w:sz w:val="20"/>
              </w:rPr>
            </w:pPr>
            <w:r w:rsidRPr="00B6199B">
              <w:rPr>
                <w:rFonts w:ascii="Times New Roman" w:hAnsi="Times New Roman" w:cs="Times New Roman"/>
                <w:sz w:val="20"/>
              </w:rPr>
              <w:t>52.8%</w:t>
            </w:r>
          </w:p>
        </w:tc>
        <w:tc>
          <w:tcPr>
            <w:tcW w:w="2348" w:type="dxa"/>
            <w:tcBorders>
              <w:top w:val="single" w:sz="4" w:space="0" w:color="auto"/>
              <w:left w:val="nil"/>
              <w:bottom w:val="nil"/>
            </w:tcBorders>
            <w:vAlign w:val="center"/>
          </w:tcPr>
          <w:p w:rsidR="00104C4B" w:rsidRPr="00B6199B" w:rsidRDefault="00104C4B" w:rsidP="0090233B">
            <w:pPr>
              <w:tabs>
                <w:tab w:val="left" w:pos="0"/>
              </w:tabs>
              <w:jc w:val="center"/>
              <w:rPr>
                <w:rFonts w:ascii="Times New Roman" w:hAnsi="Times New Roman" w:cs="Times New Roman"/>
                <w:sz w:val="20"/>
              </w:rPr>
            </w:pPr>
            <w:r w:rsidRPr="00B6199B">
              <w:rPr>
                <w:rFonts w:ascii="Times New Roman" w:hAnsi="Times New Roman" w:cs="Times New Roman"/>
                <w:sz w:val="20"/>
              </w:rPr>
              <w:t>35.2%</w:t>
            </w:r>
          </w:p>
        </w:tc>
      </w:tr>
      <w:tr w:rsidR="00104C4B" w:rsidRPr="008358B2" w:rsidTr="00B347BC">
        <w:trPr>
          <w:trHeight w:val="135"/>
          <w:jc w:val="center"/>
        </w:trPr>
        <w:tc>
          <w:tcPr>
            <w:tcW w:w="2347" w:type="dxa"/>
            <w:tcBorders>
              <w:top w:val="nil"/>
              <w:bottom w:val="nil"/>
              <w:right w:val="nil"/>
            </w:tcBorders>
            <w:vAlign w:val="center"/>
          </w:tcPr>
          <w:p w:rsidR="00104C4B" w:rsidRPr="00B6199B" w:rsidRDefault="00104C4B" w:rsidP="0090233B">
            <w:pPr>
              <w:rPr>
                <w:rFonts w:ascii="Times New Roman" w:hAnsi="Times New Roman" w:cs="Times New Roman"/>
                <w:sz w:val="20"/>
              </w:rPr>
            </w:pPr>
            <w:r w:rsidRPr="00B6199B">
              <w:rPr>
                <w:rFonts w:ascii="Times New Roman" w:hAnsi="Times New Roman" w:cs="Times New Roman"/>
                <w:sz w:val="20"/>
              </w:rPr>
              <w:t>United States</w:t>
            </w:r>
          </w:p>
        </w:tc>
        <w:tc>
          <w:tcPr>
            <w:tcW w:w="1915" w:type="dxa"/>
            <w:tcBorders>
              <w:top w:val="nil"/>
              <w:left w:val="nil"/>
              <w:bottom w:val="nil"/>
              <w:right w:val="nil"/>
            </w:tcBorders>
            <w:vAlign w:val="center"/>
          </w:tcPr>
          <w:p w:rsidR="00104C4B" w:rsidRPr="00B6199B" w:rsidRDefault="00104C4B" w:rsidP="0090233B">
            <w:pPr>
              <w:tabs>
                <w:tab w:val="left" w:pos="702"/>
              </w:tabs>
              <w:ind w:right="-18" w:hanging="14"/>
              <w:jc w:val="center"/>
              <w:rPr>
                <w:rFonts w:ascii="Times New Roman" w:hAnsi="Times New Roman" w:cs="Times New Roman"/>
                <w:sz w:val="20"/>
              </w:rPr>
            </w:pPr>
            <w:r w:rsidRPr="00B6199B">
              <w:rPr>
                <w:rFonts w:ascii="Times New Roman" w:hAnsi="Times New Roman" w:cs="Times New Roman"/>
                <w:sz w:val="20"/>
              </w:rPr>
              <w:t>62.8%</w:t>
            </w:r>
          </w:p>
        </w:tc>
        <w:tc>
          <w:tcPr>
            <w:tcW w:w="1915" w:type="dxa"/>
            <w:tcBorders>
              <w:top w:val="nil"/>
              <w:left w:val="nil"/>
              <w:bottom w:val="nil"/>
              <w:right w:val="nil"/>
            </w:tcBorders>
            <w:vAlign w:val="center"/>
          </w:tcPr>
          <w:p w:rsidR="00104C4B" w:rsidRPr="00B6199B" w:rsidRDefault="00104C4B" w:rsidP="0090233B">
            <w:pPr>
              <w:tabs>
                <w:tab w:val="left" w:pos="0"/>
              </w:tabs>
              <w:jc w:val="center"/>
              <w:rPr>
                <w:rFonts w:ascii="Times New Roman" w:hAnsi="Times New Roman" w:cs="Times New Roman"/>
                <w:sz w:val="20"/>
              </w:rPr>
            </w:pPr>
            <w:r w:rsidRPr="00B6199B">
              <w:rPr>
                <w:rFonts w:ascii="Times New Roman" w:hAnsi="Times New Roman" w:cs="Times New Roman"/>
                <w:sz w:val="20"/>
              </w:rPr>
              <w:t>49.8%</w:t>
            </w:r>
          </w:p>
        </w:tc>
        <w:tc>
          <w:tcPr>
            <w:tcW w:w="1915" w:type="dxa"/>
            <w:tcBorders>
              <w:top w:val="nil"/>
              <w:left w:val="nil"/>
              <w:bottom w:val="nil"/>
              <w:right w:val="nil"/>
            </w:tcBorders>
            <w:vAlign w:val="center"/>
          </w:tcPr>
          <w:p w:rsidR="00104C4B" w:rsidRPr="00B6199B" w:rsidRDefault="00104C4B" w:rsidP="0090233B">
            <w:pPr>
              <w:tabs>
                <w:tab w:val="left" w:pos="0"/>
              </w:tabs>
              <w:jc w:val="center"/>
              <w:rPr>
                <w:rFonts w:ascii="Times New Roman" w:hAnsi="Times New Roman" w:cs="Times New Roman"/>
                <w:sz w:val="20"/>
              </w:rPr>
            </w:pPr>
            <w:r w:rsidRPr="00B6199B">
              <w:rPr>
                <w:rFonts w:ascii="Times New Roman" w:hAnsi="Times New Roman" w:cs="Times New Roman"/>
                <w:sz w:val="20"/>
              </w:rPr>
              <w:t>41.9%</w:t>
            </w:r>
          </w:p>
        </w:tc>
        <w:tc>
          <w:tcPr>
            <w:tcW w:w="2348" w:type="dxa"/>
            <w:tcBorders>
              <w:top w:val="nil"/>
              <w:left w:val="nil"/>
              <w:bottom w:val="nil"/>
            </w:tcBorders>
            <w:vAlign w:val="center"/>
          </w:tcPr>
          <w:p w:rsidR="00104C4B" w:rsidRPr="00B6199B" w:rsidRDefault="00104C4B" w:rsidP="0090233B">
            <w:pPr>
              <w:tabs>
                <w:tab w:val="left" w:pos="0"/>
              </w:tabs>
              <w:jc w:val="center"/>
              <w:rPr>
                <w:rFonts w:ascii="Times New Roman" w:hAnsi="Times New Roman" w:cs="Times New Roman"/>
                <w:sz w:val="20"/>
              </w:rPr>
            </w:pPr>
            <w:r w:rsidRPr="00B6199B">
              <w:rPr>
                <w:rFonts w:ascii="Times New Roman" w:hAnsi="Times New Roman" w:cs="Times New Roman"/>
                <w:sz w:val="20"/>
              </w:rPr>
              <w:t>28.1%</w:t>
            </w:r>
          </w:p>
        </w:tc>
      </w:tr>
      <w:tr w:rsidR="00104C4B" w:rsidRPr="008358B2" w:rsidTr="00B347BC">
        <w:trPr>
          <w:trHeight w:val="512"/>
          <w:jc w:val="center"/>
        </w:trPr>
        <w:tc>
          <w:tcPr>
            <w:tcW w:w="10440" w:type="dxa"/>
            <w:gridSpan w:val="5"/>
            <w:tcBorders>
              <w:top w:val="single" w:sz="4" w:space="0" w:color="auto"/>
            </w:tcBorders>
            <w:vAlign w:val="center"/>
          </w:tcPr>
          <w:p w:rsidR="00104C4B" w:rsidRPr="000F6020" w:rsidRDefault="00104C4B" w:rsidP="00104C4B">
            <w:pPr>
              <w:rPr>
                <w:rFonts w:ascii="Times New Roman" w:hAnsi="Times New Roman" w:cs="Times New Roman"/>
                <w:sz w:val="20"/>
                <w:vertAlign w:val="superscript"/>
              </w:rPr>
            </w:pPr>
            <w:r>
              <w:rPr>
                <w:rFonts w:ascii="Times New Roman" w:hAnsi="Times New Roman" w:cs="Times New Roman"/>
                <w:sz w:val="20"/>
              </w:rPr>
              <w:t>Healthy People 2020 goal is 80%</w:t>
            </w:r>
            <w:r w:rsidR="00DF4CFA">
              <w:rPr>
                <w:rFonts w:ascii="Times New Roman" w:hAnsi="Times New Roman" w:cs="Times New Roman"/>
                <w:sz w:val="20"/>
              </w:rPr>
              <w:t xml:space="preserve"> for</w:t>
            </w:r>
            <w:r w:rsidR="0073202D">
              <w:rPr>
                <w:rFonts w:ascii="Times New Roman" w:hAnsi="Times New Roman" w:cs="Times New Roman"/>
                <w:sz w:val="20"/>
              </w:rPr>
              <w:t xml:space="preserve"> ≥3</w:t>
            </w:r>
            <w:r w:rsidR="00DF4CFA">
              <w:rPr>
                <w:rFonts w:ascii="Times New Roman" w:hAnsi="Times New Roman" w:cs="Times New Roman"/>
                <w:sz w:val="20"/>
              </w:rPr>
              <w:t xml:space="preserve"> dose</w:t>
            </w:r>
            <w:r w:rsidR="0073202D">
              <w:rPr>
                <w:rFonts w:ascii="Times New Roman" w:hAnsi="Times New Roman" w:cs="Times New Roman"/>
                <w:sz w:val="20"/>
              </w:rPr>
              <w:t>s</w:t>
            </w:r>
            <w:r w:rsidR="001A4F6C">
              <w:rPr>
                <w:rFonts w:ascii="Times New Roman" w:hAnsi="Times New Roman" w:cs="Times New Roman"/>
                <w:sz w:val="20"/>
                <w:vertAlign w:val="superscript"/>
              </w:rPr>
              <w:t>6</w:t>
            </w:r>
            <w:r w:rsidR="00AA7684">
              <w:rPr>
                <w:rFonts w:ascii="Times New Roman" w:hAnsi="Times New Roman" w:cs="Times New Roman"/>
                <w:sz w:val="20"/>
              </w:rPr>
              <w:t>;</w:t>
            </w:r>
            <w:r>
              <w:rPr>
                <w:rFonts w:ascii="Times New Roman" w:hAnsi="Times New Roman" w:cs="Times New Roman"/>
                <w:sz w:val="20"/>
              </w:rPr>
              <w:t xml:space="preserve"> Data source:</w:t>
            </w:r>
            <w:r w:rsidRPr="00104C4B">
              <w:rPr>
                <w:rFonts w:ascii="Times New Roman" w:hAnsi="Times New Roman" w:cs="Times New Roman"/>
                <w:sz w:val="20"/>
                <w:szCs w:val="20"/>
              </w:rPr>
              <w:t xml:space="preserve"> U.S. Department of H</w:t>
            </w:r>
            <w:r w:rsidR="00AA7684">
              <w:rPr>
                <w:rFonts w:ascii="Times New Roman" w:hAnsi="Times New Roman" w:cs="Times New Roman"/>
                <w:sz w:val="20"/>
                <w:szCs w:val="20"/>
              </w:rPr>
              <w:t>ealth and Human Services (DHHS).</w:t>
            </w:r>
            <w:r w:rsidRPr="00104C4B">
              <w:rPr>
                <w:rFonts w:ascii="Times New Roman" w:hAnsi="Times New Roman" w:cs="Times New Roman"/>
                <w:sz w:val="20"/>
                <w:szCs w:val="20"/>
              </w:rPr>
              <w:t xml:space="preserve"> National Center for Health S</w:t>
            </w:r>
            <w:r>
              <w:rPr>
                <w:rFonts w:ascii="Times New Roman" w:hAnsi="Times New Roman" w:cs="Times New Roman"/>
                <w:sz w:val="20"/>
                <w:szCs w:val="20"/>
              </w:rPr>
              <w:t>tatistics,</w:t>
            </w:r>
            <w:r w:rsidRPr="00104C4B">
              <w:rPr>
                <w:rFonts w:ascii="Times New Roman" w:hAnsi="Times New Roman" w:cs="Times New Roman"/>
                <w:sz w:val="20"/>
                <w:szCs w:val="20"/>
              </w:rPr>
              <w:t xml:space="preserve"> The 2015 National Immunization Survey</w:t>
            </w:r>
            <w:r>
              <w:rPr>
                <w:rFonts w:ascii="Times New Roman" w:hAnsi="Times New Roman" w:cs="Times New Roman"/>
                <w:sz w:val="20"/>
                <w:szCs w:val="20"/>
              </w:rPr>
              <w:t>, TeenVaxView</w:t>
            </w:r>
            <w:r w:rsidR="001A4F6C">
              <w:rPr>
                <w:rFonts w:ascii="Times New Roman" w:hAnsi="Times New Roman" w:cs="Times New Roman"/>
                <w:sz w:val="20"/>
                <w:szCs w:val="20"/>
                <w:vertAlign w:val="superscript"/>
              </w:rPr>
              <w:t>5</w:t>
            </w:r>
          </w:p>
        </w:tc>
      </w:tr>
    </w:tbl>
    <w:p w:rsidR="00D2512C" w:rsidRDefault="00D2512C" w:rsidP="00081672">
      <w:pPr>
        <w:pStyle w:val="ListParagraph"/>
        <w:numPr>
          <w:ilvl w:val="0"/>
          <w:numId w:val="4"/>
        </w:numPr>
        <w:spacing w:after="0" w:line="240" w:lineRule="auto"/>
        <w:ind w:left="180" w:hanging="180"/>
        <w:rPr>
          <w:rFonts w:ascii="Times New Roman" w:hAnsi="Times New Roman" w:cs="Times New Roman"/>
          <w:sz w:val="24"/>
        </w:rPr>
        <w:sectPr w:rsidR="00D2512C" w:rsidSect="002E2538">
          <w:type w:val="continuous"/>
          <w:pgSz w:w="12240" w:h="15840"/>
          <w:pgMar w:top="1440" w:right="1440" w:bottom="1440" w:left="1440" w:header="720" w:footer="720" w:gutter="0"/>
          <w:cols w:space="720"/>
          <w:docGrid w:linePitch="360"/>
        </w:sectPr>
      </w:pPr>
    </w:p>
    <w:tbl>
      <w:tblPr>
        <w:tblStyle w:val="TableGrid"/>
        <w:tblW w:w="10440" w:type="dxa"/>
        <w:jc w:val="center"/>
        <w:tblLook w:val="04A0" w:firstRow="1" w:lastRow="0" w:firstColumn="1" w:lastColumn="0" w:noHBand="0" w:noVBand="1"/>
      </w:tblPr>
      <w:tblGrid>
        <w:gridCol w:w="10440"/>
      </w:tblGrid>
      <w:tr w:rsidR="00D2512C" w:rsidRPr="00902D3A" w:rsidTr="00B347BC">
        <w:trPr>
          <w:trHeight w:val="423"/>
          <w:jc w:val="center"/>
        </w:trPr>
        <w:tc>
          <w:tcPr>
            <w:tcW w:w="10440" w:type="dxa"/>
            <w:tcBorders>
              <w:top w:val="nil"/>
              <w:left w:val="nil"/>
              <w:right w:val="nil"/>
            </w:tcBorders>
            <w:vAlign w:val="center"/>
          </w:tcPr>
          <w:p w:rsidR="00E73CA9" w:rsidRDefault="00E73CA9" w:rsidP="0073202D">
            <w:pPr>
              <w:rPr>
                <w:rFonts w:ascii="Times New Roman" w:hAnsi="Times New Roman" w:cs="Times New Roman"/>
                <w:b/>
                <w:color w:val="1F497D" w:themeColor="text2"/>
                <w:sz w:val="24"/>
              </w:rPr>
            </w:pPr>
          </w:p>
          <w:p w:rsidR="00E73CA9" w:rsidRDefault="00E73CA9" w:rsidP="0073202D">
            <w:pPr>
              <w:rPr>
                <w:rFonts w:ascii="Times New Roman" w:hAnsi="Times New Roman" w:cs="Times New Roman"/>
                <w:b/>
                <w:color w:val="1F497D" w:themeColor="text2"/>
                <w:sz w:val="24"/>
              </w:rPr>
            </w:pPr>
          </w:p>
          <w:p w:rsidR="00E73CA9" w:rsidRDefault="00E73CA9" w:rsidP="0073202D">
            <w:pPr>
              <w:rPr>
                <w:rFonts w:ascii="Times New Roman" w:hAnsi="Times New Roman" w:cs="Times New Roman"/>
                <w:b/>
                <w:color w:val="1F497D" w:themeColor="text2"/>
                <w:sz w:val="24"/>
              </w:rPr>
            </w:pPr>
          </w:p>
          <w:p w:rsidR="00E73CA9" w:rsidRDefault="00E73CA9" w:rsidP="0073202D">
            <w:pPr>
              <w:rPr>
                <w:rFonts w:ascii="Times New Roman" w:hAnsi="Times New Roman" w:cs="Times New Roman"/>
                <w:b/>
                <w:color w:val="1F497D" w:themeColor="text2"/>
                <w:sz w:val="24"/>
              </w:rPr>
            </w:pPr>
          </w:p>
          <w:p w:rsidR="00D2512C" w:rsidRPr="00902D3A" w:rsidRDefault="0073202D" w:rsidP="0073202D">
            <w:pPr>
              <w:rPr>
                <w:rFonts w:ascii="Times New Roman" w:hAnsi="Times New Roman" w:cs="Times New Roman"/>
                <w:b/>
                <w:color w:val="1F497D" w:themeColor="text2"/>
                <w:sz w:val="24"/>
              </w:rPr>
            </w:pPr>
            <w:bookmarkStart w:id="0" w:name="_GoBack"/>
            <w:bookmarkEnd w:id="0"/>
            <w:r>
              <w:rPr>
                <w:rFonts w:ascii="Times New Roman" w:hAnsi="Times New Roman" w:cs="Times New Roman"/>
                <w:b/>
                <w:color w:val="1F497D" w:themeColor="text2"/>
                <w:sz w:val="24"/>
              </w:rPr>
              <w:t xml:space="preserve">PREVALENCE OF </w:t>
            </w:r>
            <w:r w:rsidR="00D2512C">
              <w:rPr>
                <w:rFonts w:ascii="Times New Roman" w:hAnsi="Times New Roman" w:cs="Times New Roman"/>
                <w:b/>
                <w:color w:val="1F497D" w:themeColor="text2"/>
                <w:sz w:val="24"/>
              </w:rPr>
              <w:t>CERVICAL C</w:t>
            </w:r>
            <w:r>
              <w:rPr>
                <w:rFonts w:ascii="Times New Roman" w:hAnsi="Times New Roman" w:cs="Times New Roman"/>
                <w:b/>
                <w:color w:val="1F497D" w:themeColor="text2"/>
                <w:sz w:val="24"/>
              </w:rPr>
              <w:t xml:space="preserve">ANCER SCREENING BY PAP SMEAR </w:t>
            </w:r>
          </w:p>
        </w:tc>
      </w:tr>
      <w:tr w:rsidR="00D2512C" w:rsidRPr="00902D3A" w:rsidTr="00B347BC">
        <w:trPr>
          <w:trHeight w:val="467"/>
          <w:jc w:val="center"/>
        </w:trPr>
        <w:tc>
          <w:tcPr>
            <w:tcW w:w="10440" w:type="dxa"/>
            <w:tcBorders>
              <w:bottom w:val="single" w:sz="4" w:space="0" w:color="auto"/>
            </w:tcBorders>
            <w:vAlign w:val="center"/>
          </w:tcPr>
          <w:p w:rsidR="00D2512C" w:rsidRDefault="00D2512C" w:rsidP="00C83909">
            <w:pPr>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Figure </w:t>
            </w:r>
            <w:r w:rsidR="00F74BA4">
              <w:rPr>
                <w:rFonts w:ascii="Times New Roman" w:hAnsi="Times New Roman" w:cs="Times New Roman"/>
                <w:b/>
                <w:color w:val="1F497D" w:themeColor="text2"/>
                <w:sz w:val="24"/>
              </w:rPr>
              <w:t>7</w:t>
            </w:r>
            <w:r>
              <w:rPr>
                <w:rFonts w:ascii="Times New Roman" w:hAnsi="Times New Roman" w:cs="Times New Roman"/>
                <w:b/>
                <w:color w:val="1F497D" w:themeColor="text2"/>
                <w:sz w:val="24"/>
              </w:rPr>
              <w:t xml:space="preserve">. Percent of females^ ages 20-65 that </w:t>
            </w:r>
            <w:r w:rsidR="00C83909">
              <w:rPr>
                <w:rFonts w:ascii="Times New Roman" w:hAnsi="Times New Roman" w:cs="Times New Roman"/>
                <w:b/>
                <w:color w:val="1F497D" w:themeColor="text2"/>
                <w:sz w:val="24"/>
              </w:rPr>
              <w:t>reported</w:t>
            </w:r>
            <w:r w:rsidR="00E30FD2">
              <w:rPr>
                <w:rFonts w:ascii="Times New Roman" w:hAnsi="Times New Roman" w:cs="Times New Roman"/>
                <w:b/>
                <w:color w:val="1F497D" w:themeColor="text2"/>
                <w:sz w:val="24"/>
              </w:rPr>
              <w:t xml:space="preserve"> a P</w:t>
            </w:r>
            <w:r>
              <w:rPr>
                <w:rFonts w:ascii="Times New Roman" w:hAnsi="Times New Roman" w:cs="Times New Roman"/>
                <w:b/>
                <w:color w:val="1F497D" w:themeColor="text2"/>
                <w:sz w:val="24"/>
              </w:rPr>
              <w:t>ap smear in the past 3 years by age and race/ethnicity, Massachusetts, 2014</w:t>
            </w:r>
          </w:p>
        </w:tc>
      </w:tr>
      <w:tr w:rsidR="00D2512C" w:rsidRPr="00902D3A" w:rsidTr="00B347BC">
        <w:trPr>
          <w:trHeight w:val="3905"/>
          <w:jc w:val="center"/>
        </w:trPr>
        <w:tc>
          <w:tcPr>
            <w:tcW w:w="10440" w:type="dxa"/>
            <w:tcBorders>
              <w:bottom w:val="single" w:sz="4" w:space="0" w:color="auto"/>
            </w:tcBorders>
            <w:vAlign w:val="center"/>
          </w:tcPr>
          <w:p w:rsidR="00D2512C" w:rsidRDefault="00D2512C" w:rsidP="0090233B">
            <w:pPr>
              <w:jc w:val="center"/>
              <w:rPr>
                <w:noProof/>
              </w:rPr>
            </w:pPr>
            <w:r w:rsidRPr="002B4414">
              <w:rPr>
                <w:rFonts w:ascii="Times New Roman" w:hAnsi="Times New Roman" w:cs="Times New Roman"/>
                <w:noProof/>
                <w:sz w:val="24"/>
              </w:rPr>
              <w:drawing>
                <wp:inline distT="0" distB="0" distL="0" distR="0" wp14:anchorId="14D61DA8" wp14:editId="753C7AD0">
                  <wp:extent cx="6248400" cy="2463800"/>
                  <wp:effectExtent l="0" t="0" r="0" b="0"/>
                  <wp:docPr id="21" name="Chart 21" descr="20-29 year olds had the lowest prevalence of pap smears at 69%. 91.8% of women in their 30s, 91.4% of women in their 40s, 90.1% of women in their 50s, and 88.6% of women ages 60-65 reported having a pap smear in the past 3 years. 87.5% of non-Hispanic white women, 86.2% of non-Hispanic black women, 79.7% of Asian women, and 84.3% of Hispanic women reported having a pap smear in the past 3 years. These were females wtihout a history of hysterectomy. 2012 data was used for asian women due to insufficient data in 2014. Asian women were statistically significantly different from white females. The healthy people 2020 goal for pap smears is 93%. Data are from the Massachusetts BRFSS. " title="Figure 7. Percent of females ages 20-65 that reported a pap smear in the past 3 years by age and race/ethnicity, Massachusetts,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D2512C" w:rsidRPr="008358B2" w:rsidTr="00B347BC">
        <w:trPr>
          <w:trHeight w:val="512"/>
          <w:jc w:val="center"/>
        </w:trPr>
        <w:tc>
          <w:tcPr>
            <w:tcW w:w="10440" w:type="dxa"/>
            <w:tcBorders>
              <w:top w:val="single" w:sz="4" w:space="0" w:color="auto"/>
            </w:tcBorders>
            <w:vAlign w:val="center"/>
          </w:tcPr>
          <w:p w:rsidR="00D2512C" w:rsidRDefault="00D2512C" w:rsidP="00D2512C">
            <w:pPr>
              <w:rPr>
                <w:rFonts w:ascii="Times New Roman" w:hAnsi="Times New Roman" w:cs="Times New Roman"/>
                <w:sz w:val="20"/>
              </w:rPr>
            </w:pPr>
            <w:r>
              <w:rPr>
                <w:rFonts w:ascii="Times New Roman" w:hAnsi="Times New Roman" w:cs="Times New Roman"/>
                <w:sz w:val="20"/>
              </w:rPr>
              <w:t>^Among females wi</w:t>
            </w:r>
            <w:r w:rsidR="00B90089">
              <w:rPr>
                <w:rFonts w:ascii="Times New Roman" w:hAnsi="Times New Roman" w:cs="Times New Roman"/>
                <w:sz w:val="20"/>
              </w:rPr>
              <w:t>thout a history of hysterectomy;</w:t>
            </w:r>
            <w:r>
              <w:rPr>
                <w:rFonts w:ascii="Times New Roman" w:hAnsi="Times New Roman" w:cs="Times New Roman"/>
                <w:sz w:val="20"/>
              </w:rPr>
              <w:t xml:space="preserve"> *2012 data was used for Asians due to insufficient data in 2014, and was statistically signific</w:t>
            </w:r>
            <w:r w:rsidR="00B90089">
              <w:rPr>
                <w:rFonts w:ascii="Times New Roman" w:hAnsi="Times New Roman" w:cs="Times New Roman"/>
                <w:sz w:val="20"/>
              </w:rPr>
              <w:t>ant from white females in 2012; NH = Non-Hispanic;</w:t>
            </w:r>
            <w:r>
              <w:rPr>
                <w:rFonts w:ascii="Times New Roman" w:hAnsi="Times New Roman" w:cs="Times New Roman"/>
                <w:sz w:val="20"/>
              </w:rPr>
              <w:t xml:space="preserve"> Healthy People 2020 goal is 93%</w:t>
            </w:r>
            <w:r w:rsidR="00B90089">
              <w:rPr>
                <w:rFonts w:ascii="Times New Roman" w:hAnsi="Times New Roman" w:cs="Times New Roman"/>
                <w:sz w:val="20"/>
                <w:vertAlign w:val="superscript"/>
              </w:rPr>
              <w:t>6</w:t>
            </w:r>
            <w:r w:rsidR="00B90089">
              <w:rPr>
                <w:rFonts w:ascii="Times New Roman" w:hAnsi="Times New Roman" w:cs="Times New Roman"/>
                <w:sz w:val="20"/>
              </w:rPr>
              <w:t>;</w:t>
            </w:r>
            <w:r>
              <w:rPr>
                <w:rFonts w:ascii="Times New Roman" w:hAnsi="Times New Roman" w:cs="Times New Roman"/>
                <w:sz w:val="20"/>
              </w:rPr>
              <w:t xml:space="preserve"> Data source:</w:t>
            </w:r>
            <w:r w:rsidRPr="00104C4B">
              <w:rPr>
                <w:rFonts w:ascii="Times New Roman" w:hAnsi="Times New Roman" w:cs="Times New Roman"/>
                <w:sz w:val="20"/>
                <w:szCs w:val="20"/>
              </w:rPr>
              <w:t xml:space="preserve"> </w:t>
            </w:r>
            <w:r>
              <w:rPr>
                <w:rFonts w:ascii="Times New Roman" w:hAnsi="Times New Roman" w:cs="Times New Roman"/>
                <w:sz w:val="20"/>
                <w:szCs w:val="20"/>
              </w:rPr>
              <w:t>Massachusetts BRFSS</w:t>
            </w:r>
          </w:p>
        </w:tc>
      </w:tr>
    </w:tbl>
    <w:p w:rsidR="00D2512C" w:rsidRDefault="00D2512C" w:rsidP="00553017">
      <w:pPr>
        <w:spacing w:after="0" w:line="240" w:lineRule="auto"/>
        <w:rPr>
          <w:rFonts w:ascii="Times New Roman" w:hAnsi="Times New Roman" w:cs="Times New Roman"/>
          <w:sz w:val="24"/>
        </w:rPr>
      </w:pPr>
    </w:p>
    <w:p w:rsidR="00B6199B" w:rsidRPr="00F56380" w:rsidRDefault="00B6199B" w:rsidP="00F56380">
      <w:pPr>
        <w:spacing w:after="0" w:line="240" w:lineRule="auto"/>
        <w:rPr>
          <w:rFonts w:ascii="Times New Roman" w:hAnsi="Times New Roman" w:cs="Times New Roman"/>
          <w:sz w:val="24"/>
        </w:rPr>
        <w:sectPr w:rsidR="00B6199B" w:rsidRPr="00F56380" w:rsidSect="00A02173">
          <w:type w:val="continuous"/>
          <w:pgSz w:w="12240" w:h="15840"/>
          <w:pgMar w:top="864" w:right="864" w:bottom="864" w:left="864" w:header="720" w:footer="720" w:gutter="0"/>
          <w:cols w:space="720"/>
          <w:docGrid w:linePitch="360"/>
        </w:sectPr>
      </w:pPr>
    </w:p>
    <w:p w:rsidR="00D2512C" w:rsidRDefault="000324D6" w:rsidP="00D2512C">
      <w:pPr>
        <w:pStyle w:val="ListParagraph"/>
        <w:numPr>
          <w:ilvl w:val="0"/>
          <w:numId w:val="5"/>
        </w:numPr>
        <w:spacing w:after="0" w:line="240" w:lineRule="auto"/>
        <w:ind w:left="180" w:hanging="180"/>
        <w:rPr>
          <w:rFonts w:ascii="Times New Roman" w:hAnsi="Times New Roman" w:cs="Times New Roman"/>
          <w:sz w:val="24"/>
        </w:rPr>
      </w:pPr>
      <w:r w:rsidRPr="00D2512C">
        <w:rPr>
          <w:rFonts w:ascii="Times New Roman" w:hAnsi="Times New Roman" w:cs="Times New Roman"/>
          <w:sz w:val="24"/>
        </w:rPr>
        <w:t xml:space="preserve">In 2014, 86.2% of females in Massachusetts, age 20-65 and who did not have a hysterectomy, had a Pap smear in the past 3 years. </w:t>
      </w:r>
    </w:p>
    <w:p w:rsidR="00B6199B" w:rsidRDefault="00B6199B" w:rsidP="00B6199B">
      <w:pPr>
        <w:pStyle w:val="ListParagraph"/>
        <w:spacing w:after="0" w:line="240" w:lineRule="auto"/>
        <w:ind w:left="180"/>
        <w:rPr>
          <w:rFonts w:ascii="Times New Roman" w:hAnsi="Times New Roman" w:cs="Times New Roman"/>
          <w:sz w:val="24"/>
        </w:rPr>
      </w:pPr>
    </w:p>
    <w:p w:rsidR="00D2512C" w:rsidRDefault="00B90089" w:rsidP="00D2512C">
      <w:pPr>
        <w:pStyle w:val="ListParagraph"/>
        <w:numPr>
          <w:ilvl w:val="0"/>
          <w:numId w:val="5"/>
        </w:numPr>
        <w:spacing w:after="0" w:line="240" w:lineRule="auto"/>
        <w:ind w:left="180" w:hanging="180"/>
        <w:rPr>
          <w:rFonts w:ascii="Times New Roman" w:hAnsi="Times New Roman" w:cs="Times New Roman"/>
          <w:sz w:val="24"/>
        </w:rPr>
      </w:pPr>
      <w:r>
        <w:rPr>
          <w:rFonts w:ascii="Times New Roman" w:hAnsi="Times New Roman" w:cs="Times New Roman"/>
          <w:sz w:val="24"/>
        </w:rPr>
        <w:t>The prevalence of P</w:t>
      </w:r>
      <w:r w:rsidR="000324D6" w:rsidRPr="00D2512C">
        <w:rPr>
          <w:rFonts w:ascii="Times New Roman" w:hAnsi="Times New Roman" w:cs="Times New Roman"/>
          <w:sz w:val="24"/>
        </w:rPr>
        <w:t xml:space="preserve">ap smears was lowest among females age 20-29 (69.0%) and was highest among females age 30-39 (91.8%). </w:t>
      </w:r>
    </w:p>
    <w:p w:rsidR="00B6199B" w:rsidRDefault="00B6199B" w:rsidP="00B6199B">
      <w:pPr>
        <w:pStyle w:val="ListParagraph"/>
        <w:spacing w:after="0" w:line="240" w:lineRule="auto"/>
        <w:ind w:left="180"/>
        <w:rPr>
          <w:rFonts w:ascii="Times New Roman" w:hAnsi="Times New Roman" w:cs="Times New Roman"/>
          <w:sz w:val="24"/>
        </w:rPr>
      </w:pPr>
    </w:p>
    <w:p w:rsidR="000324D6" w:rsidRDefault="000324D6" w:rsidP="00D2512C">
      <w:pPr>
        <w:pStyle w:val="ListParagraph"/>
        <w:numPr>
          <w:ilvl w:val="0"/>
          <w:numId w:val="5"/>
        </w:numPr>
        <w:spacing w:after="0" w:line="240" w:lineRule="auto"/>
        <w:ind w:left="180" w:hanging="180"/>
        <w:rPr>
          <w:rFonts w:ascii="Times New Roman" w:hAnsi="Times New Roman" w:cs="Times New Roman"/>
          <w:sz w:val="24"/>
        </w:rPr>
      </w:pPr>
      <w:r w:rsidRPr="00D2512C">
        <w:rPr>
          <w:rFonts w:ascii="Times New Roman" w:hAnsi="Times New Roman" w:cs="Times New Roman"/>
          <w:sz w:val="24"/>
        </w:rPr>
        <w:t>Asi</w:t>
      </w:r>
      <w:r w:rsidR="00B90089">
        <w:rPr>
          <w:rFonts w:ascii="Times New Roman" w:hAnsi="Times New Roman" w:cs="Times New Roman"/>
          <w:sz w:val="24"/>
        </w:rPr>
        <w:t>an females</w:t>
      </w:r>
      <w:r w:rsidRPr="00D2512C">
        <w:rPr>
          <w:rFonts w:ascii="Times New Roman" w:hAnsi="Times New Roman" w:cs="Times New Roman"/>
          <w:sz w:val="24"/>
        </w:rPr>
        <w:t xml:space="preserve"> had a lo</w:t>
      </w:r>
      <w:r w:rsidR="00B90089">
        <w:rPr>
          <w:rFonts w:ascii="Times New Roman" w:hAnsi="Times New Roman" w:cs="Times New Roman"/>
          <w:sz w:val="24"/>
        </w:rPr>
        <w:t>wer age-adjusted prevalence of P</w:t>
      </w:r>
      <w:r w:rsidR="00D2512C">
        <w:rPr>
          <w:rFonts w:ascii="Times New Roman" w:hAnsi="Times New Roman" w:cs="Times New Roman"/>
          <w:sz w:val="24"/>
        </w:rPr>
        <w:t>ap s</w:t>
      </w:r>
      <w:r w:rsidRPr="00D2512C">
        <w:rPr>
          <w:rFonts w:ascii="Times New Roman" w:hAnsi="Times New Roman" w:cs="Times New Roman"/>
          <w:sz w:val="24"/>
        </w:rPr>
        <w:t xml:space="preserve">mears than </w:t>
      </w:r>
      <w:r w:rsidR="00B90089">
        <w:rPr>
          <w:rFonts w:ascii="Times New Roman" w:hAnsi="Times New Roman" w:cs="Times New Roman"/>
          <w:sz w:val="24"/>
        </w:rPr>
        <w:t>non-Hispanic white females</w:t>
      </w:r>
      <w:r w:rsidRPr="00D2512C">
        <w:rPr>
          <w:rFonts w:ascii="Times New Roman" w:hAnsi="Times New Roman" w:cs="Times New Roman"/>
          <w:sz w:val="24"/>
        </w:rPr>
        <w:t xml:space="preserve"> (79.7% compared to 89.7% respectively) in 2012. </w:t>
      </w:r>
      <w:r w:rsidR="00B90089">
        <w:rPr>
          <w:rFonts w:ascii="Times New Roman" w:hAnsi="Times New Roman" w:cs="Times New Roman"/>
          <w:sz w:val="24"/>
        </w:rPr>
        <w:t>Non-Hispanic black females, Hispanic females, and non-Hispanic white females had a</w:t>
      </w:r>
      <w:r w:rsidRPr="00D2512C">
        <w:rPr>
          <w:rFonts w:ascii="Times New Roman" w:hAnsi="Times New Roman" w:cs="Times New Roman"/>
          <w:sz w:val="24"/>
        </w:rPr>
        <w:t xml:space="preserve"> similar age-adjusted prevalence of Pap smears (86.2%, 84.3% and 87.5% respectively) in 2014.</w:t>
      </w:r>
    </w:p>
    <w:p w:rsidR="00B6199B" w:rsidRDefault="00B6199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72570B" w:rsidRDefault="0072570B" w:rsidP="00B6199B">
      <w:pPr>
        <w:pStyle w:val="ListParagraph"/>
        <w:spacing w:after="0" w:line="240" w:lineRule="auto"/>
        <w:ind w:left="180"/>
        <w:rPr>
          <w:rFonts w:ascii="Times New Roman" w:hAnsi="Times New Roman" w:cs="Times New Roman"/>
          <w:sz w:val="24"/>
        </w:rPr>
      </w:pPr>
    </w:p>
    <w:p w:rsidR="00B6199B" w:rsidRDefault="0072570B" w:rsidP="00A30879">
      <w:pPr>
        <w:pStyle w:val="ListParagraph"/>
        <w:numPr>
          <w:ilvl w:val="0"/>
          <w:numId w:val="5"/>
        </w:numPr>
        <w:spacing w:after="0" w:line="240" w:lineRule="auto"/>
        <w:ind w:left="180" w:hanging="180"/>
        <w:rPr>
          <w:rFonts w:ascii="Times New Roman" w:hAnsi="Times New Roman" w:cs="Times New Roman"/>
          <w:sz w:val="24"/>
        </w:rPr>
      </w:pPr>
      <w:r>
        <w:rPr>
          <w:rFonts w:ascii="Times New Roman" w:hAnsi="Times New Roman" w:cs="Times New Roman"/>
          <w:sz w:val="24"/>
        </w:rPr>
        <w:t>I</w:t>
      </w:r>
      <w:r w:rsidR="00B90089">
        <w:rPr>
          <w:rFonts w:ascii="Times New Roman" w:hAnsi="Times New Roman" w:cs="Times New Roman"/>
          <w:sz w:val="24"/>
        </w:rPr>
        <w:t>n the United States</w:t>
      </w:r>
      <w:r w:rsidR="00A30879" w:rsidRPr="00B6199B">
        <w:rPr>
          <w:rFonts w:ascii="Times New Roman" w:hAnsi="Times New Roman" w:cs="Times New Roman"/>
          <w:sz w:val="24"/>
        </w:rPr>
        <w:t xml:space="preserve">, 80.7% of females aged 21-65 reported having a Pap smear in the last 3 years compared to 86.2% of </w:t>
      </w:r>
      <w:r w:rsidR="00A93016" w:rsidRPr="00B6199B">
        <w:rPr>
          <w:rFonts w:ascii="Times New Roman" w:hAnsi="Times New Roman" w:cs="Times New Roman"/>
          <w:sz w:val="24"/>
        </w:rPr>
        <w:t>females</w:t>
      </w:r>
      <w:r w:rsidR="00A30879" w:rsidRPr="00B6199B">
        <w:rPr>
          <w:rFonts w:ascii="Times New Roman" w:hAnsi="Times New Roman" w:cs="Times New Roman"/>
          <w:sz w:val="24"/>
        </w:rPr>
        <w:t xml:space="preserve"> in Massachusetts ages 20-65.</w:t>
      </w:r>
      <w:r w:rsidR="00B90089">
        <w:rPr>
          <w:rFonts w:ascii="Times New Roman" w:hAnsi="Times New Roman" w:cs="Times New Roman"/>
          <w:sz w:val="24"/>
          <w:vertAlign w:val="superscript"/>
        </w:rPr>
        <w:t>7</w:t>
      </w:r>
      <w:r w:rsidR="00A30879" w:rsidRPr="00B6199B">
        <w:rPr>
          <w:rFonts w:ascii="Times New Roman" w:hAnsi="Times New Roman" w:cs="Times New Roman"/>
          <w:sz w:val="24"/>
        </w:rPr>
        <w:t xml:space="preserve"> </w:t>
      </w:r>
    </w:p>
    <w:p w:rsidR="00B6199B" w:rsidRDefault="00B6199B" w:rsidP="00B6199B">
      <w:pPr>
        <w:pStyle w:val="ListParagraph"/>
        <w:spacing w:after="0" w:line="240" w:lineRule="auto"/>
        <w:ind w:left="180"/>
        <w:rPr>
          <w:rFonts w:ascii="Times New Roman" w:hAnsi="Times New Roman" w:cs="Times New Roman"/>
          <w:sz w:val="24"/>
        </w:rPr>
      </w:pPr>
    </w:p>
    <w:p w:rsidR="00F56380" w:rsidRPr="00B347BC" w:rsidRDefault="00B90089" w:rsidP="00A30879">
      <w:pPr>
        <w:pStyle w:val="ListParagraph"/>
        <w:numPr>
          <w:ilvl w:val="0"/>
          <w:numId w:val="5"/>
        </w:numPr>
        <w:spacing w:after="0" w:line="240" w:lineRule="auto"/>
        <w:ind w:left="180" w:hanging="180"/>
        <w:rPr>
          <w:rFonts w:ascii="Times New Roman" w:hAnsi="Times New Roman" w:cs="Times New Roman"/>
          <w:sz w:val="24"/>
        </w:rPr>
      </w:pPr>
      <w:r>
        <w:rPr>
          <w:rFonts w:ascii="Times New Roman" w:hAnsi="Times New Roman" w:cs="Times New Roman"/>
          <w:sz w:val="24"/>
        </w:rPr>
        <w:t>In the United States</w:t>
      </w:r>
      <w:r w:rsidR="00A30879" w:rsidRPr="00B6199B">
        <w:rPr>
          <w:rFonts w:ascii="Times New Roman" w:hAnsi="Times New Roman" w:cs="Times New Roman"/>
          <w:sz w:val="24"/>
        </w:rPr>
        <w:t xml:space="preserve">, the prevalence of Pap smears was lower among Asians, Hispanics, and females aged 51-65 years, which was similar to trends in Massachusetts, except the younger </w:t>
      </w:r>
      <w:r w:rsidR="0073202D">
        <w:rPr>
          <w:rFonts w:ascii="Times New Roman" w:hAnsi="Times New Roman" w:cs="Times New Roman"/>
          <w:sz w:val="24"/>
        </w:rPr>
        <w:t xml:space="preserve">Massachusetts </w:t>
      </w:r>
      <w:r w:rsidR="00A93016" w:rsidRPr="00B6199B">
        <w:rPr>
          <w:rFonts w:ascii="Times New Roman" w:hAnsi="Times New Roman" w:cs="Times New Roman"/>
          <w:sz w:val="24"/>
        </w:rPr>
        <w:t>females</w:t>
      </w:r>
      <w:r w:rsidR="0073202D">
        <w:rPr>
          <w:rFonts w:ascii="Times New Roman" w:hAnsi="Times New Roman" w:cs="Times New Roman"/>
          <w:sz w:val="24"/>
        </w:rPr>
        <w:t xml:space="preserve"> (20-29 years old) who had</w:t>
      </w:r>
      <w:r w:rsidR="00A30879" w:rsidRPr="00B6199B">
        <w:rPr>
          <w:rFonts w:ascii="Times New Roman" w:hAnsi="Times New Roman" w:cs="Times New Roman"/>
          <w:sz w:val="24"/>
        </w:rPr>
        <w:t xml:space="preserve"> lower rate</w:t>
      </w:r>
      <w:r w:rsidR="0073202D">
        <w:rPr>
          <w:rFonts w:ascii="Times New Roman" w:hAnsi="Times New Roman" w:cs="Times New Roman"/>
          <w:sz w:val="24"/>
        </w:rPr>
        <w:t>s of Pap smear screening</w:t>
      </w:r>
      <w:r w:rsidR="00A30879" w:rsidRPr="00B6199B">
        <w:rPr>
          <w:rFonts w:ascii="Times New Roman" w:hAnsi="Times New Roman" w:cs="Times New Roman"/>
          <w:sz w:val="24"/>
        </w:rPr>
        <w:t>.</w:t>
      </w:r>
      <w:r>
        <w:rPr>
          <w:rFonts w:ascii="Times New Roman" w:hAnsi="Times New Roman" w:cs="Times New Roman"/>
          <w:sz w:val="24"/>
          <w:vertAlign w:val="superscript"/>
        </w:rPr>
        <w:t>7</w:t>
      </w:r>
    </w:p>
    <w:p w:rsidR="00B347BC" w:rsidRDefault="00B347BC" w:rsidP="00A30879">
      <w:pPr>
        <w:spacing w:after="0" w:line="240" w:lineRule="auto"/>
        <w:rPr>
          <w:rFonts w:ascii="Times New Roman" w:hAnsi="Times New Roman" w:cs="Times New Roman"/>
          <w:b/>
          <w:color w:val="1F497D" w:themeColor="text2"/>
          <w:sz w:val="24"/>
        </w:rPr>
      </w:pPr>
    </w:p>
    <w:p w:rsidR="00B347BC" w:rsidRDefault="00B347BC" w:rsidP="00A30879">
      <w:pPr>
        <w:spacing w:after="0" w:line="240" w:lineRule="auto"/>
        <w:rPr>
          <w:rFonts w:ascii="Times New Roman" w:hAnsi="Times New Roman" w:cs="Times New Roman"/>
          <w:b/>
          <w:color w:val="1F497D" w:themeColor="text2"/>
          <w:sz w:val="24"/>
        </w:rPr>
      </w:pPr>
    </w:p>
    <w:p w:rsidR="00B347BC" w:rsidRDefault="00B347BC" w:rsidP="00A30879">
      <w:pPr>
        <w:spacing w:after="0" w:line="240" w:lineRule="auto"/>
        <w:rPr>
          <w:rFonts w:ascii="Times New Roman" w:hAnsi="Times New Roman" w:cs="Times New Roman"/>
          <w:b/>
          <w:color w:val="1F497D" w:themeColor="text2"/>
          <w:sz w:val="24"/>
        </w:rPr>
      </w:pPr>
    </w:p>
    <w:p w:rsidR="0072570B" w:rsidRDefault="0072570B">
      <w:pPr>
        <w:rPr>
          <w:rFonts w:ascii="Times New Roman" w:hAnsi="Times New Roman" w:cs="Times New Roman"/>
          <w:b/>
          <w:color w:val="1F497D" w:themeColor="text2"/>
          <w:sz w:val="24"/>
        </w:rPr>
      </w:pPr>
    </w:p>
    <w:p w:rsidR="0072570B" w:rsidRDefault="0072570B">
      <w:pPr>
        <w:rPr>
          <w:rFonts w:ascii="Times New Roman" w:hAnsi="Times New Roman" w:cs="Times New Roman"/>
          <w:b/>
          <w:color w:val="1F497D" w:themeColor="text2"/>
          <w:sz w:val="24"/>
        </w:rPr>
      </w:pPr>
      <w:r>
        <w:rPr>
          <w:rFonts w:ascii="Times New Roman" w:hAnsi="Times New Roman" w:cs="Times New Roman"/>
          <w:b/>
          <w:color w:val="1F497D" w:themeColor="text2"/>
          <w:sz w:val="24"/>
        </w:rPr>
        <w:br w:type="page"/>
      </w:r>
    </w:p>
    <w:p w:rsidR="00B6465D" w:rsidRDefault="00B6199B" w:rsidP="00A30879">
      <w:pPr>
        <w:spacing w:after="0" w:line="240" w:lineRule="auto"/>
        <w:rPr>
          <w:rFonts w:ascii="Times New Roman" w:hAnsi="Times New Roman" w:cs="Times New Roman"/>
          <w:b/>
          <w:color w:val="1F497D" w:themeColor="text2"/>
          <w:sz w:val="24"/>
        </w:rPr>
      </w:pPr>
      <w:r>
        <w:rPr>
          <w:rFonts w:ascii="Times New Roman" w:hAnsi="Times New Roman" w:cs="Times New Roman"/>
          <w:b/>
          <w:color w:val="1F497D" w:themeColor="text2"/>
          <w:sz w:val="24"/>
        </w:rPr>
        <w:t xml:space="preserve">DATA SUMMARY </w:t>
      </w:r>
    </w:p>
    <w:p w:rsidR="00BF7A21" w:rsidRPr="002A6F77" w:rsidRDefault="00BF7A21" w:rsidP="00A30879">
      <w:pPr>
        <w:spacing w:after="0" w:line="240" w:lineRule="auto"/>
        <w:rPr>
          <w:rFonts w:ascii="Times New Roman" w:hAnsi="Times New Roman" w:cs="Times New Roman"/>
          <w:b/>
          <w:color w:val="1F497D" w:themeColor="text2"/>
          <w:sz w:val="20"/>
        </w:rPr>
      </w:pPr>
    </w:p>
    <w:p w:rsidR="00B6199B" w:rsidRPr="0090233B" w:rsidRDefault="00B6199B" w:rsidP="00A30879">
      <w:pPr>
        <w:pStyle w:val="ListParagraph"/>
        <w:numPr>
          <w:ilvl w:val="0"/>
          <w:numId w:val="5"/>
        </w:numPr>
        <w:spacing w:after="0" w:line="240" w:lineRule="auto"/>
        <w:ind w:left="180" w:hanging="180"/>
        <w:rPr>
          <w:rFonts w:ascii="Times New Roman" w:hAnsi="Times New Roman" w:cs="Times New Roman"/>
          <w:b/>
          <w:color w:val="1F497D" w:themeColor="text2"/>
          <w:sz w:val="24"/>
        </w:rPr>
      </w:pPr>
      <w:r>
        <w:rPr>
          <w:rFonts w:ascii="Times New Roman" w:hAnsi="Times New Roman" w:cs="Times New Roman"/>
          <w:sz w:val="24"/>
        </w:rPr>
        <w:t xml:space="preserve">Cervical cancer was the most common HPV-associated cancer </w:t>
      </w:r>
      <w:r w:rsidR="008815C3">
        <w:rPr>
          <w:rFonts w:ascii="Times New Roman" w:hAnsi="Times New Roman" w:cs="Times New Roman"/>
          <w:sz w:val="24"/>
        </w:rPr>
        <w:t xml:space="preserve">from 2004-2014, and </w:t>
      </w:r>
      <w:r w:rsidR="0090233B">
        <w:rPr>
          <w:rFonts w:ascii="Times New Roman" w:hAnsi="Times New Roman" w:cs="Times New Roman"/>
          <w:sz w:val="24"/>
        </w:rPr>
        <w:t xml:space="preserve">most common cause of death from an HPV-associated cancer from 2008-2014, </w:t>
      </w:r>
      <w:r>
        <w:rPr>
          <w:rFonts w:ascii="Times New Roman" w:hAnsi="Times New Roman" w:cs="Times New Roman"/>
          <w:sz w:val="24"/>
        </w:rPr>
        <w:t xml:space="preserve">among </w:t>
      </w:r>
      <w:r w:rsidR="008571F5">
        <w:rPr>
          <w:rFonts w:ascii="Times New Roman" w:hAnsi="Times New Roman" w:cs="Times New Roman"/>
          <w:sz w:val="24"/>
        </w:rPr>
        <w:t>females</w:t>
      </w:r>
      <w:r>
        <w:rPr>
          <w:rFonts w:ascii="Times New Roman" w:hAnsi="Times New Roman" w:cs="Times New Roman"/>
          <w:sz w:val="24"/>
        </w:rPr>
        <w:t xml:space="preserve"> in Massachusetts. </w:t>
      </w:r>
    </w:p>
    <w:p w:rsidR="0090233B" w:rsidRPr="00BF7A21" w:rsidRDefault="0090233B" w:rsidP="0090233B">
      <w:pPr>
        <w:pStyle w:val="ListParagraph"/>
        <w:spacing w:after="0" w:line="240" w:lineRule="auto"/>
        <w:ind w:left="180"/>
        <w:rPr>
          <w:rFonts w:ascii="Times New Roman" w:hAnsi="Times New Roman" w:cs="Times New Roman"/>
          <w:b/>
          <w:color w:val="1F497D" w:themeColor="text2"/>
          <w:sz w:val="24"/>
        </w:rPr>
      </w:pPr>
    </w:p>
    <w:p w:rsidR="0090233B" w:rsidRPr="0090233B" w:rsidRDefault="00B6199B" w:rsidP="0090233B">
      <w:pPr>
        <w:pStyle w:val="ListParagraph"/>
        <w:numPr>
          <w:ilvl w:val="0"/>
          <w:numId w:val="5"/>
        </w:numPr>
        <w:spacing w:after="0" w:line="240" w:lineRule="auto"/>
        <w:ind w:left="180" w:hanging="180"/>
        <w:rPr>
          <w:rFonts w:ascii="Times New Roman" w:hAnsi="Times New Roman" w:cs="Times New Roman"/>
          <w:b/>
          <w:color w:val="1F497D" w:themeColor="text2"/>
          <w:sz w:val="24"/>
        </w:rPr>
      </w:pPr>
      <w:r>
        <w:rPr>
          <w:rFonts w:ascii="Times New Roman" w:hAnsi="Times New Roman" w:cs="Times New Roman"/>
          <w:sz w:val="24"/>
        </w:rPr>
        <w:t xml:space="preserve">The </w:t>
      </w:r>
      <w:r w:rsidR="0090233B">
        <w:rPr>
          <w:rFonts w:ascii="Times New Roman" w:hAnsi="Times New Roman" w:cs="Times New Roman"/>
          <w:sz w:val="24"/>
        </w:rPr>
        <w:t xml:space="preserve">incidence rate of cervical cancer </w:t>
      </w:r>
      <w:r w:rsidR="0073202D">
        <w:rPr>
          <w:rFonts w:ascii="Times New Roman" w:hAnsi="Times New Roman" w:cs="Times New Roman"/>
          <w:sz w:val="24"/>
        </w:rPr>
        <w:t xml:space="preserve">in Massachusetts </w:t>
      </w:r>
      <w:r w:rsidR="0090233B">
        <w:rPr>
          <w:rFonts w:ascii="Times New Roman" w:hAnsi="Times New Roman" w:cs="Times New Roman"/>
          <w:sz w:val="24"/>
        </w:rPr>
        <w:t xml:space="preserve">has been decreasing </w:t>
      </w:r>
      <w:r w:rsidR="0072570B">
        <w:rPr>
          <w:rFonts w:ascii="Times New Roman" w:hAnsi="Times New Roman" w:cs="Times New Roman"/>
          <w:sz w:val="24"/>
        </w:rPr>
        <w:t>with statistical significance</w:t>
      </w:r>
      <w:r w:rsidR="003D27E8">
        <w:rPr>
          <w:rFonts w:ascii="Times New Roman" w:hAnsi="Times New Roman" w:cs="Times New Roman"/>
          <w:sz w:val="24"/>
        </w:rPr>
        <w:t xml:space="preserve"> by 2.4%</w:t>
      </w:r>
      <w:r w:rsidR="0090233B">
        <w:rPr>
          <w:rFonts w:ascii="Times New Roman" w:hAnsi="Times New Roman" w:cs="Times New Roman"/>
          <w:sz w:val="24"/>
        </w:rPr>
        <w:t xml:space="preserve"> each year from 2004-2014. The mortality rate of cervical</w:t>
      </w:r>
      <w:r w:rsidR="0072570B">
        <w:rPr>
          <w:rFonts w:ascii="Times New Roman" w:hAnsi="Times New Roman" w:cs="Times New Roman"/>
          <w:sz w:val="24"/>
        </w:rPr>
        <w:t xml:space="preserve"> cancer has been decreasing without statistical significance</w:t>
      </w:r>
      <w:r w:rsidR="0090233B">
        <w:rPr>
          <w:rFonts w:ascii="Times New Roman" w:hAnsi="Times New Roman" w:cs="Times New Roman"/>
          <w:sz w:val="24"/>
        </w:rPr>
        <w:t xml:space="preserve"> by 3.7% annually for 2008-2014. </w:t>
      </w:r>
    </w:p>
    <w:p w:rsidR="0090233B" w:rsidRPr="00BF7A21" w:rsidRDefault="0090233B" w:rsidP="0090233B">
      <w:pPr>
        <w:pStyle w:val="ListParagraph"/>
        <w:rPr>
          <w:rFonts w:ascii="Times New Roman" w:hAnsi="Times New Roman" w:cs="Times New Roman"/>
          <w:b/>
          <w:color w:val="1F497D" w:themeColor="text2"/>
          <w:sz w:val="24"/>
        </w:rPr>
      </w:pPr>
    </w:p>
    <w:p w:rsidR="0090233B" w:rsidRPr="0090233B" w:rsidRDefault="0090233B" w:rsidP="0090233B">
      <w:pPr>
        <w:pStyle w:val="ListParagraph"/>
        <w:numPr>
          <w:ilvl w:val="0"/>
          <w:numId w:val="5"/>
        </w:numPr>
        <w:spacing w:after="0" w:line="240" w:lineRule="auto"/>
        <w:ind w:left="180" w:hanging="180"/>
        <w:rPr>
          <w:rFonts w:ascii="Times New Roman" w:hAnsi="Times New Roman" w:cs="Times New Roman"/>
          <w:sz w:val="24"/>
        </w:rPr>
      </w:pPr>
      <w:r w:rsidRPr="0090233B">
        <w:rPr>
          <w:rFonts w:ascii="Times New Roman" w:hAnsi="Times New Roman" w:cs="Times New Roman"/>
          <w:sz w:val="24"/>
        </w:rPr>
        <w:t>The inci</w:t>
      </w:r>
      <w:r w:rsidR="00F56380">
        <w:rPr>
          <w:rFonts w:ascii="Times New Roman" w:hAnsi="Times New Roman" w:cs="Times New Roman"/>
          <w:sz w:val="24"/>
        </w:rPr>
        <w:t xml:space="preserve">dence rate of cervical cancer </w:t>
      </w:r>
      <w:r w:rsidR="00C83909">
        <w:rPr>
          <w:rFonts w:ascii="Times New Roman" w:hAnsi="Times New Roman" w:cs="Times New Roman"/>
          <w:sz w:val="24"/>
        </w:rPr>
        <w:t>was</w:t>
      </w:r>
      <w:r w:rsidR="00F56380">
        <w:rPr>
          <w:rFonts w:ascii="Times New Roman" w:hAnsi="Times New Roman" w:cs="Times New Roman"/>
          <w:sz w:val="24"/>
        </w:rPr>
        <w:t xml:space="preserve"> lower in</w:t>
      </w:r>
      <w:r w:rsidRPr="0090233B">
        <w:rPr>
          <w:rFonts w:ascii="Times New Roman" w:hAnsi="Times New Roman" w:cs="Times New Roman"/>
          <w:sz w:val="24"/>
        </w:rPr>
        <w:t xml:space="preserve"> Massachusetts </w:t>
      </w:r>
      <w:r w:rsidR="00F56380">
        <w:rPr>
          <w:rFonts w:ascii="Times New Roman" w:hAnsi="Times New Roman" w:cs="Times New Roman"/>
          <w:sz w:val="24"/>
        </w:rPr>
        <w:t>than</w:t>
      </w:r>
      <w:r w:rsidRPr="0090233B">
        <w:rPr>
          <w:rFonts w:ascii="Times New Roman" w:hAnsi="Times New Roman" w:cs="Times New Roman"/>
          <w:sz w:val="24"/>
        </w:rPr>
        <w:t xml:space="preserve"> </w:t>
      </w:r>
      <w:r w:rsidR="00F56380">
        <w:rPr>
          <w:rFonts w:ascii="Times New Roman" w:hAnsi="Times New Roman" w:cs="Times New Roman"/>
          <w:sz w:val="24"/>
        </w:rPr>
        <w:t>the United States</w:t>
      </w:r>
      <w:r w:rsidR="00E30FD2">
        <w:rPr>
          <w:rFonts w:ascii="Times New Roman" w:hAnsi="Times New Roman" w:cs="Times New Roman"/>
          <w:sz w:val="24"/>
        </w:rPr>
        <w:t xml:space="preserve"> from 2008-2012</w:t>
      </w:r>
      <w:r w:rsidR="006337C6">
        <w:rPr>
          <w:rFonts w:ascii="Times New Roman" w:hAnsi="Times New Roman" w:cs="Times New Roman"/>
          <w:sz w:val="24"/>
        </w:rPr>
        <w:t>.</w:t>
      </w:r>
      <w:r w:rsidRPr="0090233B">
        <w:rPr>
          <w:rFonts w:ascii="Times New Roman" w:hAnsi="Times New Roman" w:cs="Times New Roman"/>
          <w:sz w:val="24"/>
        </w:rPr>
        <w:t xml:space="preserve"> </w:t>
      </w:r>
    </w:p>
    <w:p w:rsidR="0090233B" w:rsidRPr="00BF7A21" w:rsidRDefault="0090233B" w:rsidP="0090233B">
      <w:pPr>
        <w:pStyle w:val="ListParagraph"/>
        <w:rPr>
          <w:rFonts w:ascii="Times New Roman" w:hAnsi="Times New Roman" w:cs="Times New Roman"/>
          <w:b/>
          <w:sz w:val="24"/>
        </w:rPr>
      </w:pPr>
    </w:p>
    <w:p w:rsidR="0090233B" w:rsidRPr="0090233B" w:rsidRDefault="0090233B" w:rsidP="0090233B">
      <w:pPr>
        <w:pStyle w:val="ListParagraph"/>
        <w:numPr>
          <w:ilvl w:val="0"/>
          <w:numId w:val="5"/>
        </w:numPr>
        <w:spacing w:after="0" w:line="240" w:lineRule="auto"/>
        <w:ind w:left="180" w:hanging="180"/>
        <w:rPr>
          <w:rFonts w:ascii="Times New Roman" w:hAnsi="Times New Roman" w:cs="Times New Roman"/>
          <w:b/>
          <w:sz w:val="24"/>
        </w:rPr>
      </w:pPr>
      <w:r>
        <w:rPr>
          <w:rFonts w:ascii="Times New Roman" w:hAnsi="Times New Roman" w:cs="Times New Roman"/>
          <w:sz w:val="24"/>
        </w:rPr>
        <w:t xml:space="preserve">The incidence and mortality rate of cervical cancer was highest among non-Hispanic black </w:t>
      </w:r>
      <w:r w:rsidR="008571F5">
        <w:rPr>
          <w:rFonts w:ascii="Times New Roman" w:hAnsi="Times New Roman" w:cs="Times New Roman"/>
          <w:sz w:val="24"/>
        </w:rPr>
        <w:t>females</w:t>
      </w:r>
      <w:r>
        <w:rPr>
          <w:rFonts w:ascii="Times New Roman" w:hAnsi="Times New Roman" w:cs="Times New Roman"/>
          <w:sz w:val="24"/>
        </w:rPr>
        <w:t xml:space="preserve"> in Massachusetts. Compared to non-Hispanic whites, the incidence rate was 1.6 times higher and the mortality rate was 1.8 times higher for non-Hispanic blacks. </w:t>
      </w:r>
    </w:p>
    <w:p w:rsidR="0072570B" w:rsidRPr="00BF7A21" w:rsidRDefault="0072570B" w:rsidP="0090233B">
      <w:pPr>
        <w:pStyle w:val="ListParagraph"/>
        <w:spacing w:after="0" w:line="240" w:lineRule="auto"/>
        <w:ind w:left="180"/>
        <w:rPr>
          <w:rFonts w:ascii="Times New Roman" w:hAnsi="Times New Roman" w:cs="Times New Roman"/>
          <w:b/>
          <w:sz w:val="24"/>
        </w:rPr>
      </w:pPr>
    </w:p>
    <w:p w:rsidR="0090233B" w:rsidRDefault="0090233B" w:rsidP="0090233B">
      <w:pPr>
        <w:pStyle w:val="ListParagraph"/>
        <w:numPr>
          <w:ilvl w:val="0"/>
          <w:numId w:val="5"/>
        </w:numPr>
        <w:spacing w:after="0" w:line="240" w:lineRule="auto"/>
        <w:ind w:left="180" w:hanging="180"/>
        <w:rPr>
          <w:rFonts w:ascii="Times New Roman" w:hAnsi="Times New Roman" w:cs="Times New Roman"/>
          <w:sz w:val="24"/>
        </w:rPr>
      </w:pPr>
      <w:r w:rsidRPr="0090233B">
        <w:rPr>
          <w:rFonts w:ascii="Times New Roman" w:hAnsi="Times New Roman" w:cs="Times New Roman"/>
          <w:sz w:val="24"/>
        </w:rPr>
        <w:t xml:space="preserve">Most </w:t>
      </w:r>
      <w:r w:rsidR="008571F5">
        <w:rPr>
          <w:rFonts w:ascii="Times New Roman" w:hAnsi="Times New Roman" w:cs="Times New Roman"/>
          <w:sz w:val="24"/>
        </w:rPr>
        <w:t>females</w:t>
      </w:r>
      <w:r w:rsidRPr="0090233B">
        <w:rPr>
          <w:rFonts w:ascii="Times New Roman" w:hAnsi="Times New Roman" w:cs="Times New Roman"/>
          <w:sz w:val="24"/>
        </w:rPr>
        <w:t xml:space="preserve"> with cervical cancer in Massachusetts were diagnosed with stage I disease. </w:t>
      </w:r>
      <w:r>
        <w:rPr>
          <w:rFonts w:ascii="Times New Roman" w:hAnsi="Times New Roman" w:cs="Times New Roman"/>
          <w:sz w:val="24"/>
        </w:rPr>
        <w:t xml:space="preserve">Hispanic </w:t>
      </w:r>
      <w:r w:rsidR="008571F5">
        <w:rPr>
          <w:rFonts w:ascii="Times New Roman" w:hAnsi="Times New Roman" w:cs="Times New Roman"/>
          <w:sz w:val="24"/>
        </w:rPr>
        <w:t>females</w:t>
      </w:r>
      <w:r>
        <w:rPr>
          <w:rFonts w:ascii="Times New Roman" w:hAnsi="Times New Roman" w:cs="Times New Roman"/>
          <w:sz w:val="24"/>
        </w:rPr>
        <w:t xml:space="preserve"> were more likely than non-Hispanic white </w:t>
      </w:r>
      <w:r w:rsidR="008571F5">
        <w:rPr>
          <w:rFonts w:ascii="Times New Roman" w:hAnsi="Times New Roman" w:cs="Times New Roman"/>
          <w:sz w:val="24"/>
        </w:rPr>
        <w:t>females</w:t>
      </w:r>
      <w:r>
        <w:rPr>
          <w:rFonts w:ascii="Times New Roman" w:hAnsi="Times New Roman" w:cs="Times New Roman"/>
          <w:sz w:val="24"/>
        </w:rPr>
        <w:t xml:space="preserve"> to be diagnosed with stage I or II disease. </w:t>
      </w:r>
      <w:r w:rsidRPr="0090233B">
        <w:rPr>
          <w:rFonts w:ascii="Times New Roman" w:hAnsi="Times New Roman" w:cs="Times New Roman"/>
          <w:sz w:val="24"/>
        </w:rPr>
        <w:t xml:space="preserve">Fewer </w:t>
      </w:r>
      <w:r w:rsidR="008571F5">
        <w:rPr>
          <w:rFonts w:ascii="Times New Roman" w:hAnsi="Times New Roman" w:cs="Times New Roman"/>
          <w:sz w:val="24"/>
        </w:rPr>
        <w:t>females</w:t>
      </w:r>
      <w:r w:rsidRPr="0090233B">
        <w:rPr>
          <w:rFonts w:ascii="Times New Roman" w:hAnsi="Times New Roman" w:cs="Times New Roman"/>
          <w:sz w:val="24"/>
        </w:rPr>
        <w:t xml:space="preserve"> in Massachusetts were diagnosed at a distant stage when compared with the United States.</w:t>
      </w:r>
    </w:p>
    <w:p w:rsidR="0090233B" w:rsidRPr="00BF7A21" w:rsidRDefault="0090233B" w:rsidP="0090233B">
      <w:pPr>
        <w:pStyle w:val="ListParagraph"/>
        <w:rPr>
          <w:rFonts w:ascii="Times New Roman" w:hAnsi="Times New Roman" w:cs="Times New Roman"/>
          <w:sz w:val="24"/>
        </w:rPr>
      </w:pPr>
    </w:p>
    <w:p w:rsidR="0090233B" w:rsidRDefault="00E30FD2" w:rsidP="0090233B">
      <w:pPr>
        <w:pStyle w:val="ListParagraph"/>
        <w:numPr>
          <w:ilvl w:val="0"/>
          <w:numId w:val="5"/>
        </w:numPr>
        <w:spacing w:after="0" w:line="240" w:lineRule="auto"/>
        <w:ind w:left="180" w:hanging="180"/>
        <w:rPr>
          <w:rFonts w:ascii="Times New Roman" w:hAnsi="Times New Roman" w:cs="Times New Roman"/>
          <w:sz w:val="24"/>
        </w:rPr>
      </w:pPr>
      <w:r>
        <w:rPr>
          <w:rFonts w:ascii="Times New Roman" w:hAnsi="Times New Roman" w:cs="Times New Roman"/>
          <w:sz w:val="24"/>
        </w:rPr>
        <w:t xml:space="preserve">Each year, the </w:t>
      </w:r>
      <w:r w:rsidR="00401844">
        <w:rPr>
          <w:rFonts w:ascii="Times New Roman" w:hAnsi="Times New Roman" w:cs="Times New Roman"/>
          <w:sz w:val="24"/>
        </w:rPr>
        <w:t>9</w:t>
      </w:r>
      <w:r>
        <w:rPr>
          <w:rFonts w:ascii="Times New Roman" w:hAnsi="Times New Roman" w:cs="Times New Roman"/>
          <w:sz w:val="24"/>
        </w:rPr>
        <w:t xml:space="preserve"> </w:t>
      </w:r>
      <w:r w:rsidR="0090233B">
        <w:rPr>
          <w:rFonts w:ascii="Times New Roman" w:hAnsi="Times New Roman" w:cs="Times New Roman"/>
          <w:sz w:val="24"/>
        </w:rPr>
        <w:t xml:space="preserve">valent vaccine has the potential to prevent an estimated 180 cases of cervical cancer in Massachusetts. </w:t>
      </w:r>
      <w:r w:rsidR="0073202D">
        <w:rPr>
          <w:rFonts w:ascii="Times New Roman" w:hAnsi="Times New Roman" w:cs="Times New Roman"/>
          <w:sz w:val="24"/>
        </w:rPr>
        <w:t xml:space="preserve">Although </w:t>
      </w:r>
      <w:r w:rsidR="0090233B">
        <w:rPr>
          <w:rFonts w:ascii="Times New Roman" w:hAnsi="Times New Roman" w:cs="Times New Roman"/>
          <w:sz w:val="24"/>
        </w:rPr>
        <w:t>Massachusetts has higher HPV va</w:t>
      </w:r>
      <w:r w:rsidR="0073202D">
        <w:rPr>
          <w:rFonts w:ascii="Times New Roman" w:hAnsi="Times New Roman" w:cs="Times New Roman"/>
          <w:sz w:val="24"/>
        </w:rPr>
        <w:t>ccination rates than the US, it</w:t>
      </w:r>
      <w:r w:rsidR="0090233B">
        <w:rPr>
          <w:rFonts w:ascii="Times New Roman" w:hAnsi="Times New Roman" w:cs="Times New Roman"/>
          <w:sz w:val="24"/>
        </w:rPr>
        <w:t xml:space="preserve"> still fall</w:t>
      </w:r>
      <w:r w:rsidR="0073202D">
        <w:rPr>
          <w:rFonts w:ascii="Times New Roman" w:hAnsi="Times New Roman" w:cs="Times New Roman"/>
          <w:sz w:val="24"/>
        </w:rPr>
        <w:t>s</w:t>
      </w:r>
      <w:r w:rsidR="0090233B">
        <w:rPr>
          <w:rFonts w:ascii="Times New Roman" w:hAnsi="Times New Roman" w:cs="Times New Roman"/>
          <w:sz w:val="24"/>
        </w:rPr>
        <w:t xml:space="preserve"> short of the Healthy People 2020 goal. </w:t>
      </w:r>
    </w:p>
    <w:p w:rsidR="0090233B" w:rsidRPr="00BF7A21" w:rsidRDefault="0090233B" w:rsidP="0090233B">
      <w:pPr>
        <w:pStyle w:val="ListParagraph"/>
        <w:rPr>
          <w:rFonts w:ascii="Times New Roman" w:hAnsi="Times New Roman" w:cs="Times New Roman"/>
          <w:sz w:val="24"/>
        </w:rPr>
      </w:pPr>
    </w:p>
    <w:p w:rsidR="0090233B" w:rsidRDefault="00414CF2" w:rsidP="0090233B">
      <w:pPr>
        <w:pStyle w:val="ListParagraph"/>
        <w:numPr>
          <w:ilvl w:val="0"/>
          <w:numId w:val="5"/>
        </w:numPr>
        <w:spacing w:after="0" w:line="240" w:lineRule="auto"/>
        <w:ind w:left="180" w:hanging="180"/>
        <w:rPr>
          <w:rFonts w:ascii="Times New Roman" w:hAnsi="Times New Roman" w:cs="Times New Roman"/>
          <w:sz w:val="24"/>
        </w:rPr>
      </w:pPr>
      <w:r>
        <w:rPr>
          <w:rFonts w:ascii="Times New Roman" w:hAnsi="Times New Roman" w:cs="Times New Roman"/>
          <w:sz w:val="24"/>
        </w:rPr>
        <w:t>Massachusetts h</w:t>
      </w:r>
      <w:r w:rsidR="0073202D">
        <w:rPr>
          <w:rFonts w:ascii="Times New Roman" w:hAnsi="Times New Roman" w:cs="Times New Roman"/>
          <w:sz w:val="24"/>
        </w:rPr>
        <w:t xml:space="preserve">as a fairly high prevalence of </w:t>
      </w:r>
      <w:r w:rsidR="003D27E8">
        <w:rPr>
          <w:rFonts w:ascii="Times New Roman" w:hAnsi="Times New Roman" w:cs="Times New Roman"/>
          <w:sz w:val="24"/>
        </w:rPr>
        <w:t>cervical cancer</w:t>
      </w:r>
      <w:r>
        <w:rPr>
          <w:rFonts w:ascii="Times New Roman" w:hAnsi="Times New Roman" w:cs="Times New Roman"/>
          <w:sz w:val="24"/>
        </w:rPr>
        <w:t xml:space="preserve"> screening; however, screening rates remain low for </w:t>
      </w:r>
      <w:r w:rsidR="008571F5">
        <w:rPr>
          <w:rFonts w:ascii="Times New Roman" w:hAnsi="Times New Roman" w:cs="Times New Roman"/>
          <w:sz w:val="24"/>
        </w:rPr>
        <w:t>females</w:t>
      </w:r>
      <w:r>
        <w:rPr>
          <w:rFonts w:ascii="Times New Roman" w:hAnsi="Times New Roman" w:cs="Times New Roman"/>
          <w:sz w:val="24"/>
        </w:rPr>
        <w:t xml:space="preserve"> in their 20s and Asian </w:t>
      </w:r>
      <w:r w:rsidR="008571F5">
        <w:rPr>
          <w:rFonts w:ascii="Times New Roman" w:hAnsi="Times New Roman" w:cs="Times New Roman"/>
          <w:sz w:val="24"/>
        </w:rPr>
        <w:t>females</w:t>
      </w:r>
      <w:r>
        <w:rPr>
          <w:rFonts w:ascii="Times New Roman" w:hAnsi="Times New Roman" w:cs="Times New Roman"/>
          <w:sz w:val="24"/>
        </w:rPr>
        <w:t xml:space="preserve">. </w:t>
      </w:r>
    </w:p>
    <w:p w:rsidR="00414CF2" w:rsidRPr="00476176" w:rsidRDefault="00414CF2" w:rsidP="00A30879">
      <w:pPr>
        <w:spacing w:after="0" w:line="240" w:lineRule="auto"/>
        <w:rPr>
          <w:rFonts w:ascii="Times New Roman" w:hAnsi="Times New Roman" w:cs="Times New Roman"/>
          <w:b/>
          <w:color w:val="1F497D" w:themeColor="text2"/>
          <w:sz w:val="20"/>
        </w:rPr>
      </w:pPr>
    </w:p>
    <w:p w:rsidR="00BF7A21" w:rsidRDefault="00BF7A21" w:rsidP="00A30879">
      <w:pPr>
        <w:spacing w:after="0" w:line="240" w:lineRule="auto"/>
        <w:rPr>
          <w:rFonts w:ascii="Times New Roman" w:hAnsi="Times New Roman" w:cs="Times New Roman"/>
          <w:b/>
          <w:color w:val="1F497D" w:themeColor="text2"/>
          <w:sz w:val="24"/>
        </w:rPr>
      </w:pPr>
    </w:p>
    <w:p w:rsidR="00BF7A21" w:rsidRDefault="00BF7A21" w:rsidP="00A30879">
      <w:pPr>
        <w:spacing w:after="0" w:line="240" w:lineRule="auto"/>
        <w:rPr>
          <w:rFonts w:ascii="Times New Roman" w:hAnsi="Times New Roman" w:cs="Times New Roman"/>
          <w:b/>
          <w:color w:val="1F497D" w:themeColor="text2"/>
          <w:sz w:val="24"/>
        </w:rPr>
      </w:pPr>
    </w:p>
    <w:p w:rsidR="00BF7A21" w:rsidRDefault="00BF7A21" w:rsidP="00A30879">
      <w:pPr>
        <w:spacing w:after="0" w:line="240" w:lineRule="auto"/>
        <w:rPr>
          <w:rFonts w:ascii="Times New Roman" w:hAnsi="Times New Roman" w:cs="Times New Roman"/>
          <w:b/>
          <w:color w:val="1F497D" w:themeColor="text2"/>
          <w:sz w:val="24"/>
        </w:rPr>
      </w:pPr>
    </w:p>
    <w:p w:rsidR="00B6199B" w:rsidRDefault="00B6199B" w:rsidP="00A30879">
      <w:pPr>
        <w:spacing w:after="0" w:line="240" w:lineRule="auto"/>
        <w:rPr>
          <w:rFonts w:ascii="Times New Roman" w:hAnsi="Times New Roman" w:cs="Times New Roman"/>
          <w:b/>
          <w:color w:val="1F497D" w:themeColor="text2"/>
          <w:sz w:val="24"/>
        </w:rPr>
      </w:pPr>
      <w:r>
        <w:rPr>
          <w:rFonts w:ascii="Times New Roman" w:hAnsi="Times New Roman" w:cs="Times New Roman"/>
          <w:b/>
          <w:color w:val="1F497D" w:themeColor="text2"/>
          <w:sz w:val="24"/>
        </w:rPr>
        <w:t>DISCUSSION AND IMPLICATIONS FOR PREVENTION</w:t>
      </w:r>
    </w:p>
    <w:p w:rsidR="002A6F77" w:rsidRPr="002A6F77" w:rsidRDefault="002A6F77" w:rsidP="00A30879">
      <w:pPr>
        <w:spacing w:after="0" w:line="240" w:lineRule="auto"/>
        <w:rPr>
          <w:rFonts w:ascii="Times New Roman" w:hAnsi="Times New Roman" w:cs="Times New Roman"/>
          <w:b/>
          <w:color w:val="1F497D" w:themeColor="text2"/>
          <w:sz w:val="20"/>
        </w:rPr>
      </w:pPr>
    </w:p>
    <w:p w:rsidR="004C10BB" w:rsidRDefault="00414CF2" w:rsidP="00BF7A21">
      <w:pPr>
        <w:tabs>
          <w:tab w:val="left" w:pos="180"/>
        </w:tabs>
        <w:spacing w:after="0" w:line="240" w:lineRule="auto"/>
        <w:rPr>
          <w:rFonts w:ascii="Times New Roman" w:hAnsi="Times New Roman" w:cs="Times New Roman"/>
          <w:sz w:val="24"/>
        </w:rPr>
      </w:pPr>
      <w:r>
        <w:rPr>
          <w:rFonts w:ascii="Times New Roman" w:hAnsi="Times New Roman" w:cs="Times New Roman"/>
          <w:sz w:val="24"/>
        </w:rPr>
        <w:tab/>
        <w:t xml:space="preserve">Cervical cancer is the most common HPV-associated cancer in </w:t>
      </w:r>
      <w:r w:rsidR="008571F5">
        <w:rPr>
          <w:rFonts w:ascii="Times New Roman" w:hAnsi="Times New Roman" w:cs="Times New Roman"/>
          <w:sz w:val="24"/>
        </w:rPr>
        <w:t>females</w:t>
      </w:r>
      <w:r>
        <w:rPr>
          <w:rFonts w:ascii="Times New Roman" w:hAnsi="Times New Roman" w:cs="Times New Roman"/>
          <w:sz w:val="24"/>
        </w:rPr>
        <w:t xml:space="preserve"> in Massachusetts. Both the incidence and mortality rates of cervical cancer in Massachusetts have been decreasing and </w:t>
      </w:r>
      <w:r w:rsidR="003D27E8">
        <w:rPr>
          <w:rFonts w:ascii="Times New Roman" w:hAnsi="Times New Roman" w:cs="Times New Roman"/>
          <w:sz w:val="24"/>
        </w:rPr>
        <w:t xml:space="preserve">Massachusetts has </w:t>
      </w:r>
      <w:r>
        <w:rPr>
          <w:rFonts w:ascii="Times New Roman" w:hAnsi="Times New Roman" w:cs="Times New Roman"/>
          <w:sz w:val="24"/>
        </w:rPr>
        <w:t xml:space="preserve">lower </w:t>
      </w:r>
      <w:r w:rsidR="003D27E8">
        <w:rPr>
          <w:rFonts w:ascii="Times New Roman" w:hAnsi="Times New Roman" w:cs="Times New Roman"/>
          <w:sz w:val="24"/>
        </w:rPr>
        <w:t xml:space="preserve">rates than </w:t>
      </w:r>
      <w:r>
        <w:rPr>
          <w:rFonts w:ascii="Times New Roman" w:hAnsi="Times New Roman" w:cs="Times New Roman"/>
          <w:sz w:val="24"/>
        </w:rPr>
        <w:t xml:space="preserve">the United States. </w:t>
      </w:r>
      <w:r w:rsidR="004C10BB">
        <w:rPr>
          <w:rFonts w:ascii="Times New Roman" w:hAnsi="Times New Roman" w:cs="Times New Roman"/>
          <w:sz w:val="24"/>
        </w:rPr>
        <w:t>However, d</w:t>
      </w:r>
      <w:r>
        <w:rPr>
          <w:rFonts w:ascii="Times New Roman" w:hAnsi="Times New Roman" w:cs="Times New Roman"/>
          <w:sz w:val="24"/>
        </w:rPr>
        <w:t xml:space="preserve">isparities in the incidence and mortality rates of cervical cancer in Massachusetts still exist, with non-Hispanic black </w:t>
      </w:r>
      <w:r w:rsidR="008571F5">
        <w:rPr>
          <w:rFonts w:ascii="Times New Roman" w:hAnsi="Times New Roman" w:cs="Times New Roman"/>
          <w:sz w:val="24"/>
        </w:rPr>
        <w:t>females</w:t>
      </w:r>
      <w:r>
        <w:rPr>
          <w:rFonts w:ascii="Times New Roman" w:hAnsi="Times New Roman" w:cs="Times New Roman"/>
          <w:sz w:val="24"/>
        </w:rPr>
        <w:t xml:space="preserve"> having a higher burden of cervical cancer when compared with non-Hispanic white </w:t>
      </w:r>
      <w:r w:rsidR="008571F5">
        <w:rPr>
          <w:rFonts w:ascii="Times New Roman" w:hAnsi="Times New Roman" w:cs="Times New Roman"/>
          <w:sz w:val="24"/>
        </w:rPr>
        <w:t>females</w:t>
      </w:r>
      <w:r>
        <w:rPr>
          <w:rFonts w:ascii="Times New Roman" w:hAnsi="Times New Roman" w:cs="Times New Roman"/>
          <w:sz w:val="24"/>
        </w:rPr>
        <w:t xml:space="preserve">. </w:t>
      </w:r>
    </w:p>
    <w:p w:rsidR="00BF7A21" w:rsidRPr="00BF7A21" w:rsidRDefault="00BF7A21" w:rsidP="00BF7A21">
      <w:pPr>
        <w:tabs>
          <w:tab w:val="left" w:pos="180"/>
        </w:tabs>
        <w:spacing w:after="0" w:line="240" w:lineRule="auto"/>
        <w:rPr>
          <w:rFonts w:ascii="Times New Roman" w:hAnsi="Times New Roman" w:cs="Times New Roman"/>
          <w:sz w:val="16"/>
        </w:rPr>
      </w:pPr>
    </w:p>
    <w:p w:rsidR="004C10BB" w:rsidRDefault="004C10BB" w:rsidP="00BF7A21">
      <w:pPr>
        <w:spacing w:after="0" w:line="240" w:lineRule="auto"/>
        <w:ind w:firstLine="180"/>
        <w:rPr>
          <w:rFonts w:ascii="Times New Roman" w:hAnsi="Times New Roman" w:cs="Times New Roman"/>
          <w:sz w:val="24"/>
        </w:rPr>
      </w:pPr>
      <w:r>
        <w:rPr>
          <w:rFonts w:ascii="Times New Roman" w:hAnsi="Times New Roman" w:cs="Times New Roman"/>
          <w:sz w:val="24"/>
        </w:rPr>
        <w:t>Due to the availability of screening tests and the HPV vaccine, cervical cancer should be almost completely preventable.</w:t>
      </w:r>
      <w:r w:rsidRPr="004C10BB">
        <w:rPr>
          <w:rFonts w:ascii="Times New Roman" w:hAnsi="Times New Roman" w:cs="Times New Roman"/>
          <w:sz w:val="24"/>
        </w:rPr>
        <w:t xml:space="preserve"> </w:t>
      </w:r>
      <w:r>
        <w:rPr>
          <w:rFonts w:ascii="Times New Roman" w:hAnsi="Times New Roman" w:cs="Times New Roman"/>
          <w:sz w:val="24"/>
        </w:rPr>
        <w:t>Screening allows early pre-cancerous lesions to be found and removed, and it can detect disease whil</w:t>
      </w:r>
      <w:r w:rsidR="00542F70">
        <w:rPr>
          <w:rFonts w:ascii="Times New Roman" w:hAnsi="Times New Roman" w:cs="Times New Roman"/>
          <w:sz w:val="24"/>
        </w:rPr>
        <w:t>e it is still at an early stage,</w:t>
      </w:r>
      <w:r>
        <w:rPr>
          <w:rFonts w:ascii="Times New Roman" w:hAnsi="Times New Roman" w:cs="Times New Roman"/>
          <w:sz w:val="24"/>
        </w:rPr>
        <w:t xml:space="preserve"> both of which can decrease the incidence and mortality of cervical cancer. </w:t>
      </w:r>
    </w:p>
    <w:p w:rsidR="00BF7A21" w:rsidRPr="00BF7A21" w:rsidRDefault="00BF7A21" w:rsidP="00BF7A21">
      <w:pPr>
        <w:spacing w:after="0" w:line="240" w:lineRule="auto"/>
        <w:ind w:firstLine="180"/>
        <w:rPr>
          <w:rFonts w:ascii="Times New Roman" w:hAnsi="Times New Roman" w:cs="Times New Roman"/>
          <w:sz w:val="16"/>
        </w:rPr>
      </w:pPr>
    </w:p>
    <w:p w:rsidR="00414CF2" w:rsidRDefault="004C10BB" w:rsidP="00BF7A21">
      <w:pPr>
        <w:tabs>
          <w:tab w:val="left" w:pos="180"/>
        </w:tabs>
        <w:spacing w:after="0" w:line="240" w:lineRule="auto"/>
        <w:rPr>
          <w:rFonts w:ascii="Times New Roman" w:hAnsi="Times New Roman" w:cs="Times New Roman"/>
          <w:sz w:val="24"/>
        </w:rPr>
      </w:pPr>
      <w:r>
        <w:rPr>
          <w:rFonts w:ascii="Times New Roman" w:hAnsi="Times New Roman" w:cs="Times New Roman"/>
          <w:sz w:val="24"/>
        </w:rPr>
        <w:tab/>
      </w:r>
      <w:r w:rsidR="00414CF2">
        <w:rPr>
          <w:rFonts w:ascii="Times New Roman" w:hAnsi="Times New Roman" w:cs="Times New Roman"/>
          <w:sz w:val="24"/>
        </w:rPr>
        <w:t xml:space="preserve">Primary prevention of HPV-associated </w:t>
      </w:r>
      <w:r w:rsidR="00542F70">
        <w:rPr>
          <w:rFonts w:ascii="Times New Roman" w:hAnsi="Times New Roman" w:cs="Times New Roman"/>
          <w:sz w:val="24"/>
        </w:rPr>
        <w:t>cancers</w:t>
      </w:r>
      <w:r w:rsidR="00414CF2">
        <w:rPr>
          <w:rFonts w:ascii="Times New Roman" w:hAnsi="Times New Roman" w:cs="Times New Roman"/>
          <w:sz w:val="24"/>
        </w:rPr>
        <w:t xml:space="preserve"> exists in the form of HPV vaccination. </w:t>
      </w:r>
      <w:r w:rsidR="00414CF2" w:rsidRPr="002B4414">
        <w:rPr>
          <w:rFonts w:ascii="Times New Roman" w:hAnsi="Times New Roman" w:cs="Times New Roman"/>
          <w:sz w:val="24"/>
        </w:rPr>
        <w:t xml:space="preserve">Vaccines for HPV have been approved by the US Food and Drug Administration (FDA) since 2006. Current recommendations from the Advisory Committee on Immunization Practices </w:t>
      </w:r>
      <w:r w:rsidR="00414CF2">
        <w:rPr>
          <w:rFonts w:ascii="Times New Roman" w:hAnsi="Times New Roman" w:cs="Times New Roman"/>
          <w:sz w:val="24"/>
        </w:rPr>
        <w:t>(ACIP) include</w:t>
      </w:r>
      <w:proofErr w:type="gramStart"/>
      <w:r w:rsidR="0073202D">
        <w:rPr>
          <w:rFonts w:ascii="Times New Roman" w:hAnsi="Times New Roman" w:cs="Times New Roman"/>
          <w:sz w:val="24"/>
        </w:rPr>
        <w:t>:</w:t>
      </w:r>
      <w:r w:rsidR="00B90089">
        <w:rPr>
          <w:rFonts w:ascii="Times New Roman" w:hAnsi="Times New Roman" w:cs="Times New Roman"/>
          <w:sz w:val="24"/>
          <w:vertAlign w:val="superscript"/>
        </w:rPr>
        <w:t>8</w:t>
      </w:r>
      <w:proofErr w:type="gramEnd"/>
    </w:p>
    <w:p w:rsidR="00414CF2" w:rsidRDefault="00414CF2" w:rsidP="00BF7A21">
      <w:pPr>
        <w:pStyle w:val="ListParagraph"/>
        <w:numPr>
          <w:ilvl w:val="0"/>
          <w:numId w:val="4"/>
        </w:numPr>
        <w:tabs>
          <w:tab w:val="left" w:pos="540"/>
        </w:tabs>
        <w:spacing w:after="0" w:line="240" w:lineRule="auto"/>
        <w:ind w:left="540" w:hanging="180"/>
        <w:rPr>
          <w:rFonts w:ascii="Times New Roman" w:hAnsi="Times New Roman" w:cs="Times New Roman"/>
          <w:sz w:val="24"/>
        </w:rPr>
      </w:pPr>
      <w:r>
        <w:rPr>
          <w:rFonts w:ascii="Times New Roman" w:hAnsi="Times New Roman" w:cs="Times New Roman"/>
          <w:sz w:val="24"/>
        </w:rPr>
        <w:t xml:space="preserve">Boys and girls </w:t>
      </w:r>
      <w:r w:rsidR="00F56380">
        <w:rPr>
          <w:rFonts w:ascii="Times New Roman" w:hAnsi="Times New Roman" w:cs="Times New Roman"/>
          <w:sz w:val="24"/>
        </w:rPr>
        <w:t xml:space="preserve">are recommended to </w:t>
      </w:r>
      <w:r>
        <w:rPr>
          <w:rFonts w:ascii="Times New Roman" w:hAnsi="Times New Roman" w:cs="Times New Roman"/>
          <w:sz w:val="24"/>
        </w:rPr>
        <w:t>start the series of vaccines at age 11 or 12.</w:t>
      </w:r>
    </w:p>
    <w:p w:rsidR="00414CF2" w:rsidRDefault="00414CF2" w:rsidP="00BF7A21">
      <w:pPr>
        <w:pStyle w:val="ListParagraph"/>
        <w:numPr>
          <w:ilvl w:val="0"/>
          <w:numId w:val="4"/>
        </w:numPr>
        <w:tabs>
          <w:tab w:val="left" w:pos="540"/>
        </w:tabs>
        <w:spacing w:after="0" w:line="240" w:lineRule="auto"/>
        <w:ind w:left="540" w:hanging="180"/>
        <w:rPr>
          <w:rFonts w:ascii="Times New Roman" w:hAnsi="Times New Roman" w:cs="Times New Roman"/>
          <w:sz w:val="24"/>
        </w:rPr>
      </w:pPr>
      <w:r>
        <w:rPr>
          <w:rFonts w:ascii="Times New Roman" w:hAnsi="Times New Roman" w:cs="Times New Roman"/>
          <w:sz w:val="24"/>
        </w:rPr>
        <w:t>People who are not immunocompromised and initiated the HPV vaccine between ages 9 and 14 are recommended to get 2 doses of the HPV vaccine.</w:t>
      </w:r>
    </w:p>
    <w:p w:rsidR="00414CF2" w:rsidRDefault="00414CF2" w:rsidP="00BF7A21">
      <w:pPr>
        <w:pStyle w:val="ListParagraph"/>
        <w:numPr>
          <w:ilvl w:val="0"/>
          <w:numId w:val="4"/>
        </w:numPr>
        <w:tabs>
          <w:tab w:val="left" w:pos="540"/>
        </w:tabs>
        <w:spacing w:after="0" w:line="240" w:lineRule="auto"/>
        <w:ind w:left="540" w:hanging="180"/>
        <w:rPr>
          <w:rFonts w:ascii="Times New Roman" w:hAnsi="Times New Roman" w:cs="Times New Roman"/>
          <w:sz w:val="24"/>
        </w:rPr>
      </w:pPr>
      <w:r>
        <w:rPr>
          <w:rFonts w:ascii="Times New Roman" w:hAnsi="Times New Roman" w:cs="Times New Roman"/>
          <w:sz w:val="24"/>
        </w:rPr>
        <w:t>People initiating the HPV vaccine between ages 15 and 26, along with those who are immunocompromised should receive 3 doses of the HPV vaccine.</w:t>
      </w:r>
    </w:p>
    <w:p w:rsidR="00BF7A21" w:rsidRPr="00BF7A21" w:rsidRDefault="00BF7A21" w:rsidP="00BF7A21">
      <w:pPr>
        <w:pStyle w:val="ListParagraph"/>
        <w:tabs>
          <w:tab w:val="left" w:pos="540"/>
        </w:tabs>
        <w:spacing w:after="0" w:line="240" w:lineRule="auto"/>
        <w:ind w:left="540"/>
        <w:rPr>
          <w:rFonts w:ascii="Times New Roman" w:hAnsi="Times New Roman" w:cs="Times New Roman"/>
          <w:sz w:val="16"/>
        </w:rPr>
      </w:pPr>
    </w:p>
    <w:p w:rsidR="00414CF2" w:rsidRDefault="00414CF2" w:rsidP="00BF7A21">
      <w:pPr>
        <w:spacing w:after="0" w:line="240" w:lineRule="auto"/>
        <w:ind w:firstLine="180"/>
        <w:rPr>
          <w:rFonts w:ascii="Times New Roman" w:hAnsi="Times New Roman" w:cs="Times New Roman"/>
          <w:sz w:val="24"/>
        </w:rPr>
      </w:pPr>
      <w:r w:rsidRPr="00414CF2">
        <w:rPr>
          <w:rFonts w:ascii="Times New Roman" w:hAnsi="Times New Roman" w:cs="Times New Roman"/>
          <w:sz w:val="24"/>
        </w:rPr>
        <w:t>Secondary prevention of cervical cancer e</w:t>
      </w:r>
      <w:r w:rsidR="00E30FD2">
        <w:rPr>
          <w:rFonts w:ascii="Times New Roman" w:hAnsi="Times New Roman" w:cs="Times New Roman"/>
          <w:sz w:val="24"/>
        </w:rPr>
        <w:t>xists in the form of cytology (P</w:t>
      </w:r>
      <w:r w:rsidRPr="00414CF2">
        <w:rPr>
          <w:rFonts w:ascii="Times New Roman" w:hAnsi="Times New Roman" w:cs="Times New Roman"/>
          <w:sz w:val="24"/>
        </w:rPr>
        <w:t>ap smears) and HPV tests</w:t>
      </w:r>
      <w:r>
        <w:rPr>
          <w:rFonts w:ascii="Times New Roman" w:hAnsi="Times New Roman" w:cs="Times New Roman"/>
          <w:sz w:val="24"/>
        </w:rPr>
        <w:t>. Current recommendations include</w:t>
      </w:r>
      <w:proofErr w:type="gramStart"/>
      <w:r w:rsidR="0073202D">
        <w:rPr>
          <w:rFonts w:ascii="Times New Roman" w:hAnsi="Times New Roman" w:cs="Times New Roman"/>
          <w:sz w:val="24"/>
        </w:rPr>
        <w:t>:</w:t>
      </w:r>
      <w:r w:rsidR="00B90089">
        <w:rPr>
          <w:rFonts w:ascii="Times New Roman" w:hAnsi="Times New Roman" w:cs="Times New Roman"/>
          <w:sz w:val="24"/>
          <w:vertAlign w:val="superscript"/>
        </w:rPr>
        <w:t>9</w:t>
      </w:r>
      <w:proofErr w:type="gramEnd"/>
    </w:p>
    <w:p w:rsidR="00414CF2" w:rsidRDefault="00414CF2" w:rsidP="00BF7A21">
      <w:pPr>
        <w:pStyle w:val="ListParagraph"/>
        <w:numPr>
          <w:ilvl w:val="0"/>
          <w:numId w:val="4"/>
        </w:numPr>
        <w:spacing w:after="0" w:line="240" w:lineRule="auto"/>
        <w:ind w:left="540" w:hanging="180"/>
        <w:rPr>
          <w:rFonts w:ascii="Times New Roman" w:hAnsi="Times New Roman" w:cs="Times New Roman"/>
          <w:sz w:val="24"/>
        </w:rPr>
      </w:pPr>
      <w:r>
        <w:rPr>
          <w:rFonts w:ascii="Times New Roman" w:hAnsi="Times New Roman" w:cs="Times New Roman"/>
          <w:sz w:val="24"/>
        </w:rPr>
        <w:t xml:space="preserve">Females between the ages of 21 and 65 should be screened for cervical </w:t>
      </w:r>
      <w:r w:rsidR="004C10BB">
        <w:rPr>
          <w:rFonts w:ascii="Times New Roman" w:hAnsi="Times New Roman" w:cs="Times New Roman"/>
          <w:sz w:val="24"/>
        </w:rPr>
        <w:t>cancers</w:t>
      </w:r>
      <w:r>
        <w:rPr>
          <w:rFonts w:ascii="Times New Roman" w:hAnsi="Times New Roman" w:cs="Times New Roman"/>
          <w:sz w:val="24"/>
        </w:rPr>
        <w:t>.</w:t>
      </w:r>
    </w:p>
    <w:p w:rsidR="00414CF2" w:rsidRDefault="004C10BB" w:rsidP="00BF7A21">
      <w:pPr>
        <w:pStyle w:val="ListParagraph"/>
        <w:numPr>
          <w:ilvl w:val="0"/>
          <w:numId w:val="4"/>
        </w:numPr>
        <w:spacing w:after="0" w:line="240" w:lineRule="auto"/>
        <w:ind w:left="540" w:hanging="180"/>
        <w:rPr>
          <w:rFonts w:ascii="Times New Roman" w:hAnsi="Times New Roman" w:cs="Times New Roman"/>
          <w:sz w:val="24"/>
        </w:rPr>
      </w:pPr>
      <w:r>
        <w:rPr>
          <w:rFonts w:ascii="Times New Roman" w:hAnsi="Times New Roman" w:cs="Times New Roman"/>
          <w:sz w:val="24"/>
        </w:rPr>
        <w:t xml:space="preserve">Screening can be done with cytology alone every 3 years or in combination with HPV testing every 5 years starting at age 30 in healthy </w:t>
      </w:r>
      <w:r w:rsidR="008571F5">
        <w:rPr>
          <w:rFonts w:ascii="Times New Roman" w:hAnsi="Times New Roman" w:cs="Times New Roman"/>
          <w:sz w:val="24"/>
        </w:rPr>
        <w:t>females</w:t>
      </w:r>
      <w:r>
        <w:rPr>
          <w:rFonts w:ascii="Times New Roman" w:hAnsi="Times New Roman" w:cs="Times New Roman"/>
          <w:sz w:val="24"/>
        </w:rPr>
        <w:t>.</w:t>
      </w:r>
    </w:p>
    <w:p w:rsidR="00414CF2" w:rsidRDefault="004C10BB" w:rsidP="00BF7A21">
      <w:pPr>
        <w:pStyle w:val="ListParagraph"/>
        <w:numPr>
          <w:ilvl w:val="0"/>
          <w:numId w:val="4"/>
        </w:numPr>
        <w:spacing w:after="0" w:line="240" w:lineRule="auto"/>
        <w:ind w:left="540" w:hanging="180"/>
        <w:rPr>
          <w:rFonts w:ascii="Times New Roman" w:hAnsi="Times New Roman" w:cs="Times New Roman"/>
          <w:sz w:val="24"/>
        </w:rPr>
      </w:pPr>
      <w:r>
        <w:rPr>
          <w:rFonts w:ascii="Times New Roman" w:hAnsi="Times New Roman" w:cs="Times New Roman"/>
          <w:sz w:val="24"/>
        </w:rPr>
        <w:t xml:space="preserve">Any abnormal findings should be evaluated and the screening schedule should be updated accordingly. </w:t>
      </w:r>
    </w:p>
    <w:p w:rsidR="00BF7A21" w:rsidRPr="00BF7A21" w:rsidRDefault="00BF7A21" w:rsidP="00BF7A21">
      <w:pPr>
        <w:pStyle w:val="ListParagraph"/>
        <w:spacing w:after="0" w:line="240" w:lineRule="auto"/>
        <w:ind w:left="540"/>
        <w:rPr>
          <w:rFonts w:ascii="Times New Roman" w:hAnsi="Times New Roman" w:cs="Times New Roman"/>
          <w:sz w:val="16"/>
        </w:rPr>
      </w:pPr>
    </w:p>
    <w:p w:rsidR="00414CF2" w:rsidRDefault="004C10BB" w:rsidP="004C10BB">
      <w:pPr>
        <w:spacing w:after="0" w:line="240" w:lineRule="auto"/>
        <w:ind w:firstLine="360"/>
        <w:rPr>
          <w:rFonts w:ascii="Times New Roman" w:hAnsi="Times New Roman" w:cs="Times New Roman"/>
          <w:sz w:val="24"/>
        </w:rPr>
      </w:pPr>
      <w:r>
        <w:rPr>
          <w:rFonts w:ascii="Times New Roman" w:hAnsi="Times New Roman" w:cs="Times New Roman"/>
          <w:sz w:val="24"/>
        </w:rPr>
        <w:t xml:space="preserve">In summary, while cervical cancer has a decreasing incidence and mortality rate in Massachusetts, further </w:t>
      </w:r>
      <w:r w:rsidR="0073202D">
        <w:rPr>
          <w:rFonts w:ascii="Times New Roman" w:hAnsi="Times New Roman" w:cs="Times New Roman"/>
          <w:sz w:val="24"/>
        </w:rPr>
        <w:t>efforts are needed to reduce the burden of this</w:t>
      </w:r>
      <w:r>
        <w:rPr>
          <w:rFonts w:ascii="Times New Roman" w:hAnsi="Times New Roman" w:cs="Times New Roman"/>
          <w:sz w:val="24"/>
        </w:rPr>
        <w:t xml:space="preserve"> highly preventable cancer. Racial and ethnic disparities in the rates of cervical cancer still exist in Massachusetts. Improving HPV vaccination coverage has the potential to prevent an estimated 89% of all HPV-attributable cervical cancer cases. In addition, individual, community, and statewide interventions to promote healthy lifestyles and cervical cancer screening in Massachusetts are needed</w:t>
      </w:r>
      <w:r w:rsidR="001B63A7">
        <w:rPr>
          <w:rFonts w:ascii="Times New Roman" w:hAnsi="Times New Roman" w:cs="Times New Roman"/>
          <w:sz w:val="24"/>
        </w:rPr>
        <w:t xml:space="preserve"> to reduce the burden of disease</w:t>
      </w:r>
      <w:r>
        <w:rPr>
          <w:rFonts w:ascii="Times New Roman" w:hAnsi="Times New Roman" w:cs="Times New Roman"/>
          <w:sz w:val="24"/>
        </w:rPr>
        <w:t xml:space="preserve">. </w:t>
      </w:r>
    </w:p>
    <w:p w:rsidR="00D00BB4" w:rsidRDefault="00D00BB4" w:rsidP="004C10BB">
      <w:pPr>
        <w:spacing w:after="0" w:line="240" w:lineRule="auto"/>
        <w:ind w:firstLine="360"/>
        <w:rPr>
          <w:rFonts w:ascii="Times New Roman" w:hAnsi="Times New Roman" w:cs="Times New Roman"/>
          <w:sz w:val="24"/>
        </w:rPr>
      </w:pPr>
    </w:p>
    <w:p w:rsidR="00D00BB4" w:rsidRPr="00D00BB4" w:rsidRDefault="00D00BB4" w:rsidP="00D00BB4">
      <w:pPr>
        <w:spacing w:after="0" w:line="240" w:lineRule="auto"/>
        <w:rPr>
          <w:rFonts w:ascii="Times New Roman" w:hAnsi="Times New Roman" w:cs="Times New Roman"/>
          <w:b/>
          <w:color w:val="1F497D" w:themeColor="text2"/>
          <w:sz w:val="24"/>
          <w:szCs w:val="24"/>
        </w:rPr>
      </w:pPr>
      <w:r w:rsidRPr="00D00BB4">
        <w:rPr>
          <w:rFonts w:ascii="Times New Roman" w:hAnsi="Times New Roman" w:cs="Times New Roman"/>
          <w:b/>
          <w:color w:val="1F497D" w:themeColor="text2"/>
          <w:sz w:val="24"/>
          <w:szCs w:val="24"/>
        </w:rPr>
        <w:t>DATA SOURCES</w:t>
      </w:r>
    </w:p>
    <w:p w:rsidR="00D00BB4" w:rsidRPr="007F7BA9" w:rsidRDefault="00D00BB4" w:rsidP="00D00BB4">
      <w:pPr>
        <w:spacing w:after="0" w:line="240" w:lineRule="auto"/>
        <w:rPr>
          <w:rFonts w:ascii="Times New Roman" w:hAnsi="Times New Roman" w:cs="Times New Roman"/>
          <w:sz w:val="8"/>
        </w:rPr>
      </w:pPr>
    </w:p>
    <w:p w:rsidR="00D00BB4" w:rsidRPr="00D00BB4" w:rsidRDefault="00D00BB4" w:rsidP="00D00BB4">
      <w:pPr>
        <w:spacing w:after="0" w:line="240" w:lineRule="auto"/>
        <w:rPr>
          <w:rFonts w:ascii="Times New Roman" w:hAnsi="Times New Roman" w:cs="Times New Roman"/>
          <w:sz w:val="20"/>
          <w:szCs w:val="20"/>
        </w:rPr>
      </w:pPr>
      <w:r w:rsidRPr="00D00BB4">
        <w:rPr>
          <w:rFonts w:ascii="Times New Roman" w:hAnsi="Times New Roman" w:cs="Times New Roman"/>
          <w:b/>
          <w:sz w:val="20"/>
          <w:szCs w:val="20"/>
        </w:rPr>
        <w:t>Massachusetts Behavioral Risk Factor Surveillance System (BRFSS):</w:t>
      </w:r>
      <w:r w:rsidRPr="00D00BB4">
        <w:rPr>
          <w:rFonts w:ascii="Times New Roman" w:hAnsi="Times New Roman" w:cs="Times New Roman"/>
          <w:sz w:val="20"/>
          <w:szCs w:val="20"/>
        </w:rPr>
        <w:t xml:space="preserve"> </w:t>
      </w:r>
    </w:p>
    <w:p w:rsidR="00D00BB4" w:rsidRPr="00D00BB4" w:rsidRDefault="00D00BB4" w:rsidP="00D00BB4">
      <w:pPr>
        <w:spacing w:after="0" w:line="240" w:lineRule="auto"/>
        <w:ind w:firstLine="360"/>
        <w:rPr>
          <w:rFonts w:ascii="Times New Roman" w:hAnsi="Times New Roman" w:cs="Times New Roman"/>
          <w:sz w:val="20"/>
          <w:szCs w:val="20"/>
          <w:vertAlign w:val="superscript"/>
        </w:rPr>
      </w:pPr>
      <w:r w:rsidRPr="00D00BB4">
        <w:rPr>
          <w:rFonts w:ascii="Times New Roman" w:hAnsi="Times New Roman" w:cs="Times New Roman"/>
          <w:sz w:val="20"/>
          <w:szCs w:val="20"/>
        </w:rPr>
        <w:t>The Behavioral Risk Factor Surveillance System (BRFSS) is an ongoing random-digit-dial telephone survey of adults age 18 and older in collaboration with the Centers for Disease Control and Prevention (CDC). The survey has been conducted in Massachusetts since 1986 and collects data on a variety of health risk factors, preventive behaviors, and emerging public health issues. Data are collected on HPV vaccination, hysterectomies, and pap smears. National BRFSS data were also collected on HPV vaccination and Pap smears.</w:t>
      </w:r>
      <w:r w:rsidR="00B90089">
        <w:rPr>
          <w:rFonts w:ascii="Times New Roman" w:hAnsi="Times New Roman" w:cs="Times New Roman"/>
          <w:sz w:val="20"/>
          <w:szCs w:val="20"/>
          <w:vertAlign w:val="superscript"/>
        </w:rPr>
        <w:t>10</w:t>
      </w:r>
    </w:p>
    <w:p w:rsidR="00D00BB4" w:rsidRPr="00D00BB4" w:rsidRDefault="00D00BB4" w:rsidP="00D00BB4">
      <w:pPr>
        <w:spacing w:after="0" w:line="240" w:lineRule="auto"/>
        <w:ind w:firstLine="360"/>
        <w:rPr>
          <w:rFonts w:ascii="Times New Roman" w:hAnsi="Times New Roman" w:cs="Times New Roman"/>
          <w:sz w:val="20"/>
          <w:szCs w:val="20"/>
        </w:rPr>
      </w:pPr>
    </w:p>
    <w:p w:rsidR="00D00BB4" w:rsidRPr="00D00BB4" w:rsidRDefault="00D00BB4" w:rsidP="00D00BB4">
      <w:pPr>
        <w:spacing w:after="0" w:line="240" w:lineRule="auto"/>
        <w:rPr>
          <w:rFonts w:ascii="Times New Roman" w:hAnsi="Times New Roman" w:cs="Times New Roman"/>
          <w:b/>
          <w:sz w:val="20"/>
          <w:szCs w:val="20"/>
        </w:rPr>
      </w:pPr>
      <w:r w:rsidRPr="00D00BB4">
        <w:rPr>
          <w:rFonts w:ascii="Times New Roman" w:hAnsi="Times New Roman" w:cs="Times New Roman"/>
          <w:b/>
          <w:sz w:val="20"/>
          <w:szCs w:val="20"/>
        </w:rPr>
        <w:t>Massachusetts Cancer Registry (MCR):</w:t>
      </w:r>
    </w:p>
    <w:p w:rsidR="00D00BB4" w:rsidRPr="00D00BB4" w:rsidRDefault="00D00BB4" w:rsidP="00D00BB4">
      <w:pPr>
        <w:spacing w:after="0" w:line="240" w:lineRule="auto"/>
        <w:ind w:firstLine="360"/>
        <w:rPr>
          <w:rFonts w:ascii="Times New Roman" w:hAnsi="Times New Roman" w:cs="Times New Roman"/>
          <w:sz w:val="20"/>
          <w:szCs w:val="20"/>
        </w:rPr>
      </w:pPr>
      <w:r w:rsidRPr="00D00BB4">
        <w:rPr>
          <w:rFonts w:ascii="Times New Roman" w:hAnsi="Times New Roman" w:cs="Times New Roman"/>
          <w:sz w:val="20"/>
          <w:szCs w:val="20"/>
        </w:rPr>
        <w:t xml:space="preserve">Data on the incidence of cervical cancer are provided by the Massachusetts Cancer Registry (MCR), which is part of the Massachusetts Department of Public Health (MDPH). The MCR is a population-based registry that has been collecting reports of newly diagnosed cancer cases since 1982. The North American Association of Central Cancer Registries (NAACCR) has estimated that the MCR case ascertainment is more than 95% complete. The Massachusetts cancer cases reported in this report are primary cases of invasive cancer diagnosed among Massachusetts residents. </w:t>
      </w:r>
      <w:r w:rsidR="0082726A">
        <w:rPr>
          <w:rFonts w:ascii="Times New Roman" w:hAnsi="Times New Roman" w:cs="Times New Roman"/>
          <w:sz w:val="20"/>
        </w:rPr>
        <w:t>Incident cases were used from 2004-2014.</w:t>
      </w:r>
    </w:p>
    <w:p w:rsidR="00D00BB4" w:rsidRPr="00D00BB4" w:rsidRDefault="00D00BB4" w:rsidP="00D00BB4">
      <w:pPr>
        <w:spacing w:after="0" w:line="240" w:lineRule="auto"/>
        <w:rPr>
          <w:rFonts w:ascii="Times New Roman" w:hAnsi="Times New Roman" w:cs="Times New Roman"/>
          <w:sz w:val="20"/>
          <w:szCs w:val="20"/>
        </w:rPr>
      </w:pPr>
    </w:p>
    <w:p w:rsidR="00D00BB4" w:rsidRPr="00D00BB4" w:rsidRDefault="00D00BB4" w:rsidP="00D00BB4">
      <w:pPr>
        <w:spacing w:after="0" w:line="240" w:lineRule="auto"/>
        <w:rPr>
          <w:rFonts w:ascii="Times New Roman" w:hAnsi="Times New Roman" w:cs="Times New Roman"/>
          <w:sz w:val="20"/>
          <w:szCs w:val="20"/>
        </w:rPr>
      </w:pPr>
      <w:r w:rsidRPr="00D00BB4">
        <w:rPr>
          <w:rFonts w:ascii="Times New Roman" w:hAnsi="Times New Roman" w:cs="Times New Roman"/>
          <w:b/>
          <w:sz w:val="20"/>
          <w:szCs w:val="20"/>
        </w:rPr>
        <w:t>Massachusetts Registry of Vital Records and Statistics (</w:t>
      </w:r>
      <w:r w:rsidR="00DB39AF">
        <w:rPr>
          <w:rFonts w:ascii="Times New Roman" w:hAnsi="Times New Roman" w:cs="Times New Roman"/>
          <w:b/>
          <w:sz w:val="20"/>
          <w:szCs w:val="20"/>
        </w:rPr>
        <w:t>MRVRS</w:t>
      </w:r>
      <w:r w:rsidRPr="00D00BB4">
        <w:rPr>
          <w:rFonts w:ascii="Times New Roman" w:hAnsi="Times New Roman" w:cs="Times New Roman"/>
          <w:b/>
          <w:sz w:val="20"/>
          <w:szCs w:val="20"/>
        </w:rPr>
        <w:t>):</w:t>
      </w:r>
      <w:r w:rsidRPr="00D00BB4">
        <w:rPr>
          <w:rFonts w:ascii="Times New Roman" w:hAnsi="Times New Roman" w:cs="Times New Roman"/>
          <w:sz w:val="20"/>
          <w:szCs w:val="20"/>
        </w:rPr>
        <w:t xml:space="preserve"> </w:t>
      </w:r>
    </w:p>
    <w:p w:rsidR="00D00BB4" w:rsidRPr="00D00BB4" w:rsidRDefault="00D00BB4" w:rsidP="00D00BB4">
      <w:pPr>
        <w:spacing w:after="0" w:line="240" w:lineRule="auto"/>
        <w:ind w:firstLine="360"/>
        <w:rPr>
          <w:rFonts w:ascii="Times New Roman" w:hAnsi="Times New Roman" w:cs="Times New Roman"/>
          <w:sz w:val="20"/>
          <w:szCs w:val="20"/>
        </w:rPr>
      </w:pPr>
      <w:r w:rsidRPr="00D00BB4">
        <w:rPr>
          <w:rFonts w:ascii="Times New Roman" w:hAnsi="Times New Roman" w:cs="Times New Roman"/>
          <w:sz w:val="20"/>
          <w:szCs w:val="20"/>
        </w:rPr>
        <w:t>The cervical cancer death data are provided by the MDPH’s Massachusetts Registry of Vital Records and Statistics (</w:t>
      </w:r>
      <w:r w:rsidR="00DB39AF">
        <w:rPr>
          <w:rFonts w:ascii="Times New Roman" w:hAnsi="Times New Roman" w:cs="Times New Roman"/>
          <w:sz w:val="20"/>
          <w:szCs w:val="20"/>
        </w:rPr>
        <w:t>MRVRS</w:t>
      </w:r>
      <w:r w:rsidRPr="00D00BB4">
        <w:rPr>
          <w:rFonts w:ascii="Times New Roman" w:hAnsi="Times New Roman" w:cs="Times New Roman"/>
          <w:sz w:val="20"/>
          <w:szCs w:val="20"/>
        </w:rPr>
        <w:t xml:space="preserve">). The </w:t>
      </w:r>
      <w:r w:rsidR="00DB39AF">
        <w:rPr>
          <w:rFonts w:ascii="Times New Roman" w:hAnsi="Times New Roman" w:cs="Times New Roman"/>
          <w:sz w:val="20"/>
          <w:szCs w:val="20"/>
        </w:rPr>
        <w:t>MRVRS</w:t>
      </w:r>
      <w:r w:rsidRPr="00D00BB4">
        <w:rPr>
          <w:rFonts w:ascii="Times New Roman" w:hAnsi="Times New Roman" w:cs="Times New Roman"/>
          <w:sz w:val="20"/>
          <w:szCs w:val="20"/>
        </w:rPr>
        <w:t xml:space="preserve"> has legal responsibility for collecting reports of deaths for Massachusetts residents. </w:t>
      </w:r>
      <w:r w:rsidR="0082726A">
        <w:rPr>
          <w:rFonts w:ascii="Times New Roman" w:hAnsi="Times New Roman" w:cs="Times New Roman"/>
          <w:sz w:val="20"/>
        </w:rPr>
        <w:t>We looked at cancer deaths from 2008-2014 to account for the long survival period of cervical cancers.</w:t>
      </w:r>
    </w:p>
    <w:p w:rsidR="00D00BB4" w:rsidRPr="00D00BB4" w:rsidRDefault="00D00BB4" w:rsidP="00D00BB4">
      <w:pPr>
        <w:spacing w:after="0" w:line="240" w:lineRule="auto"/>
        <w:rPr>
          <w:rFonts w:ascii="Times New Roman" w:hAnsi="Times New Roman" w:cs="Times New Roman"/>
          <w:sz w:val="20"/>
          <w:szCs w:val="20"/>
        </w:rPr>
      </w:pPr>
    </w:p>
    <w:p w:rsidR="00D00BB4" w:rsidRPr="00D00BB4" w:rsidRDefault="00D00BB4" w:rsidP="00D00BB4">
      <w:pPr>
        <w:spacing w:after="0" w:line="240" w:lineRule="auto"/>
        <w:rPr>
          <w:rFonts w:ascii="Times New Roman" w:hAnsi="Times New Roman" w:cs="Times New Roman"/>
          <w:b/>
          <w:sz w:val="20"/>
          <w:szCs w:val="20"/>
        </w:rPr>
      </w:pPr>
      <w:r w:rsidRPr="00D00BB4">
        <w:rPr>
          <w:rFonts w:ascii="Times New Roman" w:hAnsi="Times New Roman" w:cs="Times New Roman"/>
          <w:b/>
          <w:sz w:val="20"/>
          <w:szCs w:val="20"/>
        </w:rPr>
        <w:t xml:space="preserve">National Center for Health Statistics (NCHS): </w:t>
      </w:r>
    </w:p>
    <w:p w:rsidR="00D00BB4" w:rsidRPr="00D00BB4" w:rsidRDefault="00D00BB4" w:rsidP="00D00BB4">
      <w:pPr>
        <w:spacing w:after="0" w:line="240" w:lineRule="auto"/>
        <w:ind w:firstLine="360"/>
        <w:rPr>
          <w:rFonts w:ascii="Times New Roman" w:hAnsi="Times New Roman" w:cs="Times New Roman"/>
          <w:sz w:val="20"/>
          <w:szCs w:val="20"/>
        </w:rPr>
      </w:pPr>
      <w:r w:rsidRPr="00D00BB4">
        <w:rPr>
          <w:rFonts w:ascii="Times New Roman" w:hAnsi="Times New Roman" w:cs="Times New Roman"/>
          <w:sz w:val="20"/>
          <w:szCs w:val="20"/>
        </w:rPr>
        <w:t>The population estimates used for rate calculations and data on the 2000 US population are provided by the National Center for Health Statistics (NCHS). The NCHS produces population estimates in collaboration with the U.S. Census Bureau’s Population Estimation Program.</w:t>
      </w:r>
    </w:p>
    <w:p w:rsidR="004C10BB" w:rsidRPr="00F56380" w:rsidRDefault="004C10BB" w:rsidP="004C10BB">
      <w:pPr>
        <w:spacing w:after="0" w:line="240" w:lineRule="auto"/>
        <w:ind w:firstLine="360"/>
        <w:rPr>
          <w:rFonts w:ascii="Times New Roman" w:hAnsi="Times New Roman" w:cs="Times New Roman"/>
          <w:sz w:val="16"/>
        </w:rPr>
      </w:pPr>
    </w:p>
    <w:p w:rsidR="001B63A7" w:rsidRDefault="00B6199B" w:rsidP="00A30879">
      <w:pPr>
        <w:spacing w:after="0" w:line="240" w:lineRule="auto"/>
        <w:rPr>
          <w:rFonts w:ascii="Times New Roman" w:hAnsi="Times New Roman" w:cs="Times New Roman"/>
          <w:b/>
          <w:color w:val="1F497D" w:themeColor="text2"/>
          <w:sz w:val="24"/>
        </w:rPr>
      </w:pPr>
      <w:r>
        <w:rPr>
          <w:rFonts w:ascii="Times New Roman" w:hAnsi="Times New Roman" w:cs="Times New Roman"/>
          <w:b/>
          <w:color w:val="1F497D" w:themeColor="text2"/>
          <w:sz w:val="24"/>
        </w:rPr>
        <w:t>TECHNICAL NOTES AND DEFINITIONS</w:t>
      </w:r>
    </w:p>
    <w:p w:rsidR="001B63A7" w:rsidRPr="007F7BA9" w:rsidRDefault="001B63A7" w:rsidP="001B63A7">
      <w:pPr>
        <w:spacing w:after="0" w:line="240" w:lineRule="auto"/>
        <w:rPr>
          <w:rFonts w:ascii="Times New Roman" w:hAnsi="Times New Roman" w:cs="Times New Roman"/>
          <w:b/>
          <w:sz w:val="20"/>
        </w:rPr>
      </w:pPr>
      <w:r w:rsidRPr="007F7BA9">
        <w:rPr>
          <w:rFonts w:ascii="Times New Roman" w:hAnsi="Times New Roman" w:cs="Times New Roman"/>
          <w:b/>
          <w:sz w:val="20"/>
        </w:rPr>
        <w:t xml:space="preserve">Age-Adjusted Rates: </w:t>
      </w:r>
      <w:r w:rsidRPr="007F7BA9">
        <w:rPr>
          <w:rFonts w:ascii="Times New Roman" w:hAnsi="Times New Roman" w:cs="Times New Roman"/>
          <w:sz w:val="20"/>
        </w:rPr>
        <w:t xml:space="preserve">Rates were age-adjusted using </w:t>
      </w:r>
      <w:r w:rsidR="0073202D">
        <w:rPr>
          <w:rFonts w:ascii="Times New Roman" w:hAnsi="Times New Roman" w:cs="Times New Roman"/>
          <w:sz w:val="20"/>
        </w:rPr>
        <w:t xml:space="preserve">the direct method of </w:t>
      </w:r>
      <w:r w:rsidRPr="007F7BA9">
        <w:rPr>
          <w:rFonts w:ascii="Times New Roman" w:hAnsi="Times New Roman" w:cs="Times New Roman"/>
          <w:sz w:val="20"/>
        </w:rPr>
        <w:t>standardizatio</w:t>
      </w:r>
      <w:r w:rsidR="008A36A6">
        <w:rPr>
          <w:rFonts w:ascii="Times New Roman" w:hAnsi="Times New Roman" w:cs="Times New Roman"/>
          <w:sz w:val="20"/>
        </w:rPr>
        <w:t>n. The weights were</w:t>
      </w:r>
      <w:r w:rsidRPr="007F7BA9">
        <w:rPr>
          <w:rFonts w:ascii="Times New Roman" w:hAnsi="Times New Roman" w:cs="Times New Roman"/>
          <w:sz w:val="20"/>
        </w:rPr>
        <w:t xml:space="preserve"> the proportions of person-time in th</w:t>
      </w:r>
      <w:r w:rsidR="0073202D">
        <w:rPr>
          <w:rFonts w:ascii="Times New Roman" w:hAnsi="Times New Roman" w:cs="Times New Roman"/>
          <w:sz w:val="20"/>
        </w:rPr>
        <w:t>e corresponding age groups of the 200</w:t>
      </w:r>
      <w:r w:rsidR="008A36A6">
        <w:rPr>
          <w:rFonts w:ascii="Times New Roman" w:hAnsi="Times New Roman" w:cs="Times New Roman"/>
          <w:sz w:val="20"/>
        </w:rPr>
        <w:t xml:space="preserve">0 U.S. Census bureau </w:t>
      </w:r>
      <w:r w:rsidR="003B4F4F">
        <w:rPr>
          <w:rFonts w:ascii="Times New Roman" w:hAnsi="Times New Roman" w:cs="Times New Roman"/>
          <w:sz w:val="20"/>
        </w:rPr>
        <w:t>population per</w:t>
      </w:r>
      <w:r w:rsidR="008A36A6">
        <w:rPr>
          <w:rFonts w:ascii="Times New Roman" w:hAnsi="Times New Roman" w:cs="Times New Roman"/>
          <w:sz w:val="20"/>
        </w:rPr>
        <w:t xml:space="preserve"> 100,000</w:t>
      </w:r>
      <w:r w:rsidRPr="007F7BA9">
        <w:rPr>
          <w:rFonts w:ascii="Times New Roman" w:hAnsi="Times New Roman" w:cs="Times New Roman"/>
          <w:sz w:val="20"/>
        </w:rPr>
        <w:t>. Rates were adjusted using eighteen 5-year age groups. Incidence rates were calculated from 2004-2014. Mortality rates were calculated</w:t>
      </w:r>
      <w:r w:rsidR="00542F70">
        <w:rPr>
          <w:rFonts w:ascii="Times New Roman" w:hAnsi="Times New Roman" w:cs="Times New Roman"/>
          <w:sz w:val="20"/>
        </w:rPr>
        <w:t xml:space="preserve"> from 2008-2014 to allow for survival time</w:t>
      </w:r>
      <w:r w:rsidRPr="007F7BA9">
        <w:rPr>
          <w:rFonts w:ascii="Times New Roman" w:hAnsi="Times New Roman" w:cs="Times New Roman"/>
          <w:sz w:val="20"/>
        </w:rPr>
        <w:t xml:space="preserve">.  </w:t>
      </w:r>
    </w:p>
    <w:p w:rsidR="001B63A7" w:rsidRPr="00F56380" w:rsidRDefault="001B63A7" w:rsidP="001B63A7">
      <w:pPr>
        <w:spacing w:after="0" w:line="240" w:lineRule="auto"/>
        <w:rPr>
          <w:rFonts w:ascii="Times New Roman" w:hAnsi="Times New Roman" w:cs="Times New Roman"/>
          <w:b/>
          <w:sz w:val="16"/>
        </w:rPr>
      </w:pPr>
    </w:p>
    <w:p w:rsidR="001B63A7" w:rsidRPr="00894F74" w:rsidRDefault="001B63A7" w:rsidP="001B63A7">
      <w:pPr>
        <w:spacing w:after="0" w:line="240" w:lineRule="auto"/>
        <w:rPr>
          <w:rFonts w:ascii="Times New Roman" w:hAnsi="Times New Roman" w:cs="Times New Roman"/>
          <w:b/>
          <w:sz w:val="20"/>
        </w:rPr>
      </w:pPr>
      <w:r w:rsidRPr="007F7BA9">
        <w:rPr>
          <w:rFonts w:ascii="Times New Roman" w:hAnsi="Times New Roman" w:cs="Times New Roman"/>
          <w:b/>
          <w:sz w:val="20"/>
        </w:rPr>
        <w:t xml:space="preserve">HPV-Associated Cancer Estimates: </w:t>
      </w:r>
      <w:r w:rsidR="00FB484A">
        <w:rPr>
          <w:rFonts w:ascii="Times New Roman" w:hAnsi="Times New Roman" w:cs="Times New Roman"/>
          <w:sz w:val="20"/>
        </w:rPr>
        <w:t>Inclusion of selected cancers was based on CDC-defined codes.</w:t>
      </w:r>
      <w:r w:rsidR="00B90089">
        <w:rPr>
          <w:rFonts w:ascii="Times New Roman" w:hAnsi="Times New Roman" w:cs="Times New Roman"/>
          <w:sz w:val="20"/>
          <w:vertAlign w:val="superscript"/>
        </w:rPr>
        <w:t>4</w:t>
      </w:r>
      <w:r w:rsidR="00FB484A">
        <w:rPr>
          <w:rFonts w:ascii="Times New Roman" w:hAnsi="Times New Roman" w:cs="Times New Roman"/>
          <w:sz w:val="20"/>
        </w:rPr>
        <w:t xml:space="preserve"> Since not all HPV-associated</w:t>
      </w:r>
      <w:r w:rsidR="00FB484A" w:rsidRPr="007F7BA9">
        <w:rPr>
          <w:rFonts w:ascii="Times New Roman" w:hAnsi="Times New Roman" w:cs="Times New Roman"/>
          <w:sz w:val="20"/>
        </w:rPr>
        <w:t xml:space="preserve"> cancers are caused by HPV, we used the</w:t>
      </w:r>
      <w:r w:rsidR="00FB484A">
        <w:rPr>
          <w:rFonts w:ascii="Times New Roman" w:hAnsi="Times New Roman" w:cs="Times New Roman"/>
          <w:sz w:val="20"/>
        </w:rPr>
        <w:t xml:space="preserve"> CDC</w:t>
      </w:r>
      <w:r w:rsidR="00FB484A" w:rsidRPr="007F7BA9">
        <w:rPr>
          <w:rFonts w:ascii="Times New Roman" w:hAnsi="Times New Roman" w:cs="Times New Roman"/>
          <w:sz w:val="20"/>
        </w:rPr>
        <w:t xml:space="preserve"> methodology on HPV-associated cancers to </w:t>
      </w:r>
      <w:r w:rsidR="00FB484A">
        <w:rPr>
          <w:rFonts w:ascii="Times New Roman" w:hAnsi="Times New Roman" w:cs="Times New Roman"/>
          <w:sz w:val="20"/>
        </w:rPr>
        <w:t>estimate</w:t>
      </w:r>
      <w:r w:rsidR="00FB484A" w:rsidRPr="007F7BA9">
        <w:rPr>
          <w:rFonts w:ascii="Times New Roman" w:hAnsi="Times New Roman" w:cs="Times New Roman"/>
          <w:sz w:val="20"/>
        </w:rPr>
        <w:t xml:space="preserve"> the number of cancers attributable to HPV </w:t>
      </w:r>
      <w:r w:rsidR="00FB484A">
        <w:rPr>
          <w:rFonts w:ascii="Times New Roman" w:hAnsi="Times New Roman" w:cs="Times New Roman"/>
          <w:sz w:val="20"/>
        </w:rPr>
        <w:t>applying</w:t>
      </w:r>
      <w:r w:rsidR="00FB484A" w:rsidRPr="007F7BA9">
        <w:rPr>
          <w:rFonts w:ascii="Times New Roman" w:hAnsi="Times New Roman" w:cs="Times New Roman"/>
          <w:sz w:val="20"/>
        </w:rPr>
        <w:t xml:space="preserve"> estimated percentages from genotyping studies.</w:t>
      </w:r>
      <w:r w:rsidR="00B90089">
        <w:rPr>
          <w:rFonts w:ascii="Times New Roman" w:hAnsi="Times New Roman" w:cs="Times New Roman"/>
          <w:sz w:val="20"/>
          <w:vertAlign w:val="superscript"/>
        </w:rPr>
        <w:t>1</w:t>
      </w:r>
      <w:proofErr w:type="gramStart"/>
      <w:r w:rsidR="00B90089">
        <w:rPr>
          <w:rFonts w:ascii="Times New Roman" w:hAnsi="Times New Roman" w:cs="Times New Roman"/>
          <w:sz w:val="20"/>
          <w:vertAlign w:val="superscript"/>
        </w:rPr>
        <w:t>,4</w:t>
      </w:r>
      <w:proofErr w:type="gramEnd"/>
    </w:p>
    <w:p w:rsidR="00FB484A" w:rsidRPr="007F7BA9" w:rsidRDefault="00FB484A" w:rsidP="001B63A7">
      <w:pPr>
        <w:spacing w:after="0" w:line="240" w:lineRule="auto"/>
        <w:rPr>
          <w:rFonts w:ascii="Times New Roman" w:hAnsi="Times New Roman" w:cs="Times New Roman"/>
          <w:b/>
          <w:sz w:val="20"/>
        </w:rPr>
      </w:pPr>
    </w:p>
    <w:p w:rsidR="001B63A7" w:rsidRPr="007F7BA9" w:rsidRDefault="001B63A7" w:rsidP="001B63A7">
      <w:pPr>
        <w:spacing w:after="0" w:line="240" w:lineRule="auto"/>
        <w:rPr>
          <w:rFonts w:ascii="Times New Roman" w:hAnsi="Times New Roman" w:cs="Times New Roman"/>
          <w:b/>
          <w:sz w:val="20"/>
        </w:rPr>
      </w:pPr>
      <w:r w:rsidRPr="007F7BA9">
        <w:rPr>
          <w:rFonts w:ascii="Times New Roman" w:hAnsi="Times New Roman" w:cs="Times New Roman"/>
          <w:b/>
          <w:sz w:val="20"/>
        </w:rPr>
        <w:t xml:space="preserve">Hysterectomy Adjustment: </w:t>
      </w:r>
      <w:r w:rsidRPr="007F7BA9">
        <w:rPr>
          <w:rFonts w:ascii="Times New Roman" w:hAnsi="Times New Roman" w:cs="Times New Roman"/>
          <w:sz w:val="20"/>
        </w:rPr>
        <w:t xml:space="preserve">Females who had a hysterectomy should be removed </w:t>
      </w:r>
      <w:r w:rsidR="00DB3373">
        <w:rPr>
          <w:rFonts w:ascii="Times New Roman" w:hAnsi="Times New Roman" w:cs="Times New Roman"/>
          <w:sz w:val="20"/>
        </w:rPr>
        <w:t xml:space="preserve">from the population when </w:t>
      </w:r>
      <w:r w:rsidRPr="007F7BA9">
        <w:rPr>
          <w:rFonts w:ascii="Times New Roman" w:hAnsi="Times New Roman" w:cs="Times New Roman"/>
          <w:sz w:val="20"/>
        </w:rPr>
        <w:t>calculating rates of cervical cancer. The data on hysterectomy</w:t>
      </w:r>
      <w:r w:rsidR="00DB3373">
        <w:rPr>
          <w:rFonts w:ascii="Times New Roman" w:hAnsi="Times New Roman" w:cs="Times New Roman"/>
          <w:sz w:val="20"/>
        </w:rPr>
        <w:t xml:space="preserve"> status is not available in the </w:t>
      </w:r>
      <w:r w:rsidRPr="007F7BA9">
        <w:rPr>
          <w:rFonts w:ascii="Times New Roman" w:hAnsi="Times New Roman" w:cs="Times New Roman"/>
          <w:sz w:val="20"/>
        </w:rPr>
        <w:t>MCR dataset so estimates were needed using data from BRFSS to correct the population f</w:t>
      </w:r>
      <w:r w:rsidR="00F56380">
        <w:rPr>
          <w:rFonts w:ascii="Times New Roman" w:hAnsi="Times New Roman" w:cs="Times New Roman"/>
          <w:sz w:val="20"/>
        </w:rPr>
        <w:t xml:space="preserve">or the </w:t>
      </w:r>
      <w:r w:rsidR="00DB3373">
        <w:rPr>
          <w:rFonts w:ascii="Times New Roman" w:hAnsi="Times New Roman" w:cs="Times New Roman"/>
          <w:sz w:val="20"/>
        </w:rPr>
        <w:t>prevalence of hysterectomies</w:t>
      </w:r>
      <w:r w:rsidRPr="007F7BA9">
        <w:rPr>
          <w:rFonts w:ascii="Times New Roman" w:hAnsi="Times New Roman" w:cs="Times New Roman"/>
          <w:sz w:val="20"/>
        </w:rPr>
        <w:t xml:space="preserve">. Data collected in the BRFSS were insufficient to calculate the hysterectomy prevalence by age and race/ethnicity or by race/ethnicity alone. Since data on hysterectomies was collected every two years, we used an average of the data collected before and after the missing year to get the missing year’s data for each category. Due to small sample sizes we were not able to obtain the hysterectomy prevalence for females under age 30 and above 70. We assumed </w:t>
      </w:r>
      <w:r w:rsidR="00DB3373">
        <w:rPr>
          <w:rFonts w:ascii="Times New Roman" w:hAnsi="Times New Roman" w:cs="Times New Roman"/>
          <w:sz w:val="20"/>
        </w:rPr>
        <w:t xml:space="preserve">a hysterectomy prevalence of 0% </w:t>
      </w:r>
      <w:r w:rsidRPr="007F7BA9">
        <w:rPr>
          <w:rFonts w:ascii="Times New Roman" w:hAnsi="Times New Roman" w:cs="Times New Roman"/>
          <w:sz w:val="20"/>
        </w:rPr>
        <w:t>for femal</w:t>
      </w:r>
      <w:r w:rsidR="00DB3373">
        <w:rPr>
          <w:rFonts w:ascii="Times New Roman" w:hAnsi="Times New Roman" w:cs="Times New Roman"/>
          <w:sz w:val="20"/>
        </w:rPr>
        <w:t>es under age 30 and assumed</w:t>
      </w:r>
      <w:r w:rsidR="008A36A6">
        <w:rPr>
          <w:rFonts w:ascii="Times New Roman" w:hAnsi="Times New Roman" w:cs="Times New Roman"/>
          <w:sz w:val="20"/>
        </w:rPr>
        <w:t xml:space="preserve"> the hysterectomy prevalence for</w:t>
      </w:r>
      <w:r w:rsidRPr="007F7BA9">
        <w:rPr>
          <w:rFonts w:ascii="Times New Roman" w:hAnsi="Times New Roman" w:cs="Times New Roman"/>
          <w:sz w:val="20"/>
        </w:rPr>
        <w:t xml:space="preserve"> females age 70 and above </w:t>
      </w:r>
      <w:proofErr w:type="gramStart"/>
      <w:r w:rsidRPr="007F7BA9">
        <w:rPr>
          <w:rFonts w:ascii="Times New Roman" w:hAnsi="Times New Roman" w:cs="Times New Roman"/>
          <w:sz w:val="20"/>
        </w:rPr>
        <w:t>was</w:t>
      </w:r>
      <w:proofErr w:type="gramEnd"/>
      <w:r w:rsidRPr="007F7BA9">
        <w:rPr>
          <w:rFonts w:ascii="Times New Roman" w:hAnsi="Times New Roman" w:cs="Times New Roman"/>
          <w:sz w:val="20"/>
        </w:rPr>
        <w:t xml:space="preserve"> the same as 60-69 year olds. To get an adjusted population we multiplied the female population by </w:t>
      </w:r>
      <w:r w:rsidR="008A36A6">
        <w:rPr>
          <w:rFonts w:ascii="Times New Roman" w:hAnsi="Times New Roman" w:cs="Times New Roman"/>
          <w:sz w:val="20"/>
        </w:rPr>
        <w:t xml:space="preserve">percent </w:t>
      </w:r>
      <w:r w:rsidR="0073202D">
        <w:rPr>
          <w:rFonts w:ascii="Times New Roman" w:hAnsi="Times New Roman" w:cs="Times New Roman"/>
          <w:sz w:val="20"/>
        </w:rPr>
        <w:t>without</w:t>
      </w:r>
      <w:r w:rsidR="008A36A6">
        <w:rPr>
          <w:rFonts w:ascii="Times New Roman" w:hAnsi="Times New Roman" w:cs="Times New Roman"/>
          <w:sz w:val="20"/>
        </w:rPr>
        <w:t xml:space="preserve"> a hysterectomy</w:t>
      </w:r>
      <w:r w:rsidRPr="007F7BA9">
        <w:rPr>
          <w:rFonts w:ascii="Times New Roman" w:hAnsi="Times New Roman" w:cs="Times New Roman"/>
          <w:sz w:val="20"/>
        </w:rPr>
        <w:t xml:space="preserve">. We used the adjusted population to calculate the age-specific standardized rates. </w:t>
      </w:r>
    </w:p>
    <w:p w:rsidR="001B63A7" w:rsidRPr="00F56380" w:rsidRDefault="001B63A7" w:rsidP="001B63A7">
      <w:pPr>
        <w:spacing w:after="0" w:line="240" w:lineRule="auto"/>
        <w:rPr>
          <w:rFonts w:ascii="Times New Roman" w:hAnsi="Times New Roman" w:cs="Times New Roman"/>
          <w:b/>
          <w:sz w:val="16"/>
        </w:rPr>
      </w:pPr>
    </w:p>
    <w:p w:rsidR="001B63A7" w:rsidRPr="007F7BA9" w:rsidRDefault="001B63A7" w:rsidP="001B63A7">
      <w:pPr>
        <w:spacing w:after="0" w:line="240" w:lineRule="auto"/>
        <w:rPr>
          <w:rFonts w:ascii="Times New Roman" w:hAnsi="Times New Roman" w:cs="Times New Roman"/>
          <w:sz w:val="20"/>
        </w:rPr>
      </w:pPr>
      <w:r w:rsidRPr="007F7BA9">
        <w:rPr>
          <w:rFonts w:ascii="Times New Roman" w:hAnsi="Times New Roman" w:cs="Times New Roman"/>
          <w:b/>
          <w:sz w:val="20"/>
        </w:rPr>
        <w:t xml:space="preserve">Incidence: </w:t>
      </w:r>
      <w:r w:rsidRPr="007F7BA9">
        <w:rPr>
          <w:rFonts w:ascii="Times New Roman" w:hAnsi="Times New Roman" w:cs="Times New Roman"/>
          <w:sz w:val="20"/>
        </w:rPr>
        <w:t xml:space="preserve">The incident cases of cervical cancer are the number of people who are newly diagnosed with the disease during a specific time period. The incidence data for cervical cancer were collected for cancers with the International Classification of Disease for Oncology (ICD-O) codes: C53.0, C53.1, C53.8, and C53.9. </w:t>
      </w:r>
    </w:p>
    <w:p w:rsidR="001B63A7" w:rsidRPr="00F56380" w:rsidRDefault="001B63A7" w:rsidP="001B63A7">
      <w:pPr>
        <w:spacing w:after="0" w:line="240" w:lineRule="auto"/>
        <w:rPr>
          <w:rFonts w:ascii="Times New Roman" w:hAnsi="Times New Roman" w:cs="Times New Roman"/>
          <w:sz w:val="16"/>
        </w:rPr>
      </w:pPr>
    </w:p>
    <w:p w:rsidR="001B63A7" w:rsidRPr="007F7BA9" w:rsidRDefault="001B63A7" w:rsidP="001B63A7">
      <w:pPr>
        <w:spacing w:after="0" w:line="240" w:lineRule="auto"/>
        <w:rPr>
          <w:rFonts w:ascii="Times New Roman" w:hAnsi="Times New Roman" w:cs="Times New Roman"/>
          <w:sz w:val="20"/>
        </w:rPr>
      </w:pPr>
      <w:proofErr w:type="spellStart"/>
      <w:r w:rsidRPr="007F7BA9">
        <w:rPr>
          <w:rFonts w:ascii="Times New Roman" w:hAnsi="Times New Roman" w:cs="Times New Roman"/>
          <w:b/>
          <w:sz w:val="20"/>
        </w:rPr>
        <w:t>Joinpoint</w:t>
      </w:r>
      <w:proofErr w:type="spellEnd"/>
      <w:r w:rsidRPr="007F7BA9">
        <w:rPr>
          <w:rFonts w:ascii="Times New Roman" w:hAnsi="Times New Roman" w:cs="Times New Roman"/>
          <w:b/>
          <w:sz w:val="20"/>
        </w:rPr>
        <w:t xml:space="preserve"> Regression Analysis of Cancer Trends: </w:t>
      </w:r>
      <w:r w:rsidRPr="007F7BA9">
        <w:rPr>
          <w:rFonts w:ascii="Times New Roman" w:hAnsi="Times New Roman" w:cs="Times New Roman"/>
          <w:sz w:val="20"/>
        </w:rPr>
        <w:t>The annual percent change (APC) is a linear approximation of trends over time. The APC=100*(e</w:t>
      </w:r>
      <w:r w:rsidRPr="007F7BA9">
        <w:rPr>
          <w:rFonts w:ascii="Times New Roman" w:hAnsi="Times New Roman" w:cs="Times New Roman"/>
          <w:sz w:val="20"/>
          <w:vertAlign w:val="superscript"/>
        </w:rPr>
        <w:t>m</w:t>
      </w:r>
      <w:r w:rsidRPr="007F7BA9">
        <w:rPr>
          <w:rFonts w:ascii="Times New Roman" w:hAnsi="Times New Roman" w:cs="Times New Roman"/>
          <w:sz w:val="20"/>
        </w:rPr>
        <w:t>-1), where m is a slope of the linear regression line, which is an approximation of the function of the natural logarithm of the rates by the year of diagnosis. SEER provides software to calculate t</w:t>
      </w:r>
      <w:r w:rsidR="00542F70">
        <w:rPr>
          <w:rFonts w:ascii="Times New Roman" w:hAnsi="Times New Roman" w:cs="Times New Roman"/>
          <w:sz w:val="20"/>
        </w:rPr>
        <w:t>he number and location</w:t>
      </w:r>
      <w:r w:rsidRPr="007F7BA9">
        <w:rPr>
          <w:rFonts w:ascii="Times New Roman" w:hAnsi="Times New Roman" w:cs="Times New Roman"/>
          <w:sz w:val="20"/>
        </w:rPr>
        <w:t xml:space="preserve"> of points where trends change direction (</w:t>
      </w:r>
      <w:proofErr w:type="spellStart"/>
      <w:r w:rsidRPr="007F7BA9">
        <w:rPr>
          <w:rFonts w:ascii="Times New Roman" w:hAnsi="Times New Roman" w:cs="Times New Roman"/>
          <w:sz w:val="20"/>
        </w:rPr>
        <w:t>joinpoints</w:t>
      </w:r>
      <w:proofErr w:type="spellEnd"/>
      <w:r w:rsidRPr="007F7BA9">
        <w:rPr>
          <w:rFonts w:ascii="Times New Roman" w:hAnsi="Times New Roman" w:cs="Times New Roman"/>
          <w:sz w:val="20"/>
        </w:rPr>
        <w:t>).</w:t>
      </w:r>
      <w:r w:rsidR="00E668D2" w:rsidRPr="007F7BA9">
        <w:rPr>
          <w:rFonts w:ascii="Times New Roman" w:hAnsi="Times New Roman" w:cs="Times New Roman"/>
          <w:sz w:val="20"/>
          <w:vertAlign w:val="superscript"/>
        </w:rPr>
        <w:t>11</w:t>
      </w:r>
      <w:r w:rsidRPr="007F7BA9">
        <w:rPr>
          <w:rFonts w:ascii="Times New Roman" w:hAnsi="Times New Roman" w:cs="Times New Roman"/>
          <w:sz w:val="20"/>
        </w:rPr>
        <w:t xml:space="preserve"> </w:t>
      </w:r>
    </w:p>
    <w:p w:rsidR="001B63A7" w:rsidRPr="00F56380" w:rsidRDefault="001B63A7" w:rsidP="001B63A7">
      <w:pPr>
        <w:spacing w:after="0" w:line="240" w:lineRule="auto"/>
        <w:rPr>
          <w:rFonts w:ascii="Times New Roman" w:hAnsi="Times New Roman" w:cs="Times New Roman"/>
          <w:sz w:val="16"/>
        </w:rPr>
      </w:pPr>
    </w:p>
    <w:p w:rsidR="001B63A7" w:rsidRPr="007F7BA9" w:rsidRDefault="001B63A7" w:rsidP="00A30879">
      <w:pPr>
        <w:spacing w:after="0" w:line="240" w:lineRule="auto"/>
        <w:rPr>
          <w:rFonts w:ascii="Times New Roman" w:hAnsi="Times New Roman" w:cs="Times New Roman"/>
          <w:sz w:val="20"/>
        </w:rPr>
      </w:pPr>
      <w:r w:rsidRPr="007F7BA9">
        <w:rPr>
          <w:rFonts w:ascii="Times New Roman" w:hAnsi="Times New Roman" w:cs="Times New Roman"/>
          <w:b/>
          <w:sz w:val="20"/>
        </w:rPr>
        <w:t xml:space="preserve">Mortality: </w:t>
      </w:r>
      <w:r w:rsidRPr="007F7BA9">
        <w:rPr>
          <w:rFonts w:ascii="Times New Roman" w:hAnsi="Times New Roman" w:cs="Times New Roman"/>
          <w:sz w:val="20"/>
        </w:rPr>
        <w:t xml:space="preserve">The number of deaths was the number of people who died due to cervical cancer during a specific time period. The mortality data were collected for deaths with International Classification of Diseases tenth edition (ICD-10) codes: C53.0, C52.1, C53.8, and C53.9. </w:t>
      </w:r>
    </w:p>
    <w:p w:rsidR="001B63A7" w:rsidRPr="0073202D" w:rsidRDefault="001B63A7" w:rsidP="00A30879">
      <w:pPr>
        <w:spacing w:after="0" w:line="240" w:lineRule="auto"/>
        <w:rPr>
          <w:rFonts w:ascii="Times New Roman" w:hAnsi="Times New Roman" w:cs="Times New Roman"/>
          <w:sz w:val="16"/>
        </w:rPr>
      </w:pPr>
    </w:p>
    <w:p w:rsidR="0073202D" w:rsidRDefault="0073202D" w:rsidP="00A30879">
      <w:pPr>
        <w:spacing w:after="0" w:line="240" w:lineRule="auto"/>
        <w:rPr>
          <w:rFonts w:ascii="Times New Roman" w:hAnsi="Times New Roman" w:cs="Times New Roman"/>
          <w:sz w:val="20"/>
        </w:rPr>
      </w:pPr>
      <w:r w:rsidRPr="0073202D">
        <w:rPr>
          <w:rFonts w:ascii="Times New Roman" w:hAnsi="Times New Roman" w:cs="Times New Roman"/>
          <w:b/>
          <w:sz w:val="20"/>
        </w:rPr>
        <w:t>Stage:</w:t>
      </w:r>
      <w:r>
        <w:rPr>
          <w:rFonts w:ascii="Times New Roman" w:hAnsi="Times New Roman" w:cs="Times New Roman"/>
          <w:sz w:val="20"/>
        </w:rPr>
        <w:t xml:space="preserve"> We used SEER su</w:t>
      </w:r>
      <w:r w:rsidR="00DB3373">
        <w:rPr>
          <w:rFonts w:ascii="Times New Roman" w:hAnsi="Times New Roman" w:cs="Times New Roman"/>
          <w:sz w:val="20"/>
        </w:rPr>
        <w:t xml:space="preserve">mmary staging to assign </w:t>
      </w:r>
      <w:r w:rsidR="008571F5">
        <w:rPr>
          <w:rFonts w:ascii="Times New Roman" w:hAnsi="Times New Roman" w:cs="Times New Roman"/>
          <w:sz w:val="20"/>
        </w:rPr>
        <w:t>females</w:t>
      </w:r>
      <w:r w:rsidR="00DB3373">
        <w:rPr>
          <w:rFonts w:ascii="Times New Roman" w:hAnsi="Times New Roman" w:cs="Times New Roman"/>
          <w:sz w:val="20"/>
        </w:rPr>
        <w:t xml:space="preserve"> to s</w:t>
      </w:r>
      <w:r>
        <w:rPr>
          <w:rFonts w:ascii="Times New Roman" w:hAnsi="Times New Roman" w:cs="Times New Roman"/>
          <w:sz w:val="20"/>
        </w:rPr>
        <w:t xml:space="preserve">tage </w:t>
      </w:r>
      <w:proofErr w:type="gramStart"/>
      <w:r>
        <w:rPr>
          <w:rFonts w:ascii="Times New Roman" w:hAnsi="Times New Roman" w:cs="Times New Roman"/>
          <w:sz w:val="20"/>
        </w:rPr>
        <w:t>I</w:t>
      </w:r>
      <w:proofErr w:type="gramEnd"/>
      <w:r>
        <w:rPr>
          <w:rFonts w:ascii="Times New Roman" w:hAnsi="Times New Roman" w:cs="Times New Roman"/>
          <w:sz w:val="20"/>
        </w:rPr>
        <w:t xml:space="preserve"> – stage IV cervical </w:t>
      </w:r>
      <w:r w:rsidR="00DB3373">
        <w:rPr>
          <w:rFonts w:ascii="Times New Roman" w:hAnsi="Times New Roman" w:cs="Times New Roman"/>
          <w:sz w:val="20"/>
        </w:rPr>
        <w:t>cancer</w:t>
      </w:r>
      <w:r>
        <w:rPr>
          <w:rFonts w:ascii="Times New Roman" w:hAnsi="Times New Roman" w:cs="Times New Roman"/>
          <w:sz w:val="20"/>
        </w:rPr>
        <w:t xml:space="preserve">. </w:t>
      </w:r>
      <w:r w:rsidR="00DB3373">
        <w:rPr>
          <w:rFonts w:ascii="Times New Roman" w:hAnsi="Times New Roman" w:cs="Times New Roman"/>
          <w:sz w:val="20"/>
        </w:rPr>
        <w:t>Stage I disease was considered local disease, stage II and stage III were considered regional disease, and stage IV was considered distant disease.</w:t>
      </w:r>
    </w:p>
    <w:p w:rsidR="00476176" w:rsidRDefault="00476176" w:rsidP="00476176">
      <w:pPr>
        <w:spacing w:after="0" w:line="240" w:lineRule="auto"/>
        <w:rPr>
          <w:rFonts w:ascii="Times New Roman" w:hAnsi="Times New Roman" w:cs="Times New Roman"/>
          <w:sz w:val="20"/>
        </w:rPr>
      </w:pPr>
      <w:r w:rsidRPr="003B38BF">
        <w:rPr>
          <w:rFonts w:ascii="Times New Roman" w:hAnsi="Times New Roman" w:cs="Times New Roman"/>
          <w:b/>
          <w:sz w:val="20"/>
        </w:rPr>
        <w:t>Statistically Significant</w:t>
      </w:r>
      <w:r>
        <w:rPr>
          <w:rFonts w:ascii="Times New Roman" w:hAnsi="Times New Roman" w:cs="Times New Roman"/>
          <w:sz w:val="20"/>
        </w:rPr>
        <w:t xml:space="preserve">: Results were considered to be statistically significant when the p value &lt; 0.05 for all analyses. </w:t>
      </w:r>
    </w:p>
    <w:p w:rsidR="0082726A" w:rsidRDefault="0082726A" w:rsidP="00476176">
      <w:pPr>
        <w:spacing w:after="0" w:line="240" w:lineRule="auto"/>
        <w:rPr>
          <w:rFonts w:ascii="Times New Roman" w:hAnsi="Times New Roman" w:cs="Times New Roman"/>
          <w:sz w:val="20"/>
        </w:rPr>
      </w:pPr>
    </w:p>
    <w:p w:rsidR="001B63A7" w:rsidRDefault="001B63A7" w:rsidP="001B63A7">
      <w:pPr>
        <w:spacing w:after="0" w:line="240" w:lineRule="auto"/>
        <w:rPr>
          <w:rFonts w:ascii="Times New Roman" w:hAnsi="Times New Roman" w:cs="Times New Roman"/>
          <w:b/>
          <w:color w:val="1F497D" w:themeColor="text2"/>
          <w:sz w:val="24"/>
        </w:rPr>
      </w:pPr>
      <w:r w:rsidRPr="001B63A7">
        <w:rPr>
          <w:rFonts w:ascii="Times New Roman" w:hAnsi="Times New Roman" w:cs="Times New Roman"/>
          <w:b/>
          <w:color w:val="1F497D" w:themeColor="text2"/>
          <w:sz w:val="24"/>
        </w:rPr>
        <w:t>DATA LIMITATIONS</w:t>
      </w:r>
    </w:p>
    <w:p w:rsidR="001B63A7" w:rsidRPr="007F7BA9" w:rsidRDefault="001B63A7" w:rsidP="001B63A7">
      <w:pPr>
        <w:spacing w:after="0" w:line="240" w:lineRule="auto"/>
        <w:rPr>
          <w:rFonts w:ascii="Times New Roman" w:hAnsi="Times New Roman" w:cs="Times New Roman"/>
          <w:sz w:val="20"/>
        </w:rPr>
      </w:pPr>
      <w:r w:rsidRPr="007F7BA9">
        <w:rPr>
          <w:rFonts w:ascii="Times New Roman" w:hAnsi="Times New Roman" w:cs="Times New Roman"/>
          <w:sz w:val="20"/>
        </w:rPr>
        <w:t>When interpreting the cancer data, it is important to consider certain limitations which include:</w:t>
      </w:r>
    </w:p>
    <w:p w:rsidR="001B63A7" w:rsidRPr="007F7BA9" w:rsidRDefault="001B63A7" w:rsidP="001B63A7">
      <w:pPr>
        <w:pStyle w:val="ListParagraph"/>
        <w:numPr>
          <w:ilvl w:val="0"/>
          <w:numId w:val="1"/>
        </w:numPr>
        <w:spacing w:after="0" w:line="240" w:lineRule="auto"/>
        <w:ind w:left="180" w:hanging="180"/>
        <w:rPr>
          <w:rFonts w:ascii="Times New Roman" w:hAnsi="Times New Roman" w:cs="Times New Roman"/>
          <w:sz w:val="20"/>
        </w:rPr>
      </w:pPr>
      <w:r w:rsidRPr="007F7BA9">
        <w:rPr>
          <w:rFonts w:ascii="Times New Roman" w:hAnsi="Times New Roman" w:cs="Times New Roman"/>
          <w:sz w:val="20"/>
          <w:u w:val="single"/>
        </w:rPr>
        <w:t>Under-reporting in areas close to neighboring states</w:t>
      </w:r>
      <w:r w:rsidRPr="007F7BA9">
        <w:rPr>
          <w:rFonts w:ascii="Times New Roman" w:hAnsi="Times New Roman" w:cs="Times New Roman"/>
          <w:sz w:val="20"/>
        </w:rPr>
        <w:t>: Although the MCR has reciprocal reporting agreements with 36 states as of April 2015, there may still be some Massachusetts residents who were diagnosed out of state and not reported to the MCR.</w:t>
      </w:r>
    </w:p>
    <w:p w:rsidR="001B63A7" w:rsidRPr="007F7BA9" w:rsidRDefault="001B63A7" w:rsidP="001B63A7">
      <w:pPr>
        <w:pStyle w:val="ListParagraph"/>
        <w:numPr>
          <w:ilvl w:val="0"/>
          <w:numId w:val="1"/>
        </w:numPr>
        <w:spacing w:after="0" w:line="240" w:lineRule="auto"/>
        <w:ind w:left="180" w:hanging="180"/>
        <w:rPr>
          <w:rFonts w:ascii="Times New Roman" w:hAnsi="Times New Roman" w:cs="Times New Roman"/>
          <w:sz w:val="20"/>
        </w:rPr>
      </w:pPr>
      <w:r w:rsidRPr="007F7BA9">
        <w:rPr>
          <w:rFonts w:ascii="Times New Roman" w:hAnsi="Times New Roman" w:cs="Times New Roman"/>
          <w:sz w:val="20"/>
          <w:u w:val="single"/>
        </w:rPr>
        <w:t>Interpretation of trends</w:t>
      </w:r>
      <w:r w:rsidRPr="007F7BA9">
        <w:rPr>
          <w:rFonts w:ascii="Times New Roman" w:hAnsi="Times New Roman" w:cs="Times New Roman"/>
          <w:sz w:val="20"/>
        </w:rPr>
        <w:t xml:space="preserve">: Apparent increases or decreases in cancer incidence over time may reflect changes in diagnostic methods or case reporting rather than true changes in cancer occurrence. </w:t>
      </w:r>
    </w:p>
    <w:p w:rsidR="001B63A7" w:rsidRPr="007F7BA9" w:rsidRDefault="001B63A7" w:rsidP="001B63A7">
      <w:pPr>
        <w:pStyle w:val="ListParagraph"/>
        <w:numPr>
          <w:ilvl w:val="0"/>
          <w:numId w:val="1"/>
        </w:numPr>
        <w:spacing w:after="0" w:line="240" w:lineRule="auto"/>
        <w:ind w:left="180" w:hanging="180"/>
        <w:rPr>
          <w:rFonts w:ascii="Times New Roman" w:hAnsi="Times New Roman" w:cs="Times New Roman"/>
          <w:sz w:val="20"/>
        </w:rPr>
      </w:pPr>
      <w:r w:rsidRPr="007F7BA9">
        <w:rPr>
          <w:rFonts w:ascii="Times New Roman" w:hAnsi="Times New Roman" w:cs="Times New Roman"/>
          <w:sz w:val="20"/>
          <w:u w:val="single"/>
        </w:rPr>
        <w:t>Small number of cases</w:t>
      </w:r>
      <w:r w:rsidRPr="007F7BA9">
        <w:rPr>
          <w:rFonts w:ascii="Times New Roman" w:hAnsi="Times New Roman" w:cs="Times New Roman"/>
          <w:sz w:val="20"/>
        </w:rPr>
        <w:t xml:space="preserve">: Many of the calculations in this report involved small numbers of cases. As a result, differences in rates may be due to chance, and the data should be interpreted with caution. </w:t>
      </w:r>
    </w:p>
    <w:p w:rsidR="001B63A7" w:rsidRPr="007F7BA9" w:rsidRDefault="001B63A7" w:rsidP="001B63A7">
      <w:pPr>
        <w:pStyle w:val="ListParagraph"/>
        <w:numPr>
          <w:ilvl w:val="0"/>
          <w:numId w:val="1"/>
        </w:numPr>
        <w:spacing w:after="0" w:line="240" w:lineRule="auto"/>
        <w:ind w:left="180" w:hanging="180"/>
        <w:rPr>
          <w:rFonts w:ascii="Times New Roman" w:hAnsi="Times New Roman" w:cs="Times New Roman"/>
          <w:sz w:val="20"/>
        </w:rPr>
      </w:pPr>
      <w:r w:rsidRPr="007F7BA9">
        <w:rPr>
          <w:rFonts w:ascii="Times New Roman" w:hAnsi="Times New Roman" w:cs="Times New Roman"/>
          <w:sz w:val="20"/>
          <w:u w:val="single"/>
        </w:rPr>
        <w:t>Estimation of proportion attributable to HPV</w:t>
      </w:r>
      <w:r w:rsidRPr="007F7BA9">
        <w:rPr>
          <w:rFonts w:ascii="Times New Roman" w:hAnsi="Times New Roman" w:cs="Times New Roman"/>
          <w:sz w:val="20"/>
        </w:rPr>
        <w:t xml:space="preserve">: The MCR does not contain information on the HPV DNA present in cancer tissues. Therefore, we consider HPV-associated cancers to be those where HPV DNA is frequently found from other studies. These numbers are the best estimates but may not reflect the true proportion attributable to HPV. </w:t>
      </w:r>
    </w:p>
    <w:p w:rsidR="00542F70" w:rsidRDefault="00542F70" w:rsidP="00A30879">
      <w:pPr>
        <w:spacing w:after="0" w:line="240" w:lineRule="auto"/>
        <w:rPr>
          <w:rFonts w:ascii="Times New Roman" w:hAnsi="Times New Roman" w:cs="Times New Roman"/>
          <w:sz w:val="20"/>
        </w:rPr>
      </w:pPr>
    </w:p>
    <w:p w:rsidR="00B6199B" w:rsidRDefault="00B6199B" w:rsidP="00A30879">
      <w:pPr>
        <w:spacing w:after="0" w:line="240" w:lineRule="auto"/>
        <w:rPr>
          <w:rFonts w:ascii="Times New Roman" w:hAnsi="Times New Roman" w:cs="Times New Roman"/>
          <w:b/>
          <w:color w:val="1F497D" w:themeColor="text2"/>
          <w:sz w:val="24"/>
        </w:rPr>
      </w:pPr>
      <w:r>
        <w:rPr>
          <w:rFonts w:ascii="Times New Roman" w:hAnsi="Times New Roman" w:cs="Times New Roman"/>
          <w:b/>
          <w:color w:val="1F497D" w:themeColor="text2"/>
          <w:sz w:val="24"/>
        </w:rPr>
        <w:t>A</w:t>
      </w:r>
      <w:r w:rsidR="002C377E">
        <w:rPr>
          <w:rFonts w:ascii="Times New Roman" w:hAnsi="Times New Roman" w:cs="Times New Roman"/>
          <w:b/>
          <w:color w:val="1F497D" w:themeColor="text2"/>
          <w:sz w:val="24"/>
        </w:rPr>
        <w:t>C</w:t>
      </w:r>
      <w:r>
        <w:rPr>
          <w:rFonts w:ascii="Times New Roman" w:hAnsi="Times New Roman" w:cs="Times New Roman"/>
          <w:b/>
          <w:color w:val="1F497D" w:themeColor="text2"/>
          <w:sz w:val="24"/>
        </w:rPr>
        <w:t>KNOWLEDGEMENTS</w:t>
      </w:r>
    </w:p>
    <w:p w:rsidR="001B63A7" w:rsidRPr="007F7BA9" w:rsidRDefault="001B63A7" w:rsidP="00A30879">
      <w:pPr>
        <w:spacing w:after="0" w:line="240" w:lineRule="auto"/>
        <w:rPr>
          <w:rFonts w:ascii="Times New Roman" w:hAnsi="Times New Roman" w:cs="Times New Roman"/>
          <w:sz w:val="20"/>
        </w:rPr>
      </w:pPr>
      <w:r w:rsidRPr="007F7BA9">
        <w:rPr>
          <w:rFonts w:ascii="Times New Roman" w:hAnsi="Times New Roman" w:cs="Times New Roman"/>
          <w:sz w:val="20"/>
        </w:rPr>
        <w:t>T</w:t>
      </w:r>
      <w:r w:rsidR="000F6020" w:rsidRPr="007F7BA9">
        <w:rPr>
          <w:rFonts w:ascii="Times New Roman" w:hAnsi="Times New Roman" w:cs="Times New Roman"/>
          <w:sz w:val="20"/>
        </w:rPr>
        <w:t xml:space="preserve">hanks to Erin </w:t>
      </w:r>
      <w:r w:rsidR="00E668D2" w:rsidRPr="007F7BA9">
        <w:rPr>
          <w:rFonts w:ascii="Times New Roman" w:hAnsi="Times New Roman" w:cs="Times New Roman"/>
          <w:sz w:val="20"/>
        </w:rPr>
        <w:t xml:space="preserve">E. </w:t>
      </w:r>
      <w:r w:rsidR="000F6020" w:rsidRPr="007F7BA9">
        <w:rPr>
          <w:rFonts w:ascii="Times New Roman" w:hAnsi="Times New Roman" w:cs="Times New Roman"/>
          <w:sz w:val="20"/>
        </w:rPr>
        <w:t xml:space="preserve">Cook, MPH of the Massachusetts Cancer </w:t>
      </w:r>
      <w:r w:rsidR="00E668D2" w:rsidRPr="007F7BA9">
        <w:rPr>
          <w:rFonts w:ascii="Times New Roman" w:hAnsi="Times New Roman" w:cs="Times New Roman"/>
          <w:sz w:val="20"/>
        </w:rPr>
        <w:t>Registry</w:t>
      </w:r>
      <w:r w:rsidR="000F6020" w:rsidRPr="007F7BA9">
        <w:rPr>
          <w:rFonts w:ascii="Times New Roman" w:hAnsi="Times New Roman" w:cs="Times New Roman"/>
          <w:sz w:val="20"/>
        </w:rPr>
        <w:t xml:space="preserve"> for the compilation of this report. </w:t>
      </w:r>
      <w:r w:rsidRPr="007F7BA9">
        <w:rPr>
          <w:rFonts w:ascii="Times New Roman" w:hAnsi="Times New Roman" w:cs="Times New Roman"/>
          <w:sz w:val="20"/>
        </w:rPr>
        <w:t xml:space="preserve"> </w:t>
      </w:r>
      <w:r w:rsidR="000F6020" w:rsidRPr="007F7BA9">
        <w:rPr>
          <w:rFonts w:ascii="Times New Roman" w:hAnsi="Times New Roman" w:cs="Times New Roman"/>
          <w:sz w:val="20"/>
        </w:rPr>
        <w:t>We would also like to thank</w:t>
      </w:r>
      <w:r w:rsidR="00E668D2" w:rsidRPr="007F7BA9">
        <w:rPr>
          <w:rFonts w:ascii="Times New Roman" w:hAnsi="Times New Roman" w:cs="Times New Roman"/>
          <w:sz w:val="20"/>
        </w:rPr>
        <w:t xml:space="preserve"> </w:t>
      </w:r>
      <w:r w:rsidR="000F6020" w:rsidRPr="007F7BA9">
        <w:rPr>
          <w:rFonts w:ascii="Times New Roman" w:hAnsi="Times New Roman" w:cs="Times New Roman"/>
          <w:sz w:val="20"/>
        </w:rPr>
        <w:t xml:space="preserve">Susan </w:t>
      </w:r>
      <w:r w:rsidR="00E668D2" w:rsidRPr="007F7BA9">
        <w:rPr>
          <w:rFonts w:ascii="Times New Roman" w:hAnsi="Times New Roman" w:cs="Times New Roman"/>
          <w:sz w:val="20"/>
        </w:rPr>
        <w:t xml:space="preserve">T. </w:t>
      </w:r>
      <w:r w:rsidR="000F6020" w:rsidRPr="007F7BA9">
        <w:rPr>
          <w:rFonts w:ascii="Times New Roman" w:hAnsi="Times New Roman" w:cs="Times New Roman"/>
          <w:sz w:val="20"/>
        </w:rPr>
        <w:t xml:space="preserve">Gershman, </w:t>
      </w:r>
      <w:r w:rsidR="00E668D2" w:rsidRPr="007F7BA9">
        <w:rPr>
          <w:rFonts w:ascii="Times New Roman" w:hAnsi="Times New Roman" w:cs="Times New Roman"/>
          <w:sz w:val="20"/>
        </w:rPr>
        <w:t>MS, MPH, PhD, CTR; R. Monina Klevens, DDS, MPH; Richard Knowlton, MS</w:t>
      </w:r>
      <w:r w:rsidR="00E30FD2">
        <w:rPr>
          <w:rFonts w:ascii="Times New Roman" w:hAnsi="Times New Roman" w:cs="Times New Roman"/>
          <w:sz w:val="20"/>
        </w:rPr>
        <w:t>; and Susan Lett, MD, MPH</w:t>
      </w:r>
      <w:r w:rsidR="000F6020" w:rsidRPr="007F7BA9">
        <w:rPr>
          <w:rFonts w:ascii="Times New Roman" w:hAnsi="Times New Roman" w:cs="Times New Roman"/>
          <w:sz w:val="20"/>
        </w:rPr>
        <w:t xml:space="preserve"> for their inpu</w:t>
      </w:r>
      <w:r w:rsidR="00DB3373">
        <w:rPr>
          <w:rFonts w:ascii="Times New Roman" w:hAnsi="Times New Roman" w:cs="Times New Roman"/>
          <w:sz w:val="20"/>
        </w:rPr>
        <w:t>t on the content of this report, and Nancy Weiss,</w:t>
      </w:r>
      <w:r w:rsidR="008A36A6">
        <w:rPr>
          <w:rFonts w:ascii="Times New Roman" w:hAnsi="Times New Roman" w:cs="Times New Roman"/>
          <w:sz w:val="20"/>
        </w:rPr>
        <w:t xml:space="preserve"> PhD as a consultant editor.</w:t>
      </w:r>
      <w:r w:rsidR="000F6020" w:rsidRPr="007F7BA9">
        <w:rPr>
          <w:rFonts w:ascii="Times New Roman" w:hAnsi="Times New Roman" w:cs="Times New Roman"/>
          <w:sz w:val="20"/>
        </w:rPr>
        <w:t xml:space="preserve"> </w:t>
      </w:r>
      <w:r w:rsidR="00E668D2" w:rsidRPr="007F7BA9">
        <w:rPr>
          <w:rFonts w:ascii="Times New Roman" w:hAnsi="Times New Roman" w:cs="Times New Roman"/>
          <w:sz w:val="20"/>
        </w:rPr>
        <w:t xml:space="preserve">We acknowledge the Centers for Disease Control and Prevention for its support of the staff under cooperative agreement </w:t>
      </w:r>
      <w:r w:rsidR="003A1E46">
        <w:rPr>
          <w:rFonts w:ascii="Times New Roman" w:hAnsi="Times New Roman" w:cs="Times New Roman"/>
          <w:sz w:val="20"/>
        </w:rPr>
        <w:t>1</w:t>
      </w:r>
      <w:r w:rsidR="003A1E46" w:rsidRPr="007F7BA9">
        <w:rPr>
          <w:rFonts w:ascii="Times New Roman" w:hAnsi="Times New Roman" w:cs="Times New Roman"/>
          <w:sz w:val="20"/>
        </w:rPr>
        <w:t xml:space="preserve"> </w:t>
      </w:r>
      <w:r w:rsidR="003A1E46">
        <w:rPr>
          <w:rFonts w:ascii="Times New Roman" w:hAnsi="Times New Roman" w:cs="Times New Roman"/>
          <w:sz w:val="20"/>
        </w:rPr>
        <w:t>NU58 DP0006271-01-00</w:t>
      </w:r>
      <w:r w:rsidR="003A1E46" w:rsidRPr="007F7BA9">
        <w:rPr>
          <w:rFonts w:ascii="Times New Roman" w:hAnsi="Times New Roman" w:cs="Times New Roman"/>
          <w:sz w:val="20"/>
        </w:rPr>
        <w:t xml:space="preserve"> </w:t>
      </w:r>
      <w:r w:rsidR="00E668D2" w:rsidRPr="007F7BA9">
        <w:rPr>
          <w:rFonts w:ascii="Times New Roman" w:hAnsi="Times New Roman" w:cs="Times New Roman"/>
          <w:sz w:val="20"/>
        </w:rPr>
        <w:t xml:space="preserve">awarded to the Massachusetts Cancer Registry at the Massachusetts Department of Public Health. Its contents are solely the responsibility of the authors and do not necessarily represent the official view of the Centers for Disease Control and Prevention. </w:t>
      </w:r>
    </w:p>
    <w:p w:rsidR="001B63A7" w:rsidRDefault="001B63A7" w:rsidP="00A30879">
      <w:pPr>
        <w:spacing w:after="0" w:line="240" w:lineRule="auto"/>
        <w:rPr>
          <w:rFonts w:ascii="Times New Roman" w:hAnsi="Times New Roman" w:cs="Times New Roman"/>
          <w:sz w:val="16"/>
        </w:rPr>
      </w:pPr>
    </w:p>
    <w:p w:rsidR="00B6199B" w:rsidRPr="00B6199B" w:rsidRDefault="00B6199B" w:rsidP="00A30879">
      <w:pPr>
        <w:spacing w:after="0" w:line="240" w:lineRule="auto"/>
        <w:rPr>
          <w:rFonts w:ascii="Times New Roman" w:hAnsi="Times New Roman" w:cs="Times New Roman"/>
          <w:b/>
          <w:color w:val="1F497D" w:themeColor="text2"/>
          <w:sz w:val="24"/>
        </w:rPr>
      </w:pPr>
      <w:r>
        <w:rPr>
          <w:rFonts w:ascii="Times New Roman" w:hAnsi="Times New Roman" w:cs="Times New Roman"/>
          <w:b/>
          <w:color w:val="1F497D" w:themeColor="text2"/>
          <w:sz w:val="24"/>
        </w:rPr>
        <w:t>REFERENCES</w:t>
      </w:r>
    </w:p>
    <w:p w:rsidR="00E668D2" w:rsidRPr="007F7BA9" w:rsidRDefault="00E668D2" w:rsidP="00542F70">
      <w:pPr>
        <w:pStyle w:val="smallgrey"/>
        <w:numPr>
          <w:ilvl w:val="0"/>
          <w:numId w:val="2"/>
        </w:numPr>
        <w:tabs>
          <w:tab w:val="left" w:pos="270"/>
        </w:tabs>
        <w:spacing w:after="0" w:line="240" w:lineRule="auto"/>
        <w:ind w:left="0" w:firstLine="0"/>
        <w:rPr>
          <w:sz w:val="20"/>
          <w:szCs w:val="22"/>
        </w:rPr>
      </w:pPr>
      <w:proofErr w:type="spellStart"/>
      <w:r w:rsidRPr="007F7BA9">
        <w:rPr>
          <w:sz w:val="20"/>
          <w:szCs w:val="22"/>
        </w:rPr>
        <w:t>Viens</w:t>
      </w:r>
      <w:proofErr w:type="spellEnd"/>
      <w:r w:rsidRPr="007F7BA9">
        <w:rPr>
          <w:sz w:val="20"/>
          <w:szCs w:val="22"/>
        </w:rPr>
        <w:t xml:space="preserve"> LJ, Henley SJ, Watson M, et al. Human Papillomavirus–Associated Cancers — United States, 2008–2012. MMWR </w:t>
      </w:r>
      <w:proofErr w:type="spellStart"/>
      <w:r w:rsidRPr="007F7BA9">
        <w:rPr>
          <w:i/>
          <w:sz w:val="20"/>
          <w:szCs w:val="22"/>
        </w:rPr>
        <w:t>Morb</w:t>
      </w:r>
      <w:proofErr w:type="spellEnd"/>
      <w:r w:rsidRPr="007F7BA9">
        <w:rPr>
          <w:i/>
          <w:sz w:val="20"/>
          <w:szCs w:val="22"/>
        </w:rPr>
        <w:t xml:space="preserve"> Mortal </w:t>
      </w:r>
      <w:proofErr w:type="spellStart"/>
      <w:r w:rsidRPr="007F7BA9">
        <w:rPr>
          <w:i/>
          <w:sz w:val="20"/>
          <w:szCs w:val="22"/>
        </w:rPr>
        <w:t>Wkly</w:t>
      </w:r>
      <w:proofErr w:type="spellEnd"/>
      <w:r w:rsidRPr="007F7BA9">
        <w:rPr>
          <w:i/>
          <w:sz w:val="20"/>
          <w:szCs w:val="22"/>
        </w:rPr>
        <w:t xml:space="preserve"> Rep</w:t>
      </w:r>
      <w:r w:rsidRPr="007F7BA9">
        <w:rPr>
          <w:sz w:val="20"/>
          <w:szCs w:val="22"/>
        </w:rPr>
        <w:t xml:space="preserve"> 2016</w:t>
      </w:r>
      <w:proofErr w:type="gramStart"/>
      <w:r w:rsidRPr="007F7BA9">
        <w:rPr>
          <w:sz w:val="20"/>
          <w:szCs w:val="22"/>
        </w:rPr>
        <w:t>;65:661</w:t>
      </w:r>
      <w:proofErr w:type="gramEnd"/>
      <w:r w:rsidRPr="007F7BA9">
        <w:rPr>
          <w:sz w:val="20"/>
          <w:szCs w:val="22"/>
        </w:rPr>
        <w:t xml:space="preserve">–666. </w:t>
      </w:r>
    </w:p>
    <w:p w:rsidR="00E668D2" w:rsidRPr="007F7BA9" w:rsidRDefault="00E668D2" w:rsidP="00542F70">
      <w:pPr>
        <w:pStyle w:val="footnote"/>
        <w:numPr>
          <w:ilvl w:val="0"/>
          <w:numId w:val="2"/>
        </w:numPr>
        <w:tabs>
          <w:tab w:val="left" w:pos="270"/>
        </w:tabs>
        <w:spacing w:after="0" w:line="240" w:lineRule="auto"/>
        <w:ind w:left="0" w:firstLine="0"/>
        <w:rPr>
          <w:sz w:val="20"/>
          <w:szCs w:val="22"/>
        </w:rPr>
      </w:pPr>
      <w:r w:rsidRPr="007F7BA9">
        <w:rPr>
          <w:sz w:val="20"/>
          <w:szCs w:val="22"/>
          <w:shd w:val="clear" w:color="auto" w:fill="FFFFFF"/>
        </w:rPr>
        <w:t>U.S. Cancer Statistics Working Group.</w:t>
      </w:r>
      <w:r w:rsidRPr="007F7BA9">
        <w:rPr>
          <w:rStyle w:val="apple-converted-space"/>
          <w:sz w:val="20"/>
          <w:szCs w:val="22"/>
          <w:shd w:val="clear" w:color="auto" w:fill="FFFFFF"/>
        </w:rPr>
        <w:t> </w:t>
      </w:r>
      <w:r w:rsidRPr="007F7BA9">
        <w:rPr>
          <w:i/>
          <w:iCs/>
          <w:sz w:val="20"/>
          <w:szCs w:val="22"/>
          <w:shd w:val="clear" w:color="auto" w:fill="FFFFFF"/>
        </w:rPr>
        <w:t>United States Cancer Statistics: 1999–2013</w:t>
      </w:r>
      <w:r w:rsidRPr="007F7BA9">
        <w:rPr>
          <w:rStyle w:val="apple-converted-space"/>
          <w:i/>
          <w:iCs/>
          <w:sz w:val="20"/>
          <w:szCs w:val="22"/>
          <w:shd w:val="clear" w:color="auto" w:fill="FFFFFF"/>
        </w:rPr>
        <w:t> </w:t>
      </w:r>
      <w:r w:rsidRPr="007F7BA9">
        <w:rPr>
          <w:rStyle w:val="Emphasis"/>
          <w:sz w:val="20"/>
          <w:szCs w:val="22"/>
          <w:shd w:val="clear" w:color="auto" w:fill="FFFFFF"/>
        </w:rPr>
        <w:t>Incidence and Mortality Web-based Report</w:t>
      </w:r>
      <w:r w:rsidRPr="007F7BA9">
        <w:rPr>
          <w:sz w:val="20"/>
          <w:szCs w:val="22"/>
          <w:shd w:val="clear" w:color="auto" w:fill="FFFFFF"/>
        </w:rPr>
        <w:t xml:space="preserve">. Atlanta: U.S. Department of Health and Human Services, Centers for Disease Control and Prevention and National Cancer Institute; 2016. </w:t>
      </w:r>
      <w:r w:rsidR="00542F70">
        <w:rPr>
          <w:sz w:val="20"/>
          <w:szCs w:val="22"/>
          <w:shd w:val="clear" w:color="auto" w:fill="FFFFFF"/>
        </w:rPr>
        <w:t>Available:</w:t>
      </w:r>
      <w:r w:rsidR="00542F70">
        <w:rPr>
          <w:rStyle w:val="apple-converted-space"/>
          <w:sz w:val="20"/>
          <w:szCs w:val="22"/>
          <w:shd w:val="clear" w:color="auto" w:fill="FFFFFF"/>
        </w:rPr>
        <w:t xml:space="preserve"> </w:t>
      </w:r>
      <w:hyperlink r:id="rId19" w:history="1">
        <w:r w:rsidRPr="007F7BA9">
          <w:rPr>
            <w:rStyle w:val="Hyperlink"/>
            <w:color w:val="auto"/>
            <w:sz w:val="20"/>
            <w:szCs w:val="22"/>
            <w:shd w:val="clear" w:color="auto" w:fill="FFFFFF"/>
          </w:rPr>
          <w:t>www.cdc.gov/uscs</w:t>
        </w:r>
      </w:hyperlink>
      <w:r w:rsidRPr="007F7BA9">
        <w:rPr>
          <w:sz w:val="20"/>
          <w:szCs w:val="22"/>
          <w:shd w:val="clear" w:color="auto" w:fill="FFFFFF"/>
        </w:rPr>
        <w:t>.</w:t>
      </w:r>
    </w:p>
    <w:p w:rsidR="00E668D2" w:rsidRPr="007F7BA9" w:rsidRDefault="00E668D2" w:rsidP="00542F70">
      <w:pPr>
        <w:pStyle w:val="footnote"/>
        <w:numPr>
          <w:ilvl w:val="0"/>
          <w:numId w:val="2"/>
        </w:numPr>
        <w:tabs>
          <w:tab w:val="left" w:pos="270"/>
        </w:tabs>
        <w:spacing w:after="0" w:line="240" w:lineRule="auto"/>
        <w:ind w:left="0" w:firstLine="0"/>
        <w:rPr>
          <w:sz w:val="20"/>
        </w:rPr>
      </w:pPr>
      <w:r w:rsidRPr="007F7BA9">
        <w:rPr>
          <w:sz w:val="20"/>
          <w:shd w:val="clear" w:color="auto" w:fill="FFFFFF"/>
        </w:rPr>
        <w:t>SEER Cancer Stat Facts: Cervix Uteri Cancer. Natio</w:t>
      </w:r>
      <w:r w:rsidR="00542F70">
        <w:rPr>
          <w:sz w:val="20"/>
          <w:shd w:val="clear" w:color="auto" w:fill="FFFFFF"/>
        </w:rPr>
        <w:t xml:space="preserve">nal Cancer Institute. Bethesda, </w:t>
      </w:r>
      <w:r w:rsidRPr="007F7BA9">
        <w:rPr>
          <w:sz w:val="20"/>
          <w:shd w:val="clear" w:color="auto" w:fill="FFFFFF"/>
        </w:rPr>
        <w:t>MD</w:t>
      </w:r>
      <w:r w:rsidR="00542F70">
        <w:rPr>
          <w:sz w:val="20"/>
          <w:shd w:val="clear" w:color="auto" w:fill="FFFFFF"/>
        </w:rPr>
        <w:t>.</w:t>
      </w:r>
      <w:r w:rsidR="00542F70">
        <w:rPr>
          <w:rStyle w:val="apple-converted-space"/>
          <w:sz w:val="20"/>
          <w:shd w:val="clear" w:color="auto" w:fill="FFFFFF"/>
        </w:rPr>
        <w:t xml:space="preserve"> Available at </w:t>
      </w:r>
      <w:hyperlink r:id="rId20" w:history="1">
        <w:r w:rsidRPr="007F7BA9">
          <w:rPr>
            <w:rStyle w:val="Hyperlink"/>
            <w:color w:val="auto"/>
            <w:sz w:val="20"/>
            <w:shd w:val="clear" w:color="auto" w:fill="FFFFFF"/>
          </w:rPr>
          <w:t>http://seer.cancer.gov/statfacts/html/cervix.html</w:t>
        </w:r>
      </w:hyperlink>
    </w:p>
    <w:p w:rsidR="00E668D2" w:rsidRPr="007F7BA9" w:rsidRDefault="00E668D2" w:rsidP="00542F70">
      <w:pPr>
        <w:pStyle w:val="smallgrey"/>
        <w:numPr>
          <w:ilvl w:val="0"/>
          <w:numId w:val="2"/>
        </w:numPr>
        <w:tabs>
          <w:tab w:val="left" w:pos="270"/>
        </w:tabs>
        <w:spacing w:after="0" w:line="240" w:lineRule="auto"/>
        <w:ind w:left="0" w:firstLine="0"/>
        <w:rPr>
          <w:szCs w:val="22"/>
        </w:rPr>
      </w:pPr>
      <w:proofErr w:type="spellStart"/>
      <w:r w:rsidRPr="007F7BA9">
        <w:rPr>
          <w:sz w:val="20"/>
          <w:szCs w:val="20"/>
          <w:shd w:val="clear" w:color="auto" w:fill="FFFFFF"/>
        </w:rPr>
        <w:t>Saraiya</w:t>
      </w:r>
      <w:proofErr w:type="spellEnd"/>
      <w:r w:rsidRPr="007F7BA9">
        <w:rPr>
          <w:sz w:val="20"/>
          <w:szCs w:val="20"/>
          <w:shd w:val="clear" w:color="auto" w:fill="FFFFFF"/>
        </w:rPr>
        <w:t xml:space="preserve"> M, Unger ER, Thompson TD, et al. US Assessment of HPV Types in Cancers: Implications for Current and 9-Valent HPV Vaccines.</w:t>
      </w:r>
      <w:r w:rsidRPr="007F7BA9">
        <w:rPr>
          <w:rStyle w:val="apple-converted-space"/>
          <w:sz w:val="20"/>
          <w:szCs w:val="20"/>
          <w:shd w:val="clear" w:color="auto" w:fill="FFFFFF"/>
        </w:rPr>
        <w:t> </w:t>
      </w:r>
      <w:r w:rsidRPr="007F7BA9">
        <w:rPr>
          <w:i/>
          <w:iCs/>
          <w:sz w:val="20"/>
          <w:szCs w:val="20"/>
          <w:shd w:val="clear" w:color="auto" w:fill="FFFFFF"/>
        </w:rPr>
        <w:t>JNCI Journal of the National Cancer Institute</w:t>
      </w:r>
      <w:r w:rsidRPr="007F7BA9">
        <w:rPr>
          <w:sz w:val="20"/>
          <w:szCs w:val="20"/>
          <w:shd w:val="clear" w:color="auto" w:fill="FFFFFF"/>
        </w:rPr>
        <w:t xml:space="preserve"> 2015</w:t>
      </w:r>
      <w:proofErr w:type="gramStart"/>
      <w:r w:rsidRPr="007F7BA9">
        <w:rPr>
          <w:sz w:val="20"/>
          <w:szCs w:val="20"/>
          <w:shd w:val="clear" w:color="auto" w:fill="FFFFFF"/>
        </w:rPr>
        <w:t>;107</w:t>
      </w:r>
      <w:proofErr w:type="gramEnd"/>
      <w:r w:rsidRPr="007F7BA9">
        <w:rPr>
          <w:sz w:val="20"/>
          <w:szCs w:val="20"/>
          <w:shd w:val="clear" w:color="auto" w:fill="FFFFFF"/>
        </w:rPr>
        <w:t>(6):djv086. doi:10.1093/</w:t>
      </w:r>
      <w:proofErr w:type="spellStart"/>
      <w:r w:rsidRPr="007F7BA9">
        <w:rPr>
          <w:sz w:val="20"/>
          <w:szCs w:val="20"/>
          <w:shd w:val="clear" w:color="auto" w:fill="FFFFFF"/>
        </w:rPr>
        <w:t>jnci</w:t>
      </w:r>
      <w:proofErr w:type="spellEnd"/>
      <w:r w:rsidRPr="007F7BA9">
        <w:rPr>
          <w:sz w:val="20"/>
          <w:szCs w:val="20"/>
          <w:shd w:val="clear" w:color="auto" w:fill="FFFFFF"/>
        </w:rPr>
        <w:t>/djv086.</w:t>
      </w:r>
    </w:p>
    <w:p w:rsidR="00E668D2" w:rsidRPr="007F7BA9" w:rsidRDefault="00E668D2" w:rsidP="00542F70">
      <w:pPr>
        <w:pStyle w:val="smallgrey"/>
        <w:numPr>
          <w:ilvl w:val="0"/>
          <w:numId w:val="2"/>
        </w:numPr>
        <w:tabs>
          <w:tab w:val="left" w:pos="270"/>
        </w:tabs>
        <w:spacing w:after="0" w:line="240" w:lineRule="auto"/>
        <w:ind w:left="0" w:firstLine="0"/>
        <w:rPr>
          <w:sz w:val="20"/>
          <w:szCs w:val="22"/>
        </w:rPr>
      </w:pPr>
      <w:r w:rsidRPr="007F7BA9">
        <w:rPr>
          <w:sz w:val="20"/>
        </w:rPr>
        <w:t xml:space="preserve">U.S. Department of Health and Human Services (DHHS). National Center for Health Statistics. The 2015 National Immunization Survey - Teen, Hyattsville, MD: Centers for Disease Control and Prevention, 2016. </w:t>
      </w:r>
      <w:proofErr w:type="spellStart"/>
      <w:r w:rsidRPr="007F7BA9">
        <w:rPr>
          <w:sz w:val="20"/>
        </w:rPr>
        <w:t>TeenVaxView</w:t>
      </w:r>
      <w:proofErr w:type="spellEnd"/>
      <w:r w:rsidRPr="007F7BA9">
        <w:rPr>
          <w:sz w:val="20"/>
        </w:rPr>
        <w:t xml:space="preserve"> </w:t>
      </w:r>
      <w:r w:rsidRPr="007F7BA9">
        <w:rPr>
          <w:sz w:val="20"/>
          <w:szCs w:val="22"/>
        </w:rPr>
        <w:t xml:space="preserve">Accessed April 19, 2017. </w:t>
      </w:r>
      <w:hyperlink r:id="rId21" w:history="1">
        <w:r w:rsidRPr="007F7BA9">
          <w:rPr>
            <w:rStyle w:val="Hyperlink"/>
            <w:color w:val="auto"/>
            <w:sz w:val="20"/>
            <w:szCs w:val="22"/>
          </w:rPr>
          <w:t>https://www.cdc.gov/vaccines/imz-managers/coverage/teenvaxview/data-reports/hpv/index.html</w:t>
        </w:r>
      </w:hyperlink>
    </w:p>
    <w:p w:rsidR="00E668D2" w:rsidRPr="007F7BA9" w:rsidRDefault="00E668D2" w:rsidP="00542F70">
      <w:pPr>
        <w:pStyle w:val="smallgrey"/>
        <w:numPr>
          <w:ilvl w:val="0"/>
          <w:numId w:val="2"/>
        </w:numPr>
        <w:tabs>
          <w:tab w:val="left" w:pos="270"/>
        </w:tabs>
        <w:spacing w:after="0" w:line="240" w:lineRule="auto"/>
        <w:ind w:left="0" w:firstLine="0"/>
        <w:rPr>
          <w:szCs w:val="22"/>
        </w:rPr>
      </w:pPr>
      <w:r w:rsidRPr="007F7BA9">
        <w:rPr>
          <w:sz w:val="20"/>
          <w:szCs w:val="21"/>
          <w:shd w:val="clear" w:color="auto" w:fill="FFFFFF"/>
        </w:rPr>
        <w:t>Healthy Peo</w:t>
      </w:r>
      <w:r w:rsidR="00542F70">
        <w:rPr>
          <w:sz w:val="20"/>
          <w:szCs w:val="21"/>
          <w:shd w:val="clear" w:color="auto" w:fill="FFFFFF"/>
        </w:rPr>
        <w:t>ple 2020</w:t>
      </w:r>
      <w:r w:rsidRPr="007F7BA9">
        <w:rPr>
          <w:sz w:val="20"/>
          <w:szCs w:val="21"/>
          <w:shd w:val="clear" w:color="auto" w:fill="FFFFFF"/>
        </w:rPr>
        <w:t>. Washington, DC: U.S. Department of Health and Human Services, Office of Disease Prevention and Health Promotion [cited</w:t>
      </w:r>
      <w:r w:rsidR="00542F70">
        <w:rPr>
          <w:sz w:val="20"/>
          <w:szCs w:val="21"/>
          <w:shd w:val="clear" w:color="auto" w:fill="FFFFFF"/>
        </w:rPr>
        <w:t xml:space="preserve"> Mar 22, 2017]. Available from: </w:t>
      </w:r>
      <w:r w:rsidRPr="007F7BA9">
        <w:rPr>
          <w:sz w:val="20"/>
          <w:szCs w:val="21"/>
          <w:shd w:val="clear" w:color="auto" w:fill="FFFFFF"/>
        </w:rPr>
        <w:t>https://www.healthype</w:t>
      </w:r>
      <w:r w:rsidR="00542F70">
        <w:rPr>
          <w:sz w:val="20"/>
          <w:szCs w:val="21"/>
          <w:shd w:val="clear" w:color="auto" w:fill="FFFFFF"/>
        </w:rPr>
        <w:t>ople.gov/2020/topics-objectives</w:t>
      </w:r>
      <w:r w:rsidRPr="007F7BA9">
        <w:rPr>
          <w:sz w:val="20"/>
          <w:szCs w:val="21"/>
          <w:shd w:val="clear" w:color="auto" w:fill="FFFFFF"/>
        </w:rPr>
        <w:t xml:space="preserve">.  </w:t>
      </w:r>
    </w:p>
    <w:p w:rsidR="00E668D2" w:rsidRPr="007F7BA9" w:rsidRDefault="00E668D2" w:rsidP="008571F5">
      <w:pPr>
        <w:pStyle w:val="smallgrey"/>
        <w:numPr>
          <w:ilvl w:val="0"/>
          <w:numId w:val="2"/>
        </w:numPr>
        <w:tabs>
          <w:tab w:val="left" w:pos="270"/>
        </w:tabs>
        <w:spacing w:after="0" w:line="240" w:lineRule="auto"/>
        <w:ind w:left="0" w:firstLine="0"/>
        <w:rPr>
          <w:sz w:val="20"/>
          <w:szCs w:val="22"/>
        </w:rPr>
      </w:pPr>
      <w:proofErr w:type="spellStart"/>
      <w:r w:rsidRPr="007F7BA9">
        <w:rPr>
          <w:sz w:val="20"/>
          <w:szCs w:val="22"/>
        </w:rPr>
        <w:t>Sabatino</w:t>
      </w:r>
      <w:proofErr w:type="spellEnd"/>
      <w:r w:rsidRPr="007F7BA9">
        <w:rPr>
          <w:sz w:val="20"/>
          <w:szCs w:val="22"/>
        </w:rPr>
        <w:t xml:space="preserve"> SA, White MC, Thompson TD, </w:t>
      </w:r>
      <w:proofErr w:type="spellStart"/>
      <w:r w:rsidRPr="007F7BA9">
        <w:rPr>
          <w:sz w:val="20"/>
          <w:szCs w:val="22"/>
        </w:rPr>
        <w:t>Klabunde</w:t>
      </w:r>
      <w:proofErr w:type="spellEnd"/>
      <w:r w:rsidRPr="007F7BA9">
        <w:rPr>
          <w:sz w:val="20"/>
          <w:szCs w:val="22"/>
        </w:rPr>
        <w:t xml:space="preserve"> CN. Cancer screening test use—United States, 2013. </w:t>
      </w:r>
      <w:r w:rsidRPr="007F7BA9">
        <w:rPr>
          <w:i/>
          <w:sz w:val="20"/>
          <w:szCs w:val="22"/>
        </w:rPr>
        <w:t xml:space="preserve">MMWR </w:t>
      </w:r>
      <w:proofErr w:type="spellStart"/>
      <w:r w:rsidRPr="007F7BA9">
        <w:rPr>
          <w:i/>
          <w:sz w:val="20"/>
          <w:szCs w:val="22"/>
        </w:rPr>
        <w:t>Morb</w:t>
      </w:r>
      <w:proofErr w:type="spellEnd"/>
      <w:r w:rsidRPr="007F7BA9">
        <w:rPr>
          <w:i/>
          <w:sz w:val="20"/>
          <w:szCs w:val="22"/>
        </w:rPr>
        <w:t xml:space="preserve"> Mortal </w:t>
      </w:r>
      <w:proofErr w:type="spellStart"/>
      <w:r w:rsidRPr="007F7BA9">
        <w:rPr>
          <w:i/>
          <w:sz w:val="20"/>
          <w:szCs w:val="22"/>
        </w:rPr>
        <w:t>Wkly</w:t>
      </w:r>
      <w:proofErr w:type="spellEnd"/>
      <w:r w:rsidRPr="007F7BA9">
        <w:rPr>
          <w:i/>
          <w:sz w:val="20"/>
          <w:szCs w:val="22"/>
        </w:rPr>
        <w:t xml:space="preserve"> Rep</w:t>
      </w:r>
      <w:r w:rsidRPr="007F7BA9">
        <w:rPr>
          <w:sz w:val="20"/>
          <w:szCs w:val="22"/>
        </w:rPr>
        <w:t xml:space="preserve"> 2015</w:t>
      </w:r>
      <w:proofErr w:type="gramStart"/>
      <w:r w:rsidRPr="007F7BA9">
        <w:rPr>
          <w:sz w:val="20"/>
          <w:szCs w:val="22"/>
        </w:rPr>
        <w:t>;64:464</w:t>
      </w:r>
      <w:proofErr w:type="gramEnd"/>
      <w:r w:rsidRPr="007F7BA9">
        <w:rPr>
          <w:sz w:val="20"/>
          <w:szCs w:val="22"/>
        </w:rPr>
        <w:t>–8.</w:t>
      </w:r>
    </w:p>
    <w:p w:rsidR="007F7BA9" w:rsidRPr="007F7BA9" w:rsidRDefault="007F7BA9" w:rsidP="00542F70">
      <w:pPr>
        <w:pStyle w:val="smallgrey"/>
        <w:numPr>
          <w:ilvl w:val="0"/>
          <w:numId w:val="2"/>
        </w:numPr>
        <w:tabs>
          <w:tab w:val="left" w:pos="270"/>
        </w:tabs>
        <w:spacing w:after="0" w:line="240" w:lineRule="auto"/>
        <w:ind w:left="0" w:firstLine="0"/>
        <w:rPr>
          <w:sz w:val="20"/>
          <w:szCs w:val="22"/>
        </w:rPr>
      </w:pPr>
      <w:proofErr w:type="spellStart"/>
      <w:r w:rsidRPr="00B216AC">
        <w:rPr>
          <w:sz w:val="20"/>
          <w:szCs w:val="22"/>
          <w:lang w:val="es-CO"/>
        </w:rPr>
        <w:t>Meites</w:t>
      </w:r>
      <w:proofErr w:type="spellEnd"/>
      <w:r w:rsidRPr="00B216AC">
        <w:rPr>
          <w:sz w:val="20"/>
          <w:szCs w:val="22"/>
          <w:lang w:val="es-CO"/>
        </w:rPr>
        <w:t xml:space="preserve"> E, </w:t>
      </w:r>
      <w:proofErr w:type="spellStart"/>
      <w:r w:rsidRPr="00B216AC">
        <w:rPr>
          <w:sz w:val="20"/>
          <w:szCs w:val="22"/>
          <w:lang w:val="es-CO"/>
        </w:rPr>
        <w:t>Kempe</w:t>
      </w:r>
      <w:proofErr w:type="spellEnd"/>
      <w:r w:rsidRPr="00B216AC">
        <w:rPr>
          <w:sz w:val="20"/>
          <w:szCs w:val="22"/>
          <w:lang w:val="es-CO"/>
        </w:rPr>
        <w:t xml:space="preserve"> A, Markowitz LE. </w:t>
      </w:r>
      <w:r w:rsidRPr="007F7BA9">
        <w:rPr>
          <w:sz w:val="20"/>
          <w:szCs w:val="22"/>
        </w:rPr>
        <w:t xml:space="preserve">Use of a 2-dose schedule for human papillomavirus vaccination - updated recommendations of the advisory committee on immunization practices. </w:t>
      </w:r>
      <w:r w:rsidRPr="007F7BA9">
        <w:rPr>
          <w:i/>
          <w:sz w:val="20"/>
          <w:szCs w:val="22"/>
        </w:rPr>
        <w:t xml:space="preserve">MMWR </w:t>
      </w:r>
      <w:proofErr w:type="spellStart"/>
      <w:r w:rsidRPr="007F7BA9">
        <w:rPr>
          <w:i/>
          <w:sz w:val="20"/>
          <w:szCs w:val="22"/>
        </w:rPr>
        <w:t>Morb</w:t>
      </w:r>
      <w:proofErr w:type="spellEnd"/>
      <w:r w:rsidRPr="007F7BA9">
        <w:rPr>
          <w:i/>
          <w:sz w:val="20"/>
          <w:szCs w:val="22"/>
        </w:rPr>
        <w:t xml:space="preserve"> Mortal </w:t>
      </w:r>
      <w:proofErr w:type="spellStart"/>
      <w:r w:rsidRPr="007F7BA9">
        <w:rPr>
          <w:i/>
          <w:sz w:val="20"/>
          <w:szCs w:val="22"/>
        </w:rPr>
        <w:t>Wkly</w:t>
      </w:r>
      <w:proofErr w:type="spellEnd"/>
      <w:r w:rsidRPr="007F7BA9">
        <w:rPr>
          <w:i/>
          <w:sz w:val="20"/>
          <w:szCs w:val="22"/>
        </w:rPr>
        <w:t xml:space="preserve"> Rep</w:t>
      </w:r>
      <w:r w:rsidRPr="007F7BA9">
        <w:rPr>
          <w:sz w:val="20"/>
          <w:szCs w:val="22"/>
        </w:rPr>
        <w:t xml:space="preserve"> 2016</w:t>
      </w:r>
      <w:proofErr w:type="gramStart"/>
      <w:r w:rsidRPr="007F7BA9">
        <w:rPr>
          <w:sz w:val="20"/>
          <w:szCs w:val="22"/>
        </w:rPr>
        <w:t>;65</w:t>
      </w:r>
      <w:proofErr w:type="gramEnd"/>
      <w:r w:rsidRPr="007F7BA9">
        <w:rPr>
          <w:sz w:val="20"/>
          <w:szCs w:val="22"/>
        </w:rPr>
        <w:t xml:space="preserve">(49):1405-8. </w:t>
      </w:r>
    </w:p>
    <w:p w:rsidR="007F7BA9" w:rsidRDefault="007F7BA9" w:rsidP="008571F5">
      <w:pPr>
        <w:pStyle w:val="smallgrey"/>
        <w:numPr>
          <w:ilvl w:val="0"/>
          <w:numId w:val="2"/>
        </w:numPr>
        <w:tabs>
          <w:tab w:val="left" w:pos="270"/>
        </w:tabs>
        <w:spacing w:after="0" w:line="240" w:lineRule="auto"/>
        <w:ind w:left="0" w:firstLine="0"/>
        <w:rPr>
          <w:sz w:val="20"/>
          <w:szCs w:val="22"/>
        </w:rPr>
      </w:pPr>
      <w:r w:rsidRPr="007F7BA9">
        <w:rPr>
          <w:sz w:val="20"/>
          <w:szCs w:val="22"/>
        </w:rPr>
        <w:t>Moyer VA; US Preventive Services Task Force.</w:t>
      </w:r>
      <w:r w:rsidR="00542F70">
        <w:rPr>
          <w:sz w:val="20"/>
          <w:szCs w:val="22"/>
        </w:rPr>
        <w:t xml:space="preserve"> Screening for cervical cancer: </w:t>
      </w:r>
      <w:r w:rsidRPr="007F7BA9">
        <w:rPr>
          <w:sz w:val="20"/>
          <w:szCs w:val="22"/>
        </w:rPr>
        <w:t xml:space="preserve">US Preventive Services Task Force recommendation statement. </w:t>
      </w:r>
      <w:r w:rsidRPr="007F7BA9">
        <w:rPr>
          <w:i/>
          <w:sz w:val="20"/>
          <w:szCs w:val="22"/>
        </w:rPr>
        <w:t>Ann Intern Med</w:t>
      </w:r>
      <w:r w:rsidRPr="007F7BA9">
        <w:rPr>
          <w:sz w:val="20"/>
          <w:szCs w:val="22"/>
        </w:rPr>
        <w:t xml:space="preserve"> 2012</w:t>
      </w:r>
      <w:proofErr w:type="gramStart"/>
      <w:r w:rsidRPr="007F7BA9">
        <w:rPr>
          <w:sz w:val="20"/>
          <w:szCs w:val="22"/>
        </w:rPr>
        <w:t>;156:880</w:t>
      </w:r>
      <w:proofErr w:type="gramEnd"/>
      <w:r w:rsidRPr="007F7BA9">
        <w:rPr>
          <w:sz w:val="20"/>
          <w:szCs w:val="22"/>
        </w:rPr>
        <w:t>–91.</w:t>
      </w:r>
    </w:p>
    <w:p w:rsidR="008571F5" w:rsidRPr="008571F5" w:rsidRDefault="008571F5" w:rsidP="008571F5">
      <w:pPr>
        <w:pStyle w:val="smallgrey"/>
        <w:numPr>
          <w:ilvl w:val="0"/>
          <w:numId w:val="2"/>
        </w:numPr>
        <w:tabs>
          <w:tab w:val="left" w:pos="270"/>
          <w:tab w:val="left" w:pos="360"/>
        </w:tabs>
        <w:spacing w:after="0" w:line="240" w:lineRule="auto"/>
        <w:ind w:left="0" w:firstLine="0"/>
        <w:rPr>
          <w:sz w:val="20"/>
        </w:rPr>
      </w:pPr>
      <w:r>
        <w:rPr>
          <w:color w:val="000000"/>
          <w:sz w:val="20"/>
        </w:rPr>
        <w:t xml:space="preserve">  </w:t>
      </w:r>
      <w:r w:rsidRPr="007F7BA9">
        <w:rPr>
          <w:color w:val="000000"/>
          <w:sz w:val="20"/>
        </w:rPr>
        <w:t>Centers for Disease Control and Prevention, National Center for Chronic Disease Prevention and Health Promotion, Division of Population Health. BRFSS Prevalence &amp; Trends Data [online]. 2015.</w:t>
      </w:r>
      <w:r w:rsidRPr="007F7BA9">
        <w:rPr>
          <w:rStyle w:val="apple-converted-space"/>
          <w:color w:val="000000"/>
          <w:sz w:val="20"/>
        </w:rPr>
        <w:t> </w:t>
      </w:r>
      <w:r w:rsidRPr="007F7BA9">
        <w:rPr>
          <w:color w:val="000000"/>
          <w:sz w:val="20"/>
        </w:rPr>
        <w:t>Accessed</w:t>
      </w:r>
      <w:r w:rsidRPr="007F7BA9">
        <w:rPr>
          <w:rStyle w:val="apple-converted-space"/>
          <w:color w:val="000000"/>
          <w:sz w:val="20"/>
        </w:rPr>
        <w:t> </w:t>
      </w:r>
      <w:r w:rsidRPr="007F7BA9">
        <w:rPr>
          <w:color w:val="000000"/>
          <w:sz w:val="20"/>
        </w:rPr>
        <w:t xml:space="preserve">May 10, 2017. </w:t>
      </w:r>
    </w:p>
    <w:p w:rsidR="007F7BA9" w:rsidRPr="00542F70" w:rsidRDefault="007F7BA9" w:rsidP="00542F70">
      <w:pPr>
        <w:pStyle w:val="smallgrey"/>
        <w:numPr>
          <w:ilvl w:val="0"/>
          <w:numId w:val="2"/>
        </w:numPr>
        <w:tabs>
          <w:tab w:val="left" w:pos="360"/>
        </w:tabs>
        <w:spacing w:after="0" w:line="240" w:lineRule="auto"/>
        <w:ind w:left="0" w:firstLine="0"/>
        <w:rPr>
          <w:sz w:val="20"/>
          <w:szCs w:val="22"/>
        </w:rPr>
      </w:pPr>
      <w:proofErr w:type="spellStart"/>
      <w:r w:rsidRPr="007F7BA9">
        <w:rPr>
          <w:sz w:val="20"/>
          <w:szCs w:val="19"/>
          <w:shd w:val="clear" w:color="auto" w:fill="FFFFFF"/>
        </w:rPr>
        <w:t>Joinpoint</w:t>
      </w:r>
      <w:proofErr w:type="spellEnd"/>
      <w:r w:rsidRPr="007F7BA9">
        <w:rPr>
          <w:sz w:val="20"/>
          <w:szCs w:val="19"/>
          <w:shd w:val="clear" w:color="auto" w:fill="FFFFFF"/>
        </w:rPr>
        <w:t xml:space="preserve"> Regression Program, Version 4.4.0.0 -</w:t>
      </w:r>
      <w:r w:rsidRPr="007F7BA9">
        <w:rPr>
          <w:rStyle w:val="apple-converted-space"/>
          <w:sz w:val="20"/>
          <w:szCs w:val="19"/>
          <w:shd w:val="clear" w:color="auto" w:fill="FFFFFF"/>
        </w:rPr>
        <w:t> </w:t>
      </w:r>
      <w:r w:rsidRPr="007F7BA9">
        <w:rPr>
          <w:sz w:val="20"/>
          <w:szCs w:val="19"/>
          <w:shd w:val="clear" w:color="auto" w:fill="FFFFFF"/>
        </w:rPr>
        <w:t>January</w:t>
      </w:r>
      <w:r w:rsidRPr="007F7BA9">
        <w:rPr>
          <w:rStyle w:val="apple-converted-space"/>
          <w:sz w:val="20"/>
          <w:szCs w:val="19"/>
          <w:shd w:val="clear" w:color="auto" w:fill="FFFFFF"/>
        </w:rPr>
        <w:t> </w:t>
      </w:r>
      <w:r w:rsidRPr="007F7BA9">
        <w:rPr>
          <w:sz w:val="20"/>
          <w:szCs w:val="19"/>
          <w:shd w:val="clear" w:color="auto" w:fill="FFFFFF"/>
        </w:rPr>
        <w:t>2017; Statistical Methodology and Applications Branch, Surveillance Research Program, National Cancer Institute.</w:t>
      </w:r>
    </w:p>
    <w:sectPr w:rsidR="007F7BA9" w:rsidRPr="00542F70" w:rsidSect="007F7BA9">
      <w:type w:val="continuous"/>
      <w:pgSz w:w="12240" w:h="15840"/>
      <w:pgMar w:top="864" w:right="864" w:bottom="864" w:left="864"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A0" w:rsidRDefault="005928A0" w:rsidP="008A4ADF">
      <w:pPr>
        <w:spacing w:after="0" w:line="240" w:lineRule="auto"/>
      </w:pPr>
      <w:r>
        <w:separator/>
      </w:r>
    </w:p>
  </w:endnote>
  <w:endnote w:type="continuationSeparator" w:id="0">
    <w:p w:rsidR="005928A0" w:rsidRDefault="005928A0" w:rsidP="008A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373" w:rsidRPr="000F6020" w:rsidRDefault="00DB3373" w:rsidP="000F6020">
    <w:pPr>
      <w:pStyle w:val="Footer"/>
      <w:jc w:val="center"/>
      <w:rPr>
        <w:noProof/>
      </w:rPr>
    </w:pPr>
    <w:r>
      <w:rPr>
        <w:noProof/>
      </w:rPr>
      <mc:AlternateContent>
        <mc:Choice Requires="wps">
          <w:drawing>
            <wp:anchor distT="0" distB="0" distL="114300" distR="114300" simplePos="0" relativeHeight="251657216" behindDoc="0" locked="0" layoutInCell="1" allowOverlap="1" wp14:anchorId="5653A254" wp14:editId="618748DB">
              <wp:simplePos x="0" y="0"/>
              <wp:positionH relativeFrom="column">
                <wp:posOffset>200660</wp:posOffset>
              </wp:positionH>
              <wp:positionV relativeFrom="paragraph">
                <wp:posOffset>81915</wp:posOffset>
              </wp:positionV>
              <wp:extent cx="3835400" cy="0"/>
              <wp:effectExtent l="0" t="0" r="12700" b="19050"/>
              <wp:wrapNone/>
              <wp:docPr id="24" name="Straight Connector 24"/>
              <wp:cNvGraphicFramePr/>
              <a:graphic xmlns:a="http://schemas.openxmlformats.org/drawingml/2006/main">
                <a:graphicData uri="http://schemas.microsoft.com/office/word/2010/wordprocessingShape">
                  <wps:wsp>
                    <wps:cNvCnPr/>
                    <wps:spPr>
                      <a:xfrm>
                        <a:off x="0" y="0"/>
                        <a:ext cx="383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89A93E" id="Straight Connector 2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pt,6.45pt" to="31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t/twEAALkDAAAOAAAAZHJzL2Uyb0RvYy54bWysU8GOEzEMvSPxD1HudKbdBa1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" strokecolor="black [3040]"/>
          </w:pict>
        </mc:Fallback>
      </mc:AlternateContent>
    </w:r>
    <w:sdt>
      <w:sdtPr>
        <w:id w:val="2541752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3CA9">
          <w:rPr>
            <w:noProof/>
          </w:rPr>
          <w:t>10</w:t>
        </w:r>
        <w:r>
          <w:rPr>
            <w:noProof/>
          </w:rPr>
          <w:fldChar w:fldCharType="end"/>
        </w:r>
      </w:sdtContent>
    </w:sdt>
    <w:r>
      <w:rPr>
        <w:noProof/>
      </w:rPr>
      <w:t xml:space="preserve">                                                                                                        </w:t>
    </w:r>
    <w:r w:rsidR="000B16E6">
      <w:rPr>
        <w:noProof/>
      </w:rPr>
      <w:tab/>
      <w:t xml:space="preserve">                     </w:t>
    </w:r>
    <w:r w:rsidRPr="000F6020">
      <w:rPr>
        <w:rFonts w:ascii="Times New Roman" w:hAnsi="Times New Roman" w:cs="Times New Roman"/>
        <w:i/>
        <w:sz w:val="20"/>
      </w:rPr>
      <w:t>Data Report on Cervical Cancer in Massachusetts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A0" w:rsidRDefault="005928A0" w:rsidP="008A4ADF">
      <w:pPr>
        <w:spacing w:after="0" w:line="240" w:lineRule="auto"/>
      </w:pPr>
      <w:r>
        <w:separator/>
      </w:r>
    </w:p>
  </w:footnote>
  <w:footnote w:type="continuationSeparator" w:id="0">
    <w:p w:rsidR="005928A0" w:rsidRDefault="005928A0" w:rsidP="008A4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373" w:rsidRDefault="0010536F" w:rsidP="0010536F">
    <w:pPr>
      <w:pStyle w:val="Header"/>
      <w:tabs>
        <w:tab w:val="clear" w:pos="4680"/>
        <w:tab w:val="clear" w:pos="9360"/>
        <w:tab w:val="left" w:pos="2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33AA"/>
    <w:multiLevelType w:val="hybridMultilevel"/>
    <w:tmpl w:val="3EDA999E"/>
    <w:lvl w:ilvl="0" w:tplc="EEB075F6">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C77EC"/>
    <w:multiLevelType w:val="hybridMultilevel"/>
    <w:tmpl w:val="F94C77AE"/>
    <w:lvl w:ilvl="0" w:tplc="D03C4E82">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B575B"/>
    <w:multiLevelType w:val="hybridMultilevel"/>
    <w:tmpl w:val="1894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748F4"/>
    <w:multiLevelType w:val="hybridMultilevel"/>
    <w:tmpl w:val="83E69A58"/>
    <w:lvl w:ilvl="0" w:tplc="A498FE9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313D3"/>
    <w:multiLevelType w:val="hybridMultilevel"/>
    <w:tmpl w:val="C5189DB0"/>
    <w:lvl w:ilvl="0" w:tplc="B85AE4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8206E"/>
    <w:multiLevelType w:val="hybridMultilevel"/>
    <w:tmpl w:val="C572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0234EF"/>
    <w:multiLevelType w:val="hybridMultilevel"/>
    <w:tmpl w:val="073A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17"/>
    <w:rsid w:val="00004373"/>
    <w:rsid w:val="0001494F"/>
    <w:rsid w:val="00015C13"/>
    <w:rsid w:val="00024E0D"/>
    <w:rsid w:val="000324D6"/>
    <w:rsid w:val="00065FDB"/>
    <w:rsid w:val="00071C5D"/>
    <w:rsid w:val="00081672"/>
    <w:rsid w:val="00085AB3"/>
    <w:rsid w:val="000A3EB4"/>
    <w:rsid w:val="000B16E6"/>
    <w:rsid w:val="000F6020"/>
    <w:rsid w:val="00104C4B"/>
    <w:rsid w:val="0010536F"/>
    <w:rsid w:val="001070B6"/>
    <w:rsid w:val="0013133C"/>
    <w:rsid w:val="00135BFF"/>
    <w:rsid w:val="00151FA6"/>
    <w:rsid w:val="001A0033"/>
    <w:rsid w:val="001A4F6C"/>
    <w:rsid w:val="001B63A7"/>
    <w:rsid w:val="001B677B"/>
    <w:rsid w:val="001C0927"/>
    <w:rsid w:val="001D5E56"/>
    <w:rsid w:val="001D628E"/>
    <w:rsid w:val="001F0C32"/>
    <w:rsid w:val="001F5321"/>
    <w:rsid w:val="00217A09"/>
    <w:rsid w:val="00245769"/>
    <w:rsid w:val="002916C6"/>
    <w:rsid w:val="002A6F77"/>
    <w:rsid w:val="002B5ED6"/>
    <w:rsid w:val="002C377E"/>
    <w:rsid w:val="002E2538"/>
    <w:rsid w:val="002E698B"/>
    <w:rsid w:val="002F23FB"/>
    <w:rsid w:val="00312B82"/>
    <w:rsid w:val="00321242"/>
    <w:rsid w:val="00343DDE"/>
    <w:rsid w:val="00394BF2"/>
    <w:rsid w:val="003A1E46"/>
    <w:rsid w:val="003B1D3A"/>
    <w:rsid w:val="003B4F4F"/>
    <w:rsid w:val="003D27E8"/>
    <w:rsid w:val="003F0434"/>
    <w:rsid w:val="00401844"/>
    <w:rsid w:val="00414CF2"/>
    <w:rsid w:val="00476176"/>
    <w:rsid w:val="00476A7E"/>
    <w:rsid w:val="004C0BDE"/>
    <w:rsid w:val="004C10BB"/>
    <w:rsid w:val="00530996"/>
    <w:rsid w:val="00537797"/>
    <w:rsid w:val="00541369"/>
    <w:rsid w:val="00542F70"/>
    <w:rsid w:val="00553017"/>
    <w:rsid w:val="005928A0"/>
    <w:rsid w:val="005A5FB4"/>
    <w:rsid w:val="005B40CF"/>
    <w:rsid w:val="005B519D"/>
    <w:rsid w:val="005C1C5E"/>
    <w:rsid w:val="005C5B08"/>
    <w:rsid w:val="0061015B"/>
    <w:rsid w:val="006260FF"/>
    <w:rsid w:val="006337C6"/>
    <w:rsid w:val="00674BDB"/>
    <w:rsid w:val="006A6E57"/>
    <w:rsid w:val="006C7010"/>
    <w:rsid w:val="006D45A2"/>
    <w:rsid w:val="006D78BD"/>
    <w:rsid w:val="00706C16"/>
    <w:rsid w:val="00711568"/>
    <w:rsid w:val="0072171F"/>
    <w:rsid w:val="0072570B"/>
    <w:rsid w:val="0073202D"/>
    <w:rsid w:val="00733E8B"/>
    <w:rsid w:val="00742398"/>
    <w:rsid w:val="00746B3D"/>
    <w:rsid w:val="00751DEC"/>
    <w:rsid w:val="007744BE"/>
    <w:rsid w:val="0078556D"/>
    <w:rsid w:val="007B49AD"/>
    <w:rsid w:val="007B4A1D"/>
    <w:rsid w:val="007E3087"/>
    <w:rsid w:val="007F7BA9"/>
    <w:rsid w:val="00807E2C"/>
    <w:rsid w:val="00821D26"/>
    <w:rsid w:val="0082726A"/>
    <w:rsid w:val="008358B2"/>
    <w:rsid w:val="00846045"/>
    <w:rsid w:val="00847648"/>
    <w:rsid w:val="008571F5"/>
    <w:rsid w:val="00870F1E"/>
    <w:rsid w:val="008815C3"/>
    <w:rsid w:val="00894F74"/>
    <w:rsid w:val="008A36A6"/>
    <w:rsid w:val="008A4ADF"/>
    <w:rsid w:val="0090233B"/>
    <w:rsid w:val="00902D3A"/>
    <w:rsid w:val="00916572"/>
    <w:rsid w:val="009166AC"/>
    <w:rsid w:val="00932ADC"/>
    <w:rsid w:val="009B2F84"/>
    <w:rsid w:val="009B4880"/>
    <w:rsid w:val="009B5BBC"/>
    <w:rsid w:val="009C1C6E"/>
    <w:rsid w:val="009D7A49"/>
    <w:rsid w:val="00A02173"/>
    <w:rsid w:val="00A02901"/>
    <w:rsid w:val="00A0591B"/>
    <w:rsid w:val="00A30879"/>
    <w:rsid w:val="00A3474A"/>
    <w:rsid w:val="00A37782"/>
    <w:rsid w:val="00A44677"/>
    <w:rsid w:val="00A46138"/>
    <w:rsid w:val="00A93016"/>
    <w:rsid w:val="00AA7684"/>
    <w:rsid w:val="00AC33AA"/>
    <w:rsid w:val="00B216AC"/>
    <w:rsid w:val="00B347BC"/>
    <w:rsid w:val="00B37156"/>
    <w:rsid w:val="00B50ED9"/>
    <w:rsid w:val="00B6199B"/>
    <w:rsid w:val="00B6465D"/>
    <w:rsid w:val="00B90089"/>
    <w:rsid w:val="00BA35F8"/>
    <w:rsid w:val="00BC437D"/>
    <w:rsid w:val="00BC6DD3"/>
    <w:rsid w:val="00BF7A21"/>
    <w:rsid w:val="00BF7F32"/>
    <w:rsid w:val="00C44881"/>
    <w:rsid w:val="00C44D60"/>
    <w:rsid w:val="00C65955"/>
    <w:rsid w:val="00C83859"/>
    <w:rsid w:val="00C83909"/>
    <w:rsid w:val="00CE72C5"/>
    <w:rsid w:val="00CE7A7F"/>
    <w:rsid w:val="00D00BB4"/>
    <w:rsid w:val="00D2512C"/>
    <w:rsid w:val="00D3117C"/>
    <w:rsid w:val="00D743C5"/>
    <w:rsid w:val="00DB3373"/>
    <w:rsid w:val="00DB39AF"/>
    <w:rsid w:val="00DF4CFA"/>
    <w:rsid w:val="00E12D91"/>
    <w:rsid w:val="00E23D1D"/>
    <w:rsid w:val="00E30FD2"/>
    <w:rsid w:val="00E668D2"/>
    <w:rsid w:val="00E73CA9"/>
    <w:rsid w:val="00E9380A"/>
    <w:rsid w:val="00EA5059"/>
    <w:rsid w:val="00EF1739"/>
    <w:rsid w:val="00EF4E30"/>
    <w:rsid w:val="00F17D94"/>
    <w:rsid w:val="00F31AAD"/>
    <w:rsid w:val="00F56380"/>
    <w:rsid w:val="00F710FB"/>
    <w:rsid w:val="00F74619"/>
    <w:rsid w:val="00F74BA4"/>
    <w:rsid w:val="00FA4603"/>
    <w:rsid w:val="00FB4794"/>
    <w:rsid w:val="00FB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17"/>
    <w:pPr>
      <w:ind w:left="720"/>
      <w:contextualSpacing/>
    </w:pPr>
  </w:style>
  <w:style w:type="paragraph" w:styleId="BalloonText">
    <w:name w:val="Balloon Text"/>
    <w:basedOn w:val="Normal"/>
    <w:link w:val="BalloonTextChar"/>
    <w:uiPriority w:val="99"/>
    <w:semiHidden/>
    <w:unhideWhenUsed/>
    <w:rsid w:val="00553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17"/>
    <w:rPr>
      <w:rFonts w:ascii="Tahoma" w:hAnsi="Tahoma" w:cs="Tahoma"/>
      <w:sz w:val="16"/>
      <w:szCs w:val="16"/>
    </w:rPr>
  </w:style>
  <w:style w:type="table" w:styleId="TableGrid">
    <w:name w:val="Table Grid"/>
    <w:basedOn w:val="TableNormal"/>
    <w:uiPriority w:val="59"/>
    <w:rsid w:val="005A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grey">
    <w:name w:val="smallgrey"/>
    <w:basedOn w:val="Normal"/>
    <w:rsid w:val="007B49AD"/>
    <w:pPr>
      <w:spacing w:after="150" w:line="375"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AD"/>
  </w:style>
  <w:style w:type="character" w:styleId="Hyperlink">
    <w:name w:val="Hyperlink"/>
    <w:basedOn w:val="DefaultParagraphFont"/>
    <w:uiPriority w:val="99"/>
    <w:unhideWhenUsed/>
    <w:rsid w:val="002F23FB"/>
    <w:rPr>
      <w:color w:val="0000FF" w:themeColor="hyperlink"/>
      <w:u w:val="single"/>
    </w:rPr>
  </w:style>
  <w:style w:type="paragraph" w:customStyle="1" w:styleId="footnote">
    <w:name w:val="footnote"/>
    <w:basedOn w:val="Normal"/>
    <w:rsid w:val="002F23FB"/>
    <w:pPr>
      <w:spacing w:after="150" w:line="375"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23FB"/>
    <w:rPr>
      <w:color w:val="800080" w:themeColor="followedHyperlink"/>
      <w:u w:val="single"/>
    </w:rPr>
  </w:style>
  <w:style w:type="character" w:styleId="Emphasis">
    <w:name w:val="Emphasis"/>
    <w:basedOn w:val="DefaultParagraphFont"/>
    <w:uiPriority w:val="20"/>
    <w:qFormat/>
    <w:rsid w:val="002F23FB"/>
    <w:rPr>
      <w:i/>
      <w:iCs/>
    </w:rPr>
  </w:style>
  <w:style w:type="paragraph" w:styleId="Header">
    <w:name w:val="header"/>
    <w:basedOn w:val="Normal"/>
    <w:link w:val="HeaderChar"/>
    <w:uiPriority w:val="99"/>
    <w:unhideWhenUsed/>
    <w:rsid w:val="008A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DF"/>
  </w:style>
  <w:style w:type="paragraph" w:styleId="Footer">
    <w:name w:val="footer"/>
    <w:basedOn w:val="Normal"/>
    <w:link w:val="FooterChar"/>
    <w:uiPriority w:val="99"/>
    <w:unhideWhenUsed/>
    <w:rsid w:val="008A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DF"/>
  </w:style>
  <w:style w:type="character" w:styleId="PlaceholderText">
    <w:name w:val="Placeholder Text"/>
    <w:basedOn w:val="DefaultParagraphFont"/>
    <w:uiPriority w:val="99"/>
    <w:semiHidden/>
    <w:rsid w:val="002E2538"/>
    <w:rPr>
      <w:color w:val="808080"/>
    </w:rPr>
  </w:style>
  <w:style w:type="paragraph" w:styleId="Title">
    <w:name w:val="Title"/>
    <w:basedOn w:val="Normal"/>
    <w:next w:val="Normal"/>
    <w:link w:val="TitleChar"/>
    <w:uiPriority w:val="99"/>
    <w:qFormat/>
    <w:rsid w:val="0010536F"/>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rsid w:val="0010536F"/>
    <w:rPr>
      <w:rFonts w:ascii="Cambria" w:eastAsia="MS Gothic" w:hAnsi="Cambria" w:cs="Times New Roman"/>
      <w:color w:val="17365D"/>
      <w:spacing w:val="5"/>
      <w:kern w:val="28"/>
      <w:sz w:val="52"/>
      <w:szCs w:val="52"/>
    </w:rPr>
  </w:style>
  <w:style w:type="character" w:styleId="CommentReference">
    <w:name w:val="annotation reference"/>
    <w:basedOn w:val="DefaultParagraphFont"/>
    <w:uiPriority w:val="99"/>
    <w:semiHidden/>
    <w:unhideWhenUsed/>
    <w:rsid w:val="00B216AC"/>
    <w:rPr>
      <w:sz w:val="16"/>
      <w:szCs w:val="16"/>
    </w:rPr>
  </w:style>
  <w:style w:type="paragraph" w:styleId="CommentText">
    <w:name w:val="annotation text"/>
    <w:basedOn w:val="Normal"/>
    <w:link w:val="CommentTextChar"/>
    <w:uiPriority w:val="99"/>
    <w:semiHidden/>
    <w:unhideWhenUsed/>
    <w:rsid w:val="00B216AC"/>
    <w:pPr>
      <w:spacing w:line="240" w:lineRule="auto"/>
    </w:pPr>
    <w:rPr>
      <w:sz w:val="20"/>
      <w:szCs w:val="20"/>
    </w:rPr>
  </w:style>
  <w:style w:type="character" w:customStyle="1" w:styleId="CommentTextChar">
    <w:name w:val="Comment Text Char"/>
    <w:basedOn w:val="DefaultParagraphFont"/>
    <w:link w:val="CommentText"/>
    <w:uiPriority w:val="99"/>
    <w:semiHidden/>
    <w:rsid w:val="00B216AC"/>
    <w:rPr>
      <w:sz w:val="20"/>
      <w:szCs w:val="20"/>
    </w:rPr>
  </w:style>
  <w:style w:type="paragraph" w:styleId="CommentSubject">
    <w:name w:val="annotation subject"/>
    <w:basedOn w:val="CommentText"/>
    <w:next w:val="CommentText"/>
    <w:link w:val="CommentSubjectChar"/>
    <w:uiPriority w:val="99"/>
    <w:semiHidden/>
    <w:unhideWhenUsed/>
    <w:rsid w:val="00B216AC"/>
    <w:rPr>
      <w:b/>
      <w:bCs/>
    </w:rPr>
  </w:style>
  <w:style w:type="character" w:customStyle="1" w:styleId="CommentSubjectChar">
    <w:name w:val="Comment Subject Char"/>
    <w:basedOn w:val="CommentTextChar"/>
    <w:link w:val="CommentSubject"/>
    <w:uiPriority w:val="99"/>
    <w:semiHidden/>
    <w:rsid w:val="00B216AC"/>
    <w:rPr>
      <w:b/>
      <w:bCs/>
      <w:sz w:val="20"/>
      <w:szCs w:val="20"/>
    </w:rPr>
  </w:style>
  <w:style w:type="paragraph" w:styleId="Revision">
    <w:name w:val="Revision"/>
    <w:hidden/>
    <w:uiPriority w:val="99"/>
    <w:semiHidden/>
    <w:rsid w:val="006337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17"/>
    <w:pPr>
      <w:ind w:left="720"/>
      <w:contextualSpacing/>
    </w:pPr>
  </w:style>
  <w:style w:type="paragraph" w:styleId="BalloonText">
    <w:name w:val="Balloon Text"/>
    <w:basedOn w:val="Normal"/>
    <w:link w:val="BalloonTextChar"/>
    <w:uiPriority w:val="99"/>
    <w:semiHidden/>
    <w:unhideWhenUsed/>
    <w:rsid w:val="00553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17"/>
    <w:rPr>
      <w:rFonts w:ascii="Tahoma" w:hAnsi="Tahoma" w:cs="Tahoma"/>
      <w:sz w:val="16"/>
      <w:szCs w:val="16"/>
    </w:rPr>
  </w:style>
  <w:style w:type="table" w:styleId="TableGrid">
    <w:name w:val="Table Grid"/>
    <w:basedOn w:val="TableNormal"/>
    <w:uiPriority w:val="59"/>
    <w:rsid w:val="005A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grey">
    <w:name w:val="smallgrey"/>
    <w:basedOn w:val="Normal"/>
    <w:rsid w:val="007B49AD"/>
    <w:pPr>
      <w:spacing w:after="150" w:line="375"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AD"/>
  </w:style>
  <w:style w:type="character" w:styleId="Hyperlink">
    <w:name w:val="Hyperlink"/>
    <w:basedOn w:val="DefaultParagraphFont"/>
    <w:uiPriority w:val="99"/>
    <w:unhideWhenUsed/>
    <w:rsid w:val="002F23FB"/>
    <w:rPr>
      <w:color w:val="0000FF" w:themeColor="hyperlink"/>
      <w:u w:val="single"/>
    </w:rPr>
  </w:style>
  <w:style w:type="paragraph" w:customStyle="1" w:styleId="footnote">
    <w:name w:val="footnote"/>
    <w:basedOn w:val="Normal"/>
    <w:rsid w:val="002F23FB"/>
    <w:pPr>
      <w:spacing w:after="150" w:line="375"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23FB"/>
    <w:rPr>
      <w:color w:val="800080" w:themeColor="followedHyperlink"/>
      <w:u w:val="single"/>
    </w:rPr>
  </w:style>
  <w:style w:type="character" w:styleId="Emphasis">
    <w:name w:val="Emphasis"/>
    <w:basedOn w:val="DefaultParagraphFont"/>
    <w:uiPriority w:val="20"/>
    <w:qFormat/>
    <w:rsid w:val="002F23FB"/>
    <w:rPr>
      <w:i/>
      <w:iCs/>
    </w:rPr>
  </w:style>
  <w:style w:type="paragraph" w:styleId="Header">
    <w:name w:val="header"/>
    <w:basedOn w:val="Normal"/>
    <w:link w:val="HeaderChar"/>
    <w:uiPriority w:val="99"/>
    <w:unhideWhenUsed/>
    <w:rsid w:val="008A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DF"/>
  </w:style>
  <w:style w:type="paragraph" w:styleId="Footer">
    <w:name w:val="footer"/>
    <w:basedOn w:val="Normal"/>
    <w:link w:val="FooterChar"/>
    <w:uiPriority w:val="99"/>
    <w:unhideWhenUsed/>
    <w:rsid w:val="008A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DF"/>
  </w:style>
  <w:style w:type="character" w:styleId="PlaceholderText">
    <w:name w:val="Placeholder Text"/>
    <w:basedOn w:val="DefaultParagraphFont"/>
    <w:uiPriority w:val="99"/>
    <w:semiHidden/>
    <w:rsid w:val="002E2538"/>
    <w:rPr>
      <w:color w:val="808080"/>
    </w:rPr>
  </w:style>
  <w:style w:type="paragraph" w:styleId="Title">
    <w:name w:val="Title"/>
    <w:basedOn w:val="Normal"/>
    <w:next w:val="Normal"/>
    <w:link w:val="TitleChar"/>
    <w:uiPriority w:val="99"/>
    <w:qFormat/>
    <w:rsid w:val="0010536F"/>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rsid w:val="0010536F"/>
    <w:rPr>
      <w:rFonts w:ascii="Cambria" w:eastAsia="MS Gothic" w:hAnsi="Cambria" w:cs="Times New Roman"/>
      <w:color w:val="17365D"/>
      <w:spacing w:val="5"/>
      <w:kern w:val="28"/>
      <w:sz w:val="52"/>
      <w:szCs w:val="52"/>
    </w:rPr>
  </w:style>
  <w:style w:type="character" w:styleId="CommentReference">
    <w:name w:val="annotation reference"/>
    <w:basedOn w:val="DefaultParagraphFont"/>
    <w:uiPriority w:val="99"/>
    <w:semiHidden/>
    <w:unhideWhenUsed/>
    <w:rsid w:val="00B216AC"/>
    <w:rPr>
      <w:sz w:val="16"/>
      <w:szCs w:val="16"/>
    </w:rPr>
  </w:style>
  <w:style w:type="paragraph" w:styleId="CommentText">
    <w:name w:val="annotation text"/>
    <w:basedOn w:val="Normal"/>
    <w:link w:val="CommentTextChar"/>
    <w:uiPriority w:val="99"/>
    <w:semiHidden/>
    <w:unhideWhenUsed/>
    <w:rsid w:val="00B216AC"/>
    <w:pPr>
      <w:spacing w:line="240" w:lineRule="auto"/>
    </w:pPr>
    <w:rPr>
      <w:sz w:val="20"/>
      <w:szCs w:val="20"/>
    </w:rPr>
  </w:style>
  <w:style w:type="character" w:customStyle="1" w:styleId="CommentTextChar">
    <w:name w:val="Comment Text Char"/>
    <w:basedOn w:val="DefaultParagraphFont"/>
    <w:link w:val="CommentText"/>
    <w:uiPriority w:val="99"/>
    <w:semiHidden/>
    <w:rsid w:val="00B216AC"/>
    <w:rPr>
      <w:sz w:val="20"/>
      <w:szCs w:val="20"/>
    </w:rPr>
  </w:style>
  <w:style w:type="paragraph" w:styleId="CommentSubject">
    <w:name w:val="annotation subject"/>
    <w:basedOn w:val="CommentText"/>
    <w:next w:val="CommentText"/>
    <w:link w:val="CommentSubjectChar"/>
    <w:uiPriority w:val="99"/>
    <w:semiHidden/>
    <w:unhideWhenUsed/>
    <w:rsid w:val="00B216AC"/>
    <w:rPr>
      <w:b/>
      <w:bCs/>
    </w:rPr>
  </w:style>
  <w:style w:type="character" w:customStyle="1" w:styleId="CommentSubjectChar">
    <w:name w:val="Comment Subject Char"/>
    <w:basedOn w:val="CommentTextChar"/>
    <w:link w:val="CommentSubject"/>
    <w:uiPriority w:val="99"/>
    <w:semiHidden/>
    <w:rsid w:val="00B216AC"/>
    <w:rPr>
      <w:b/>
      <w:bCs/>
      <w:sz w:val="20"/>
      <w:szCs w:val="20"/>
    </w:rPr>
  </w:style>
  <w:style w:type="paragraph" w:styleId="Revision">
    <w:name w:val="Revision"/>
    <w:hidden/>
    <w:uiPriority w:val="99"/>
    <w:semiHidden/>
    <w:rsid w:val="00633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85106">
      <w:bodyDiv w:val="1"/>
      <w:marLeft w:val="0"/>
      <w:marRight w:val="0"/>
      <w:marTop w:val="0"/>
      <w:marBottom w:val="0"/>
      <w:divBdr>
        <w:top w:val="none" w:sz="0" w:space="0" w:color="auto"/>
        <w:left w:val="none" w:sz="0" w:space="0" w:color="auto"/>
        <w:bottom w:val="none" w:sz="0" w:space="0" w:color="auto"/>
        <w:right w:val="none" w:sz="0" w:space="0" w:color="auto"/>
      </w:divBdr>
      <w:divsChild>
        <w:div w:id="1563104193">
          <w:marLeft w:val="1037"/>
          <w:marRight w:val="0"/>
          <w:marTop w:val="60"/>
          <w:marBottom w:val="0"/>
          <w:divBdr>
            <w:top w:val="none" w:sz="0" w:space="0" w:color="auto"/>
            <w:left w:val="none" w:sz="0" w:space="0" w:color="auto"/>
            <w:bottom w:val="none" w:sz="0" w:space="0" w:color="auto"/>
            <w:right w:val="none" w:sz="0" w:space="0" w:color="auto"/>
          </w:divBdr>
        </w:div>
      </w:divsChild>
    </w:div>
    <w:div w:id="1708338825">
      <w:bodyDiv w:val="1"/>
      <w:marLeft w:val="0"/>
      <w:marRight w:val="0"/>
      <w:marTop w:val="0"/>
      <w:marBottom w:val="0"/>
      <w:divBdr>
        <w:top w:val="none" w:sz="0" w:space="0" w:color="auto"/>
        <w:left w:val="none" w:sz="0" w:space="0" w:color="auto"/>
        <w:bottom w:val="none" w:sz="0" w:space="0" w:color="auto"/>
        <w:right w:val="none" w:sz="0" w:space="0" w:color="auto"/>
      </w:divBdr>
      <w:divsChild>
        <w:div w:id="136460070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s://www.cdc.gov/vaccines/imz-managers/coverage/teenvaxview/data-reports/hpv/index.html"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eer.cancer.gov/statfacts/html/cervi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dc.gov/us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H-NAS\Users\ErCook\ErCook\JP\overall.site.death.d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NAS\Users\ErCook\ErCook\Chart.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NAS\Users\ErCook\ErCook\Cha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NAS\Users\ErCook\ErCook\Other%20data%20and%20charts\hpv%20vaccine%20cd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NAS\Users\ErCook\ErCook\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90551181102362"/>
          <c:y val="3.9855072463768113E-2"/>
          <c:w val="0.83974358974358976"/>
          <c:h val="0.58066558753326569"/>
        </c:manualLayout>
      </c:layout>
      <c:lineChart>
        <c:grouping val="standard"/>
        <c:varyColors val="0"/>
        <c:ser>
          <c:idx val="0"/>
          <c:order val="0"/>
          <c:tx>
            <c:v>Cervical Incidence (APC 2004-2014 = -2.41*)</c:v>
          </c:tx>
          <c:marker>
            <c:symbol val="none"/>
          </c:marker>
          <c:cat>
            <c:numRef>
              <c:f>Sheet2!$B$34:$B$44</c:f>
              <c:numCache>
                <c:formatCode>0</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Sheet2!$C$34:$C$44</c:f>
              <c:numCache>
                <c:formatCode>0.00000</c:formatCode>
                <c:ptCount val="11"/>
                <c:pt idx="0">
                  <c:v>6.77874</c:v>
                </c:pt>
                <c:pt idx="1">
                  <c:v>5.80999</c:v>
                </c:pt>
                <c:pt idx="2">
                  <c:v>6.0759400000000001</c:v>
                </c:pt>
                <c:pt idx="3">
                  <c:v>5.2621000000000002</c:v>
                </c:pt>
                <c:pt idx="4">
                  <c:v>5.2808299999999999</c:v>
                </c:pt>
                <c:pt idx="5">
                  <c:v>5.3087499999999999</c:v>
                </c:pt>
                <c:pt idx="6">
                  <c:v>5.4649799999999997</c:v>
                </c:pt>
                <c:pt idx="7">
                  <c:v>5.02142</c:v>
                </c:pt>
                <c:pt idx="8">
                  <c:v>4.8652499999999996</c:v>
                </c:pt>
                <c:pt idx="9">
                  <c:v>4.8461800000000004</c:v>
                </c:pt>
                <c:pt idx="10">
                  <c:v>5.3992199999999997</c:v>
                </c:pt>
              </c:numCache>
            </c:numRef>
          </c:val>
          <c:smooth val="0"/>
          <c:extLst xmlns:c16r2="http://schemas.microsoft.com/office/drawing/2015/06/chart">
            <c:ext xmlns:c16="http://schemas.microsoft.com/office/drawing/2014/chart" uri="{C3380CC4-5D6E-409C-BE32-E72D297353CC}">
              <c16:uniqueId val="{00000000-3C93-436A-B357-2ED4B96F08C5}"/>
            </c:ext>
          </c:extLst>
        </c:ser>
        <c:ser>
          <c:idx val="2"/>
          <c:order val="1"/>
          <c:tx>
            <c:v>Cervical Mortality (APC 2008-2014 = -3.73)</c:v>
          </c:tx>
          <c:spPr>
            <a:ln>
              <a:solidFill>
                <a:schemeClr val="accent1"/>
              </a:solidFill>
              <a:prstDash val="sysDash"/>
            </a:ln>
          </c:spPr>
          <c:marker>
            <c:symbol val="none"/>
          </c:marker>
          <c:val>
            <c:numRef>
              <c:f>Sheet2!$C$12:$C$22</c:f>
              <c:numCache>
                <c:formatCode>General</c:formatCode>
                <c:ptCount val="11"/>
                <c:pt idx="4">
                  <c:v>1.22858</c:v>
                </c:pt>
                <c:pt idx="5">
                  <c:v>1.6390499999999999</c:v>
                </c:pt>
                <c:pt idx="6">
                  <c:v>1.2528300000000001</c:v>
                </c:pt>
                <c:pt idx="7">
                  <c:v>1.5102500000000001</c:v>
                </c:pt>
                <c:pt idx="8">
                  <c:v>1.22942</c:v>
                </c:pt>
                <c:pt idx="9">
                  <c:v>0.94371000000000005</c:v>
                </c:pt>
                <c:pt idx="10">
                  <c:v>1.26013</c:v>
                </c:pt>
              </c:numCache>
            </c:numRef>
          </c:val>
          <c:smooth val="0"/>
          <c:extLst xmlns:c16r2="http://schemas.microsoft.com/office/drawing/2015/06/chart">
            <c:ext xmlns:c16="http://schemas.microsoft.com/office/drawing/2014/chart" uri="{C3380CC4-5D6E-409C-BE32-E72D297353CC}">
              <c16:uniqueId val="{00000001-3C93-436A-B357-2ED4B96F08C5}"/>
            </c:ext>
          </c:extLst>
        </c:ser>
        <c:dLbls>
          <c:showLegendKey val="0"/>
          <c:showVal val="0"/>
          <c:showCatName val="0"/>
          <c:showSerName val="0"/>
          <c:showPercent val="0"/>
          <c:showBubbleSize val="0"/>
        </c:dLbls>
        <c:marker val="1"/>
        <c:smooth val="0"/>
        <c:axId val="71928448"/>
        <c:axId val="71951104"/>
      </c:lineChart>
      <c:catAx>
        <c:axId val="71928448"/>
        <c:scaling>
          <c:orientation val="minMax"/>
        </c:scaling>
        <c:delete val="0"/>
        <c:axPos val="b"/>
        <c:title>
          <c:tx>
            <c:rich>
              <a:bodyPr/>
              <a:lstStyle/>
              <a:p>
                <a:pPr>
                  <a:defRPr/>
                </a:pPr>
                <a:r>
                  <a:rPr lang="en-US"/>
                  <a:t>Year </a:t>
                </a:r>
              </a:p>
            </c:rich>
          </c:tx>
          <c:layout/>
          <c:overlay val="0"/>
        </c:title>
        <c:numFmt formatCode="0" sourceLinked="1"/>
        <c:majorTickMark val="out"/>
        <c:minorTickMark val="none"/>
        <c:tickLblPos val="nextTo"/>
        <c:spPr>
          <a:ln>
            <a:solidFill>
              <a:schemeClr val="tx1"/>
            </a:solidFill>
          </a:ln>
        </c:spPr>
        <c:crossAx val="71951104"/>
        <c:crosses val="autoZero"/>
        <c:auto val="1"/>
        <c:lblAlgn val="ctr"/>
        <c:lblOffset val="100"/>
        <c:noMultiLvlLbl val="0"/>
      </c:catAx>
      <c:valAx>
        <c:axId val="71951104"/>
        <c:scaling>
          <c:orientation val="minMax"/>
          <c:max val="7"/>
          <c:min val="0"/>
        </c:scaling>
        <c:delete val="0"/>
        <c:axPos val="l"/>
        <c:majorGridlines>
          <c:spPr>
            <a:ln>
              <a:solidFill>
                <a:schemeClr val="bg1">
                  <a:lumMod val="65000"/>
                </a:schemeClr>
              </a:solidFill>
              <a:prstDash val="dash"/>
            </a:ln>
          </c:spPr>
        </c:majorGridlines>
        <c:title>
          <c:tx>
            <c:rich>
              <a:bodyPr rot="-5400000" vert="horz"/>
              <a:lstStyle/>
              <a:p>
                <a:pPr>
                  <a:defRPr/>
                </a:pPr>
                <a:r>
                  <a:rPr lang="en-US"/>
                  <a:t>Rate per 100,000</a:t>
                </a:r>
              </a:p>
            </c:rich>
          </c:tx>
          <c:layout/>
          <c:overlay val="0"/>
        </c:title>
        <c:numFmt formatCode="0" sourceLinked="0"/>
        <c:majorTickMark val="out"/>
        <c:minorTickMark val="none"/>
        <c:tickLblPos val="nextTo"/>
        <c:spPr>
          <a:ln>
            <a:solidFill>
              <a:schemeClr val="tx1"/>
            </a:solidFill>
          </a:ln>
        </c:spPr>
        <c:crossAx val="71928448"/>
        <c:crosses val="autoZero"/>
        <c:crossBetween val="midCat"/>
      </c:valAx>
    </c:plotArea>
    <c:legend>
      <c:legendPos val="b"/>
      <c:layout/>
      <c:overlay val="0"/>
    </c:legend>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Incidence</c:v>
          </c:tx>
          <c:marker>
            <c:symbol val="none"/>
          </c:marker>
          <c:cat>
            <c:strRef>
              <c:f>Sheet1!$A$2:$A$8</c:f>
              <c:strCache>
                <c:ptCount val="7"/>
                <c:pt idx="0">
                  <c:v>20-29</c:v>
                </c:pt>
                <c:pt idx="1">
                  <c:v>30-39</c:v>
                </c:pt>
                <c:pt idx="2">
                  <c:v>40-49</c:v>
                </c:pt>
                <c:pt idx="3">
                  <c:v>50-59</c:v>
                </c:pt>
                <c:pt idx="4">
                  <c:v>60-69 </c:v>
                </c:pt>
                <c:pt idx="5">
                  <c:v>70-79</c:v>
                </c:pt>
                <c:pt idx="6">
                  <c:v>80+</c:v>
                </c:pt>
              </c:strCache>
            </c:strRef>
          </c:cat>
          <c:val>
            <c:numRef>
              <c:f>Sheet1!$B$2:$B$8</c:f>
              <c:numCache>
                <c:formatCode>General</c:formatCode>
                <c:ptCount val="7"/>
                <c:pt idx="0">
                  <c:v>2.12</c:v>
                </c:pt>
                <c:pt idx="1">
                  <c:v>8.7100000000000009</c:v>
                </c:pt>
                <c:pt idx="2">
                  <c:v>9.76</c:v>
                </c:pt>
                <c:pt idx="3">
                  <c:v>8.74</c:v>
                </c:pt>
                <c:pt idx="4">
                  <c:v>9.34</c:v>
                </c:pt>
                <c:pt idx="5">
                  <c:v>8.24</c:v>
                </c:pt>
                <c:pt idx="6">
                  <c:v>7.15</c:v>
                </c:pt>
              </c:numCache>
            </c:numRef>
          </c:val>
          <c:smooth val="0"/>
          <c:extLst xmlns:c16r2="http://schemas.microsoft.com/office/drawing/2015/06/chart">
            <c:ext xmlns:c16="http://schemas.microsoft.com/office/drawing/2014/chart" uri="{C3380CC4-5D6E-409C-BE32-E72D297353CC}">
              <c16:uniqueId val="{00000000-78BE-4820-801C-71F4B4865C85}"/>
            </c:ext>
          </c:extLst>
        </c:ser>
        <c:ser>
          <c:idx val="1"/>
          <c:order val="1"/>
          <c:tx>
            <c:v>Mortality</c:v>
          </c:tx>
          <c:spPr>
            <a:ln>
              <a:solidFill>
                <a:schemeClr val="accent1"/>
              </a:solidFill>
              <a:prstDash val="sysDash"/>
            </a:ln>
          </c:spPr>
          <c:marker>
            <c:symbol val="none"/>
          </c:marker>
          <c:val>
            <c:numRef>
              <c:f>Sheet1!$B$10:$B$16</c:f>
              <c:numCache>
                <c:formatCode>General</c:formatCode>
                <c:ptCount val="7"/>
                <c:pt idx="1">
                  <c:v>0.54</c:v>
                </c:pt>
                <c:pt idx="2">
                  <c:v>1.99</c:v>
                </c:pt>
                <c:pt idx="3">
                  <c:v>2.75</c:v>
                </c:pt>
                <c:pt idx="4">
                  <c:v>3.63</c:v>
                </c:pt>
                <c:pt idx="5">
                  <c:v>3.53</c:v>
                </c:pt>
                <c:pt idx="6">
                  <c:v>3.77</c:v>
                </c:pt>
              </c:numCache>
            </c:numRef>
          </c:val>
          <c:smooth val="0"/>
          <c:extLst xmlns:c16r2="http://schemas.microsoft.com/office/drawing/2015/06/chart">
            <c:ext xmlns:c16="http://schemas.microsoft.com/office/drawing/2014/chart" uri="{C3380CC4-5D6E-409C-BE32-E72D297353CC}">
              <c16:uniqueId val="{00000001-78BE-4820-801C-71F4B4865C85}"/>
            </c:ext>
          </c:extLst>
        </c:ser>
        <c:dLbls>
          <c:showLegendKey val="0"/>
          <c:showVal val="0"/>
          <c:showCatName val="0"/>
          <c:showSerName val="0"/>
          <c:showPercent val="0"/>
          <c:showBubbleSize val="0"/>
        </c:dLbls>
        <c:marker val="1"/>
        <c:smooth val="0"/>
        <c:axId val="47339776"/>
        <c:axId val="47346048"/>
      </c:lineChart>
      <c:catAx>
        <c:axId val="47339776"/>
        <c:scaling>
          <c:orientation val="minMax"/>
        </c:scaling>
        <c:delete val="0"/>
        <c:axPos val="b"/>
        <c:title>
          <c:tx>
            <c:rich>
              <a:bodyPr/>
              <a:lstStyle/>
              <a:p>
                <a:pPr>
                  <a:defRPr/>
                </a:pPr>
                <a:r>
                  <a:rPr lang="en-US"/>
                  <a:t>Age group (years)</a:t>
                </a:r>
              </a:p>
            </c:rich>
          </c:tx>
          <c:layout/>
          <c:overlay val="0"/>
        </c:title>
        <c:numFmt formatCode="General" sourceLinked="0"/>
        <c:majorTickMark val="out"/>
        <c:minorTickMark val="none"/>
        <c:tickLblPos val="nextTo"/>
        <c:spPr>
          <a:ln>
            <a:solidFill>
              <a:schemeClr val="tx1"/>
            </a:solidFill>
          </a:ln>
        </c:spPr>
        <c:crossAx val="47346048"/>
        <c:crossesAt val="0"/>
        <c:auto val="1"/>
        <c:lblAlgn val="ctr"/>
        <c:lblOffset val="100"/>
        <c:noMultiLvlLbl val="0"/>
      </c:catAx>
      <c:valAx>
        <c:axId val="47346048"/>
        <c:scaling>
          <c:orientation val="minMax"/>
          <c:max val="10"/>
        </c:scaling>
        <c:delete val="0"/>
        <c:axPos val="l"/>
        <c:majorGridlines>
          <c:spPr>
            <a:ln>
              <a:solidFill>
                <a:schemeClr val="bg1">
                  <a:lumMod val="65000"/>
                </a:schemeClr>
              </a:solidFill>
              <a:prstDash val="dash"/>
            </a:ln>
          </c:spPr>
        </c:majorGridlines>
        <c:title>
          <c:tx>
            <c:rich>
              <a:bodyPr rot="-5400000" vert="horz"/>
              <a:lstStyle/>
              <a:p>
                <a:pPr>
                  <a:defRPr/>
                </a:pPr>
                <a:r>
                  <a:rPr lang="en-US"/>
                  <a:t>Age-specific rate (per 100,000)</a:t>
                </a:r>
              </a:p>
            </c:rich>
          </c:tx>
          <c:layout/>
          <c:overlay val="0"/>
        </c:title>
        <c:numFmt formatCode="General" sourceLinked="1"/>
        <c:majorTickMark val="out"/>
        <c:minorTickMark val="none"/>
        <c:tickLblPos val="nextTo"/>
        <c:spPr>
          <a:ln>
            <a:solidFill>
              <a:schemeClr val="tx1"/>
            </a:solidFill>
          </a:ln>
        </c:spPr>
        <c:crossAx val="47339776"/>
        <c:crosses val="autoZero"/>
        <c:crossBetween val="midCat"/>
      </c:valAx>
    </c:plotArea>
    <c:legend>
      <c:legendPos val="b"/>
      <c:layout/>
      <c:overlay val="0"/>
    </c:legend>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75632144342613"/>
          <c:y val="4.6987023818284401E-2"/>
          <c:w val="0.79609682741911902"/>
          <c:h val="0.59260725586871732"/>
        </c:manualLayout>
      </c:layout>
      <c:barChart>
        <c:barDir val="col"/>
        <c:grouping val="clustered"/>
        <c:varyColors val="0"/>
        <c:ser>
          <c:idx val="0"/>
          <c:order val="0"/>
          <c:tx>
            <c:strRef>
              <c:f>Sheet2!$A$2</c:f>
              <c:strCache>
                <c:ptCount val="1"/>
                <c:pt idx="0">
                  <c:v>Incidence Rate</c:v>
                </c:pt>
              </c:strCache>
            </c:strRef>
          </c:tx>
          <c:invertIfNegative val="0"/>
          <c:cat>
            <c:strRef>
              <c:f>Sheet2!$B$1:$E$1</c:f>
              <c:strCache>
                <c:ptCount val="4"/>
                <c:pt idx="0">
                  <c:v>White, non-Hispanic</c:v>
                </c:pt>
                <c:pt idx="1">
                  <c:v>Black, non-Hispanic</c:v>
                </c:pt>
                <c:pt idx="2">
                  <c:v>Asian, Non-Hispanic</c:v>
                </c:pt>
                <c:pt idx="3">
                  <c:v>Hispanic</c:v>
                </c:pt>
              </c:strCache>
            </c:strRef>
          </c:cat>
          <c:val>
            <c:numRef>
              <c:f>Sheet2!$B$2:$E$2</c:f>
              <c:numCache>
                <c:formatCode>General</c:formatCode>
                <c:ptCount val="4"/>
                <c:pt idx="0">
                  <c:v>5.04</c:v>
                </c:pt>
                <c:pt idx="1">
                  <c:v>8.7200000000000006</c:v>
                </c:pt>
                <c:pt idx="2">
                  <c:v>6.62</c:v>
                </c:pt>
                <c:pt idx="3">
                  <c:v>8.07</c:v>
                </c:pt>
              </c:numCache>
            </c:numRef>
          </c:val>
          <c:extLst xmlns:c16r2="http://schemas.microsoft.com/office/drawing/2015/06/chart">
            <c:ext xmlns:c16="http://schemas.microsoft.com/office/drawing/2014/chart" uri="{C3380CC4-5D6E-409C-BE32-E72D297353CC}">
              <c16:uniqueId val="{00000000-B1E2-4B3B-9490-5FB0CBF895B3}"/>
            </c:ext>
          </c:extLst>
        </c:ser>
        <c:ser>
          <c:idx val="1"/>
          <c:order val="1"/>
          <c:tx>
            <c:strRef>
              <c:f>Sheet2!$A$3</c:f>
              <c:strCache>
                <c:ptCount val="1"/>
                <c:pt idx="0">
                  <c:v>Mortality Rate</c:v>
                </c:pt>
              </c:strCache>
            </c:strRef>
          </c:tx>
          <c:spPr>
            <a:pattFill prst="wdUpDiag">
              <a:fgClr>
                <a:schemeClr val="accent1"/>
              </a:fgClr>
              <a:bgClr>
                <a:schemeClr val="bg1"/>
              </a:bgClr>
            </a:pattFill>
            <a:ln>
              <a:solidFill>
                <a:schemeClr val="accent1"/>
              </a:solidFill>
            </a:ln>
          </c:spPr>
          <c:invertIfNegative val="0"/>
          <c:cat>
            <c:strRef>
              <c:f>Sheet2!$B$1:$E$1</c:f>
              <c:strCache>
                <c:ptCount val="4"/>
                <c:pt idx="0">
                  <c:v>White, non-Hispanic</c:v>
                </c:pt>
                <c:pt idx="1">
                  <c:v>Black, non-Hispanic</c:v>
                </c:pt>
                <c:pt idx="2">
                  <c:v>Asian, Non-Hispanic</c:v>
                </c:pt>
                <c:pt idx="3">
                  <c:v>Hispanic</c:v>
                </c:pt>
              </c:strCache>
            </c:strRef>
          </c:cat>
          <c:val>
            <c:numRef>
              <c:f>Sheet2!$B$3:$E$3</c:f>
              <c:numCache>
                <c:formatCode>General</c:formatCode>
                <c:ptCount val="4"/>
                <c:pt idx="0">
                  <c:v>1.25</c:v>
                </c:pt>
                <c:pt idx="1">
                  <c:v>2.2799999999999998</c:v>
                </c:pt>
                <c:pt idx="2">
                  <c:v>1.34</c:v>
                </c:pt>
                <c:pt idx="3">
                  <c:v>1.41</c:v>
                </c:pt>
              </c:numCache>
            </c:numRef>
          </c:val>
          <c:extLst xmlns:c16r2="http://schemas.microsoft.com/office/drawing/2015/06/chart">
            <c:ext xmlns:c16="http://schemas.microsoft.com/office/drawing/2014/chart" uri="{C3380CC4-5D6E-409C-BE32-E72D297353CC}">
              <c16:uniqueId val="{00000001-B1E2-4B3B-9490-5FB0CBF895B3}"/>
            </c:ext>
          </c:extLst>
        </c:ser>
        <c:dLbls>
          <c:showLegendKey val="0"/>
          <c:showVal val="0"/>
          <c:showCatName val="0"/>
          <c:showSerName val="0"/>
          <c:showPercent val="0"/>
          <c:showBubbleSize val="0"/>
        </c:dLbls>
        <c:gapWidth val="150"/>
        <c:axId val="71431680"/>
        <c:axId val="71433600"/>
      </c:barChart>
      <c:catAx>
        <c:axId val="71431680"/>
        <c:scaling>
          <c:orientation val="minMax"/>
        </c:scaling>
        <c:delete val="0"/>
        <c:axPos val="b"/>
        <c:title>
          <c:tx>
            <c:rich>
              <a:bodyPr/>
              <a:lstStyle/>
              <a:p>
                <a:pPr>
                  <a:defRPr/>
                </a:pPr>
                <a:r>
                  <a:rPr lang="en-US"/>
                  <a:t>Race/ethnicity</a:t>
                </a:r>
              </a:p>
            </c:rich>
          </c:tx>
          <c:layout/>
          <c:overlay val="0"/>
        </c:title>
        <c:numFmt formatCode="General" sourceLinked="0"/>
        <c:majorTickMark val="out"/>
        <c:minorTickMark val="none"/>
        <c:tickLblPos val="nextTo"/>
        <c:spPr>
          <a:ln>
            <a:solidFill>
              <a:schemeClr val="tx1"/>
            </a:solidFill>
          </a:ln>
        </c:spPr>
        <c:crossAx val="71433600"/>
        <c:crosses val="autoZero"/>
        <c:auto val="1"/>
        <c:lblAlgn val="ctr"/>
        <c:lblOffset val="100"/>
        <c:noMultiLvlLbl val="0"/>
      </c:catAx>
      <c:valAx>
        <c:axId val="71433600"/>
        <c:scaling>
          <c:orientation val="minMax"/>
          <c:max val="10"/>
          <c:min val="0"/>
        </c:scaling>
        <c:delete val="0"/>
        <c:axPos val="l"/>
        <c:majorGridlines>
          <c:spPr>
            <a:ln>
              <a:solidFill>
                <a:schemeClr val="bg1">
                  <a:lumMod val="65000"/>
                </a:schemeClr>
              </a:solidFill>
              <a:prstDash val="dash"/>
            </a:ln>
          </c:spPr>
        </c:majorGridlines>
        <c:title>
          <c:tx>
            <c:rich>
              <a:bodyPr rot="-5400000" vert="horz"/>
              <a:lstStyle/>
              <a:p>
                <a:pPr>
                  <a:defRPr/>
                </a:pPr>
                <a:r>
                  <a:rPr lang="en-US"/>
                  <a:t>Age-adjusted rate (per</a:t>
                </a:r>
                <a:r>
                  <a:rPr lang="en-US" baseline="0"/>
                  <a:t> 100,000)</a:t>
                </a:r>
                <a:r>
                  <a:rPr lang="en-US"/>
                  <a:t> </a:t>
                </a:r>
              </a:p>
            </c:rich>
          </c:tx>
          <c:layout>
            <c:manualLayout>
              <c:xMode val="edge"/>
              <c:yMode val="edge"/>
              <c:x val="8.3658388855239255E-2"/>
              <c:y val="8.5755145092844709E-2"/>
            </c:manualLayout>
          </c:layout>
          <c:overlay val="0"/>
        </c:title>
        <c:numFmt formatCode="General" sourceLinked="1"/>
        <c:majorTickMark val="out"/>
        <c:minorTickMark val="none"/>
        <c:tickLblPos val="nextTo"/>
        <c:spPr>
          <a:ln>
            <a:solidFill>
              <a:schemeClr val="tx1"/>
            </a:solidFill>
          </a:ln>
        </c:spPr>
        <c:crossAx val="71431680"/>
        <c:crosses val="autoZero"/>
        <c:crossBetween val="between"/>
      </c:valAx>
    </c:plotArea>
    <c:legend>
      <c:legendPos val="b"/>
      <c:layout>
        <c:manualLayout>
          <c:xMode val="edge"/>
          <c:yMode val="edge"/>
          <c:x val="0.24908233950862241"/>
          <c:y val="0.8943042166458165"/>
          <c:w val="0.5867159575875297"/>
          <c:h val="0.10569578335418353"/>
        </c:manualLayout>
      </c:layout>
      <c:overlay val="0"/>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9206592122693"/>
          <c:y val="3.8985787153964238E-2"/>
          <c:w val="0.84917071886390372"/>
          <c:h val="0.61302593175853015"/>
        </c:manualLayout>
      </c:layout>
      <c:barChart>
        <c:barDir val="col"/>
        <c:grouping val="clustered"/>
        <c:varyColors val="0"/>
        <c:ser>
          <c:idx val="0"/>
          <c:order val="0"/>
          <c:tx>
            <c:strRef>
              <c:f>Sheet1!$B$3</c:f>
              <c:strCache>
                <c:ptCount val="1"/>
                <c:pt idx="0">
                  <c:v>Non-Hispanic White</c:v>
                </c:pt>
              </c:strCache>
            </c:strRef>
          </c:tx>
          <c:invertIfNegative val="0"/>
          <c:cat>
            <c:strRef>
              <c:f>Sheet1!$A$4:$A$7</c:f>
              <c:strCache>
                <c:ptCount val="4"/>
                <c:pt idx="0">
                  <c:v>I</c:v>
                </c:pt>
                <c:pt idx="1">
                  <c:v>II</c:v>
                </c:pt>
                <c:pt idx="2">
                  <c:v>III</c:v>
                </c:pt>
                <c:pt idx="3">
                  <c:v>IV</c:v>
                </c:pt>
              </c:strCache>
            </c:strRef>
          </c:cat>
          <c:val>
            <c:numRef>
              <c:f>Sheet1!$B$4:$B$7</c:f>
              <c:numCache>
                <c:formatCode>General</c:formatCode>
                <c:ptCount val="4"/>
                <c:pt idx="0">
                  <c:v>49.76</c:v>
                </c:pt>
                <c:pt idx="1">
                  <c:v>33.619999999999997</c:v>
                </c:pt>
                <c:pt idx="2">
                  <c:v>14.13</c:v>
                </c:pt>
                <c:pt idx="3">
                  <c:v>2.5</c:v>
                </c:pt>
              </c:numCache>
            </c:numRef>
          </c:val>
          <c:extLst xmlns:c16r2="http://schemas.microsoft.com/office/drawing/2015/06/chart">
            <c:ext xmlns:c16="http://schemas.microsoft.com/office/drawing/2014/chart" uri="{C3380CC4-5D6E-409C-BE32-E72D297353CC}">
              <c16:uniqueId val="{00000000-57F8-4012-A820-44A9A75A3CFE}"/>
            </c:ext>
          </c:extLst>
        </c:ser>
        <c:ser>
          <c:idx val="1"/>
          <c:order val="1"/>
          <c:tx>
            <c:strRef>
              <c:f>Sheet1!$C$3</c:f>
              <c:strCache>
                <c:ptCount val="1"/>
                <c:pt idx="0">
                  <c:v>Non-Hispanic Black</c:v>
                </c:pt>
              </c:strCache>
            </c:strRef>
          </c:tx>
          <c:spPr>
            <a:solidFill>
              <a:schemeClr val="tx2">
                <a:lumMod val="20000"/>
                <a:lumOff val="80000"/>
              </a:schemeClr>
            </a:solidFill>
          </c:spPr>
          <c:invertIfNegative val="0"/>
          <c:cat>
            <c:strRef>
              <c:f>Sheet1!$A$4:$A$7</c:f>
              <c:strCache>
                <c:ptCount val="4"/>
                <c:pt idx="0">
                  <c:v>I</c:v>
                </c:pt>
                <c:pt idx="1">
                  <c:v>II</c:v>
                </c:pt>
                <c:pt idx="2">
                  <c:v>III</c:v>
                </c:pt>
                <c:pt idx="3">
                  <c:v>IV</c:v>
                </c:pt>
              </c:strCache>
            </c:strRef>
          </c:cat>
          <c:val>
            <c:numRef>
              <c:f>Sheet1!$C$4:$C$7</c:f>
              <c:numCache>
                <c:formatCode>General</c:formatCode>
                <c:ptCount val="4"/>
                <c:pt idx="0">
                  <c:v>44.79</c:v>
                </c:pt>
                <c:pt idx="1">
                  <c:v>34.380000000000003</c:v>
                </c:pt>
                <c:pt idx="2">
                  <c:v>15.63</c:v>
                </c:pt>
                <c:pt idx="3">
                  <c:v>5.21</c:v>
                </c:pt>
              </c:numCache>
            </c:numRef>
          </c:val>
          <c:extLst xmlns:c16r2="http://schemas.microsoft.com/office/drawing/2015/06/chart">
            <c:ext xmlns:c16="http://schemas.microsoft.com/office/drawing/2014/chart" uri="{C3380CC4-5D6E-409C-BE32-E72D297353CC}">
              <c16:uniqueId val="{00000001-57F8-4012-A820-44A9A75A3CFE}"/>
            </c:ext>
          </c:extLst>
        </c:ser>
        <c:ser>
          <c:idx val="2"/>
          <c:order val="2"/>
          <c:tx>
            <c:strRef>
              <c:f>Sheet1!$D$3</c:f>
              <c:strCache>
                <c:ptCount val="1"/>
                <c:pt idx="0">
                  <c:v>Indian/Asian</c:v>
                </c:pt>
              </c:strCache>
            </c:strRef>
          </c:tx>
          <c:spPr>
            <a:pattFill prst="wdDnDiag">
              <a:fgClr>
                <a:schemeClr val="tx2"/>
              </a:fgClr>
              <a:bgClr>
                <a:schemeClr val="bg1"/>
              </a:bgClr>
            </a:pattFill>
            <a:ln>
              <a:solidFill>
                <a:schemeClr val="tx2"/>
              </a:solidFill>
            </a:ln>
          </c:spPr>
          <c:invertIfNegative val="0"/>
          <c:cat>
            <c:strRef>
              <c:f>Sheet1!$A$4:$A$7</c:f>
              <c:strCache>
                <c:ptCount val="4"/>
                <c:pt idx="0">
                  <c:v>I</c:v>
                </c:pt>
                <c:pt idx="1">
                  <c:v>II</c:v>
                </c:pt>
                <c:pt idx="2">
                  <c:v>III</c:v>
                </c:pt>
                <c:pt idx="3">
                  <c:v>IV</c:v>
                </c:pt>
              </c:strCache>
            </c:strRef>
          </c:cat>
          <c:val>
            <c:numRef>
              <c:f>Sheet1!$D$4:$D$7</c:f>
              <c:numCache>
                <c:formatCode>General</c:formatCode>
                <c:ptCount val="4"/>
                <c:pt idx="0">
                  <c:v>53.78</c:v>
                </c:pt>
                <c:pt idx="1">
                  <c:v>31.93</c:v>
                </c:pt>
                <c:pt idx="2">
                  <c:v>11.76</c:v>
                </c:pt>
                <c:pt idx="3">
                  <c:v>2.52</c:v>
                </c:pt>
              </c:numCache>
            </c:numRef>
          </c:val>
          <c:extLst xmlns:c16r2="http://schemas.microsoft.com/office/drawing/2015/06/chart">
            <c:ext xmlns:c16="http://schemas.microsoft.com/office/drawing/2014/chart" uri="{C3380CC4-5D6E-409C-BE32-E72D297353CC}">
              <c16:uniqueId val="{00000002-57F8-4012-A820-44A9A75A3CFE}"/>
            </c:ext>
          </c:extLst>
        </c:ser>
        <c:ser>
          <c:idx val="3"/>
          <c:order val="3"/>
          <c:tx>
            <c:strRef>
              <c:f>Sheet1!$E$3</c:f>
              <c:strCache>
                <c:ptCount val="1"/>
                <c:pt idx="0">
                  <c:v>Hispanic</c:v>
                </c:pt>
              </c:strCache>
            </c:strRef>
          </c:tx>
          <c:spPr>
            <a:pattFill prst="dkUpDiag">
              <a:fgClr>
                <a:schemeClr val="tx2">
                  <a:lumMod val="20000"/>
                  <a:lumOff val="80000"/>
                </a:schemeClr>
              </a:fgClr>
              <a:bgClr>
                <a:schemeClr val="bg1"/>
              </a:bgClr>
            </a:pattFill>
            <a:ln>
              <a:solidFill>
                <a:schemeClr val="tx2">
                  <a:lumMod val="20000"/>
                  <a:lumOff val="80000"/>
                </a:schemeClr>
              </a:solidFill>
            </a:ln>
          </c:spPr>
          <c:invertIfNegative val="0"/>
          <c:cat>
            <c:strRef>
              <c:f>Sheet1!$A$4:$A$7</c:f>
              <c:strCache>
                <c:ptCount val="4"/>
                <c:pt idx="0">
                  <c:v>I</c:v>
                </c:pt>
                <c:pt idx="1">
                  <c:v>II</c:v>
                </c:pt>
                <c:pt idx="2">
                  <c:v>III</c:v>
                </c:pt>
                <c:pt idx="3">
                  <c:v>IV</c:v>
                </c:pt>
              </c:strCache>
            </c:strRef>
          </c:cat>
          <c:val>
            <c:numRef>
              <c:f>Sheet1!$E$4:$E$7</c:f>
              <c:numCache>
                <c:formatCode>General</c:formatCode>
                <c:ptCount val="4"/>
                <c:pt idx="0">
                  <c:v>56.41</c:v>
                </c:pt>
                <c:pt idx="1">
                  <c:v>37.44</c:v>
                </c:pt>
                <c:pt idx="2">
                  <c:v>4.62</c:v>
                </c:pt>
                <c:pt idx="3">
                  <c:v>1.54</c:v>
                </c:pt>
              </c:numCache>
            </c:numRef>
          </c:val>
          <c:extLst xmlns:c16r2="http://schemas.microsoft.com/office/drawing/2015/06/chart">
            <c:ext xmlns:c16="http://schemas.microsoft.com/office/drawing/2014/chart" uri="{C3380CC4-5D6E-409C-BE32-E72D297353CC}">
              <c16:uniqueId val="{00000003-57F8-4012-A820-44A9A75A3CFE}"/>
            </c:ext>
          </c:extLst>
        </c:ser>
        <c:dLbls>
          <c:showLegendKey val="0"/>
          <c:showVal val="0"/>
          <c:showCatName val="0"/>
          <c:showSerName val="0"/>
          <c:showPercent val="0"/>
          <c:showBubbleSize val="0"/>
        </c:dLbls>
        <c:gapWidth val="150"/>
        <c:axId val="78290304"/>
        <c:axId val="78296576"/>
      </c:barChart>
      <c:catAx>
        <c:axId val="78290304"/>
        <c:scaling>
          <c:orientation val="minMax"/>
        </c:scaling>
        <c:delete val="0"/>
        <c:axPos val="b"/>
        <c:title>
          <c:tx>
            <c:rich>
              <a:bodyPr/>
              <a:lstStyle/>
              <a:p>
                <a:pPr>
                  <a:defRPr/>
                </a:pPr>
                <a:r>
                  <a:rPr lang="en-US"/>
                  <a:t>Stage</a:t>
                </a:r>
              </a:p>
            </c:rich>
          </c:tx>
          <c:layout>
            <c:manualLayout>
              <c:xMode val="edge"/>
              <c:yMode val="edge"/>
              <c:x val="0.49698154501847142"/>
              <c:y val="0.73475863517060358"/>
            </c:manualLayout>
          </c:layout>
          <c:overlay val="0"/>
        </c:title>
        <c:numFmt formatCode="General" sourceLinked="1"/>
        <c:majorTickMark val="out"/>
        <c:minorTickMark val="none"/>
        <c:tickLblPos val="nextTo"/>
        <c:spPr>
          <a:ln>
            <a:solidFill>
              <a:schemeClr val="tx1"/>
            </a:solidFill>
          </a:ln>
        </c:spPr>
        <c:crossAx val="78296576"/>
        <c:crosses val="autoZero"/>
        <c:auto val="1"/>
        <c:lblAlgn val="ctr"/>
        <c:lblOffset val="100"/>
        <c:noMultiLvlLbl val="0"/>
      </c:catAx>
      <c:valAx>
        <c:axId val="78296576"/>
        <c:scaling>
          <c:orientation val="minMax"/>
          <c:max val="60"/>
        </c:scaling>
        <c:delete val="0"/>
        <c:axPos val="l"/>
        <c:majorGridlines>
          <c:spPr>
            <a:ln>
              <a:solidFill>
                <a:schemeClr val="bg1">
                  <a:lumMod val="65000"/>
                </a:schemeClr>
              </a:solidFill>
              <a:prstDash val="dash"/>
            </a:ln>
          </c:spPr>
        </c:majorGridlines>
        <c:title>
          <c:tx>
            <c:rich>
              <a:bodyPr rot="-5400000" vert="horz"/>
              <a:lstStyle/>
              <a:p>
                <a:pPr>
                  <a:defRPr/>
                </a:pPr>
                <a:r>
                  <a:rPr lang="en-US"/>
                  <a:t>Percent</a:t>
                </a:r>
              </a:p>
            </c:rich>
          </c:tx>
          <c:layout/>
          <c:overlay val="0"/>
        </c:title>
        <c:numFmt formatCode="General" sourceLinked="0"/>
        <c:majorTickMark val="out"/>
        <c:minorTickMark val="none"/>
        <c:tickLblPos val="nextTo"/>
        <c:spPr>
          <a:ln>
            <a:solidFill>
              <a:schemeClr val="tx1"/>
            </a:solidFill>
          </a:ln>
        </c:spPr>
        <c:crossAx val="78290304"/>
        <c:crosses val="autoZero"/>
        <c:crossBetween val="between"/>
        <c:majorUnit val="20"/>
      </c:valAx>
    </c:plotArea>
    <c:legend>
      <c:legendPos val="b"/>
      <c:layout>
        <c:manualLayout>
          <c:xMode val="edge"/>
          <c:yMode val="edge"/>
          <c:x val="4.1640625642797788E-2"/>
          <c:y val="0.81334918040905269"/>
          <c:w val="0.89999983544376705"/>
          <c:h val="0.1541754073193680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l">
              <a:defRPr/>
            </a:pPr>
            <a:r>
              <a:rPr lang="en-US" sz="1200">
                <a:solidFill>
                  <a:schemeClr val="tx2"/>
                </a:solidFill>
              </a:rPr>
              <a:t>Figure 5. Cervical Cancer Stage at Diagnosis,</a:t>
            </a:r>
            <a:r>
              <a:rPr lang="en-US" sz="1200" baseline="0">
                <a:solidFill>
                  <a:schemeClr val="tx2"/>
                </a:solidFill>
              </a:rPr>
              <a:t> </a:t>
            </a:r>
            <a:r>
              <a:rPr lang="en-US" sz="1200">
                <a:solidFill>
                  <a:schemeClr val="tx2"/>
                </a:solidFill>
              </a:rPr>
              <a:t>Massachusetts, 2006-2012</a:t>
            </a:r>
          </a:p>
        </c:rich>
      </c:tx>
      <c:layout>
        <c:manualLayout>
          <c:xMode val="edge"/>
          <c:yMode val="edge"/>
          <c:x val="0.14640776384433427"/>
          <c:y val="3.787878787878788E-2"/>
        </c:manualLayout>
      </c:layout>
      <c:overlay val="0"/>
    </c:title>
    <c:autoTitleDeleted val="0"/>
    <c:plotArea>
      <c:layout>
        <c:manualLayout>
          <c:layoutTarget val="inner"/>
          <c:xMode val="edge"/>
          <c:yMode val="edge"/>
          <c:x val="0.15858909722615605"/>
          <c:y val="0.19517481389911584"/>
          <c:w val="0.78865310900885588"/>
          <c:h val="0.461389934953783"/>
        </c:manualLayout>
      </c:layout>
      <c:barChart>
        <c:barDir val="col"/>
        <c:grouping val="clustered"/>
        <c:varyColors val="0"/>
        <c:ser>
          <c:idx val="0"/>
          <c:order val="0"/>
          <c:tx>
            <c:strRef>
              <c:f>Sheet3!$B$1</c:f>
              <c:strCache>
                <c:ptCount val="1"/>
                <c:pt idx="0">
                  <c:v>Massachusetts</c:v>
                </c:pt>
              </c:strCache>
            </c:strRef>
          </c:tx>
          <c:invertIfNegative val="0"/>
          <c:cat>
            <c:strRef>
              <c:f>Sheet3!$A$2:$A$4</c:f>
              <c:strCache>
                <c:ptCount val="3"/>
                <c:pt idx="0">
                  <c:v>Local</c:v>
                </c:pt>
                <c:pt idx="1">
                  <c:v>Regional</c:v>
                </c:pt>
                <c:pt idx="2">
                  <c:v>Distant</c:v>
                </c:pt>
              </c:strCache>
            </c:strRef>
          </c:cat>
          <c:val>
            <c:numRef>
              <c:f>Sheet3!$B$2:$B$4</c:f>
              <c:numCache>
                <c:formatCode>General</c:formatCode>
                <c:ptCount val="3"/>
                <c:pt idx="0">
                  <c:v>0.5</c:v>
                </c:pt>
                <c:pt idx="1">
                  <c:v>0.47</c:v>
                </c:pt>
                <c:pt idx="2">
                  <c:v>0.03</c:v>
                </c:pt>
              </c:numCache>
            </c:numRef>
          </c:val>
          <c:extLst xmlns:c16r2="http://schemas.microsoft.com/office/drawing/2015/06/chart">
            <c:ext xmlns:c16="http://schemas.microsoft.com/office/drawing/2014/chart" uri="{C3380CC4-5D6E-409C-BE32-E72D297353CC}">
              <c16:uniqueId val="{00000000-0ECD-4EF2-81F7-D3EEB81A1753}"/>
            </c:ext>
          </c:extLst>
        </c:ser>
        <c:ser>
          <c:idx val="1"/>
          <c:order val="1"/>
          <c:tx>
            <c:strRef>
              <c:f>Sheet3!$C$1</c:f>
              <c:strCache>
                <c:ptCount val="1"/>
                <c:pt idx="0">
                  <c:v>United States</c:v>
                </c:pt>
              </c:strCache>
            </c:strRef>
          </c:tx>
          <c:invertIfNegative val="0"/>
          <c:cat>
            <c:strRef>
              <c:f>Sheet3!$A$2:$A$4</c:f>
              <c:strCache>
                <c:ptCount val="3"/>
                <c:pt idx="0">
                  <c:v>Local</c:v>
                </c:pt>
                <c:pt idx="1">
                  <c:v>Regional</c:v>
                </c:pt>
                <c:pt idx="2">
                  <c:v>Distant</c:v>
                </c:pt>
              </c:strCache>
            </c:strRef>
          </c:cat>
          <c:val>
            <c:numRef>
              <c:f>Sheet3!$C$2:$C$4</c:f>
              <c:numCache>
                <c:formatCode>General</c:formatCode>
                <c:ptCount val="3"/>
                <c:pt idx="0">
                  <c:v>0.46</c:v>
                </c:pt>
                <c:pt idx="1">
                  <c:v>0.36</c:v>
                </c:pt>
                <c:pt idx="2">
                  <c:v>0.14000000000000001</c:v>
                </c:pt>
              </c:numCache>
            </c:numRef>
          </c:val>
          <c:extLst xmlns:c16r2="http://schemas.microsoft.com/office/drawing/2015/06/chart">
            <c:ext xmlns:c16="http://schemas.microsoft.com/office/drawing/2014/chart" uri="{C3380CC4-5D6E-409C-BE32-E72D297353CC}">
              <c16:uniqueId val="{00000001-0ECD-4EF2-81F7-D3EEB81A1753}"/>
            </c:ext>
          </c:extLst>
        </c:ser>
        <c:dLbls>
          <c:showLegendKey val="0"/>
          <c:showVal val="0"/>
          <c:showCatName val="0"/>
          <c:showSerName val="0"/>
          <c:showPercent val="0"/>
          <c:showBubbleSize val="0"/>
        </c:dLbls>
        <c:gapWidth val="150"/>
        <c:axId val="73151232"/>
        <c:axId val="73153152"/>
      </c:barChart>
      <c:catAx>
        <c:axId val="73151232"/>
        <c:scaling>
          <c:orientation val="minMax"/>
        </c:scaling>
        <c:delete val="0"/>
        <c:axPos val="b"/>
        <c:title>
          <c:tx>
            <c:rich>
              <a:bodyPr/>
              <a:lstStyle/>
              <a:p>
                <a:pPr>
                  <a:defRPr/>
                </a:pPr>
                <a:r>
                  <a:rPr lang="en-US"/>
                  <a:t>Cancer Stage</a:t>
                </a:r>
              </a:p>
            </c:rich>
          </c:tx>
          <c:layout/>
          <c:overlay val="0"/>
        </c:title>
        <c:numFmt formatCode="General" sourceLinked="0"/>
        <c:majorTickMark val="out"/>
        <c:minorTickMark val="none"/>
        <c:tickLblPos val="nextTo"/>
        <c:crossAx val="73153152"/>
        <c:crosses val="autoZero"/>
        <c:auto val="1"/>
        <c:lblAlgn val="ctr"/>
        <c:lblOffset val="100"/>
        <c:noMultiLvlLbl val="0"/>
      </c:catAx>
      <c:valAx>
        <c:axId val="73153152"/>
        <c:scaling>
          <c:orientation val="minMax"/>
        </c:scaling>
        <c:delete val="0"/>
        <c:axPos val="l"/>
        <c:majorGridlines>
          <c:spPr>
            <a:ln>
              <a:solidFill>
                <a:schemeClr val="bg1">
                  <a:lumMod val="65000"/>
                </a:schemeClr>
              </a:solidFill>
              <a:prstDash val="dash"/>
            </a:ln>
          </c:spPr>
        </c:majorGridlines>
        <c:numFmt formatCode="0%" sourceLinked="0"/>
        <c:majorTickMark val="out"/>
        <c:minorTickMark val="none"/>
        <c:tickLblPos val="nextTo"/>
        <c:crossAx val="73151232"/>
        <c:crosses val="autoZero"/>
        <c:crossBetween val="between"/>
      </c:valAx>
    </c:plotArea>
    <c:legend>
      <c:legendPos val="b"/>
      <c:layout>
        <c:manualLayout>
          <c:xMode val="edge"/>
          <c:yMode val="edge"/>
          <c:x val="0.12514322400347438"/>
          <c:y val="0.80050686845962438"/>
          <c:w val="0.7880824788987707"/>
          <c:h val="7.8281010328254422E-2"/>
        </c:manualLayout>
      </c:layout>
      <c:overlay val="0"/>
    </c:legend>
    <c:plotVisOnly val="1"/>
    <c:dispBlanksAs val="gap"/>
    <c:showDLblsOverMax val="0"/>
  </c:chart>
  <c:spPr>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Massachusetts</c:v>
                </c:pt>
              </c:strCache>
            </c:strRef>
          </c:tx>
          <c:invertIfNegative val="0"/>
          <c:cat>
            <c:strRef>
              <c:f>Sheet1!$A$2:$A$5</c:f>
              <c:strCache>
                <c:ptCount val="4"/>
                <c:pt idx="0">
                  <c:v>≥1 dose girls</c:v>
                </c:pt>
                <c:pt idx="1">
                  <c:v>≥1 dose boys</c:v>
                </c:pt>
                <c:pt idx="2">
                  <c:v>≥3 doses girls</c:v>
                </c:pt>
                <c:pt idx="3">
                  <c:v>≥3 doses boys</c:v>
                </c:pt>
              </c:strCache>
            </c:strRef>
          </c:cat>
          <c:val>
            <c:numRef>
              <c:f>Sheet1!$B$2:$B$5</c:f>
              <c:numCache>
                <c:formatCode>General</c:formatCode>
                <c:ptCount val="4"/>
                <c:pt idx="0">
                  <c:v>0.73499999999999999</c:v>
                </c:pt>
                <c:pt idx="1">
                  <c:v>0.63</c:v>
                </c:pt>
                <c:pt idx="2">
                  <c:v>0.52800000000000002</c:v>
                </c:pt>
                <c:pt idx="3">
                  <c:v>0.35199999999999998</c:v>
                </c:pt>
              </c:numCache>
            </c:numRef>
          </c:val>
          <c:extLst xmlns:c16r2="http://schemas.microsoft.com/office/drawing/2015/06/chart">
            <c:ext xmlns:c16="http://schemas.microsoft.com/office/drawing/2014/chart" uri="{C3380CC4-5D6E-409C-BE32-E72D297353CC}">
              <c16:uniqueId val="{00000000-7234-4AE6-BC35-BDCE90EF7795}"/>
            </c:ext>
          </c:extLst>
        </c:ser>
        <c:ser>
          <c:idx val="1"/>
          <c:order val="1"/>
          <c:tx>
            <c:strRef>
              <c:f>Sheet1!$C$1</c:f>
              <c:strCache>
                <c:ptCount val="1"/>
                <c:pt idx="0">
                  <c:v>United States</c:v>
                </c:pt>
              </c:strCache>
            </c:strRef>
          </c:tx>
          <c:spPr>
            <a:solidFill>
              <a:schemeClr val="tx2">
                <a:lumMod val="20000"/>
                <a:lumOff val="80000"/>
              </a:schemeClr>
            </a:solidFill>
          </c:spPr>
          <c:invertIfNegative val="0"/>
          <c:cat>
            <c:strRef>
              <c:f>Sheet1!$A$2:$A$5</c:f>
              <c:strCache>
                <c:ptCount val="4"/>
                <c:pt idx="0">
                  <c:v>≥1 dose girls</c:v>
                </c:pt>
                <c:pt idx="1">
                  <c:v>≥1 dose boys</c:v>
                </c:pt>
                <c:pt idx="2">
                  <c:v>≥3 doses girls</c:v>
                </c:pt>
                <c:pt idx="3">
                  <c:v>≥3 doses boys</c:v>
                </c:pt>
              </c:strCache>
            </c:strRef>
          </c:cat>
          <c:val>
            <c:numRef>
              <c:f>Sheet1!$C$2:$C$5</c:f>
              <c:numCache>
                <c:formatCode>General</c:formatCode>
                <c:ptCount val="4"/>
                <c:pt idx="0">
                  <c:v>0.628</c:v>
                </c:pt>
                <c:pt idx="1">
                  <c:v>0.498</c:v>
                </c:pt>
                <c:pt idx="2">
                  <c:v>0.41899999999999998</c:v>
                </c:pt>
                <c:pt idx="3">
                  <c:v>0.28100000000000003</c:v>
                </c:pt>
              </c:numCache>
            </c:numRef>
          </c:val>
          <c:extLst xmlns:c16r2="http://schemas.microsoft.com/office/drawing/2015/06/chart">
            <c:ext xmlns:c16="http://schemas.microsoft.com/office/drawing/2014/chart" uri="{C3380CC4-5D6E-409C-BE32-E72D297353CC}">
              <c16:uniqueId val="{00000001-7234-4AE6-BC35-BDCE90EF7795}"/>
            </c:ext>
          </c:extLst>
        </c:ser>
        <c:dLbls>
          <c:showLegendKey val="0"/>
          <c:showVal val="0"/>
          <c:showCatName val="0"/>
          <c:showSerName val="0"/>
          <c:showPercent val="0"/>
          <c:showBubbleSize val="0"/>
        </c:dLbls>
        <c:gapWidth val="150"/>
        <c:axId val="73188480"/>
        <c:axId val="73190016"/>
      </c:barChart>
      <c:catAx>
        <c:axId val="73188480"/>
        <c:scaling>
          <c:orientation val="minMax"/>
        </c:scaling>
        <c:delete val="0"/>
        <c:axPos val="b"/>
        <c:numFmt formatCode="General" sourceLinked="0"/>
        <c:majorTickMark val="out"/>
        <c:minorTickMark val="none"/>
        <c:tickLblPos val="nextTo"/>
        <c:spPr>
          <a:ln>
            <a:solidFill>
              <a:schemeClr val="tx1"/>
            </a:solidFill>
          </a:ln>
        </c:spPr>
        <c:crossAx val="73190016"/>
        <c:crosses val="autoZero"/>
        <c:auto val="1"/>
        <c:lblAlgn val="ctr"/>
        <c:lblOffset val="100"/>
        <c:noMultiLvlLbl val="0"/>
      </c:catAx>
      <c:valAx>
        <c:axId val="73190016"/>
        <c:scaling>
          <c:orientation val="minMax"/>
          <c:max val="1"/>
          <c:min val="0"/>
        </c:scaling>
        <c:delete val="0"/>
        <c:axPos val="l"/>
        <c:majorGridlines>
          <c:spPr>
            <a:ln>
              <a:solidFill>
                <a:schemeClr val="bg1">
                  <a:lumMod val="65000"/>
                </a:schemeClr>
              </a:solidFill>
              <a:prstDash val="dash"/>
            </a:ln>
          </c:spPr>
        </c:majorGridlines>
        <c:numFmt formatCode="0%" sourceLinked="0"/>
        <c:majorTickMark val="out"/>
        <c:minorTickMark val="none"/>
        <c:tickLblPos val="nextTo"/>
        <c:spPr>
          <a:ln>
            <a:solidFill>
              <a:schemeClr val="tx1"/>
            </a:solidFill>
          </a:ln>
        </c:spPr>
        <c:crossAx val="73188480"/>
        <c:crosses val="autoZero"/>
        <c:crossBetween val="between"/>
        <c:majorUnit val="0.2"/>
      </c:valAx>
    </c:plotArea>
    <c:legend>
      <c:legendPos val="b"/>
      <c:layout/>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84147092607084E-2"/>
          <c:y val="5.2072805265013504E-2"/>
          <c:w val="0.86513375838591"/>
          <c:h val="0.73325026382011527"/>
        </c:manualLayout>
      </c:layout>
      <c:barChart>
        <c:barDir val="col"/>
        <c:grouping val="clustered"/>
        <c:varyColors val="0"/>
        <c:ser>
          <c:idx val="0"/>
          <c:order val="0"/>
          <c:tx>
            <c:strRef>
              <c:f>Sheet5!$A$17:$A$26</c:f>
              <c:strCache>
                <c:ptCount val="1"/>
                <c:pt idx="0">
                  <c:v>20-29 30-39 40-49 50-59 60-65 NH White NH Black Asian* Hispanic</c:v>
                </c:pt>
              </c:strCache>
            </c:strRef>
          </c:tx>
          <c:spPr>
            <a:solidFill>
              <a:schemeClr val="accent1"/>
            </a:solidFill>
            <a:ln>
              <a:solidFill>
                <a:schemeClr val="accent1">
                  <a:lumMod val="60000"/>
                  <a:lumOff val="40000"/>
                </a:schemeClr>
              </a:solidFill>
            </a:ln>
          </c:spPr>
          <c:invertIfNegative val="0"/>
          <c:cat>
            <c:strRef>
              <c:f>Sheet5!$A$17:$A$26</c:f>
              <c:strCache>
                <c:ptCount val="10"/>
                <c:pt idx="0">
                  <c:v>20-29</c:v>
                </c:pt>
                <c:pt idx="1">
                  <c:v>30-39</c:v>
                </c:pt>
                <c:pt idx="2">
                  <c:v>40-49</c:v>
                </c:pt>
                <c:pt idx="3">
                  <c:v>50-59</c:v>
                </c:pt>
                <c:pt idx="4">
                  <c:v>60-65</c:v>
                </c:pt>
                <c:pt idx="6">
                  <c:v>NH White</c:v>
                </c:pt>
                <c:pt idx="7">
                  <c:v>NH Black</c:v>
                </c:pt>
                <c:pt idx="8">
                  <c:v>Asian*</c:v>
                </c:pt>
                <c:pt idx="9">
                  <c:v>Hispanic</c:v>
                </c:pt>
              </c:strCache>
            </c:strRef>
          </c:cat>
          <c:val>
            <c:numRef>
              <c:f>Sheet5!$B$17:$B$26</c:f>
              <c:numCache>
                <c:formatCode>General</c:formatCode>
                <c:ptCount val="10"/>
                <c:pt idx="0">
                  <c:v>0.69</c:v>
                </c:pt>
                <c:pt idx="1">
                  <c:v>0.91800000000000004</c:v>
                </c:pt>
                <c:pt idx="2">
                  <c:v>0.91400000000000003</c:v>
                </c:pt>
                <c:pt idx="3">
                  <c:v>0.90100000000000002</c:v>
                </c:pt>
                <c:pt idx="4">
                  <c:v>0.88600000000000001</c:v>
                </c:pt>
                <c:pt idx="6">
                  <c:v>0.875</c:v>
                </c:pt>
                <c:pt idx="7">
                  <c:v>0.86199999999999999</c:v>
                </c:pt>
                <c:pt idx="8">
                  <c:v>0.79700000000000004</c:v>
                </c:pt>
                <c:pt idx="9">
                  <c:v>0.84299999999999997</c:v>
                </c:pt>
              </c:numCache>
            </c:numRef>
          </c:val>
          <c:extLst xmlns:c16r2="http://schemas.microsoft.com/office/drawing/2015/06/chart">
            <c:ext xmlns:c16="http://schemas.microsoft.com/office/drawing/2014/chart" uri="{C3380CC4-5D6E-409C-BE32-E72D297353CC}">
              <c16:uniqueId val="{00000000-EC79-4400-865D-D9377E6E94DA}"/>
            </c:ext>
          </c:extLst>
        </c:ser>
        <c:dLbls>
          <c:showLegendKey val="0"/>
          <c:showVal val="0"/>
          <c:showCatName val="0"/>
          <c:showSerName val="0"/>
          <c:showPercent val="0"/>
          <c:showBubbleSize val="0"/>
        </c:dLbls>
        <c:gapWidth val="90"/>
        <c:overlap val="90"/>
        <c:axId val="78539776"/>
        <c:axId val="78545664"/>
      </c:barChart>
      <c:catAx>
        <c:axId val="78539776"/>
        <c:scaling>
          <c:orientation val="minMax"/>
        </c:scaling>
        <c:delete val="0"/>
        <c:axPos val="b"/>
        <c:numFmt formatCode="General" sourceLinked="0"/>
        <c:majorTickMark val="out"/>
        <c:minorTickMark val="none"/>
        <c:tickLblPos val="nextTo"/>
        <c:spPr>
          <a:ln>
            <a:solidFill>
              <a:schemeClr val="tx1"/>
            </a:solidFill>
          </a:ln>
        </c:spPr>
        <c:crossAx val="78545664"/>
        <c:crosses val="autoZero"/>
        <c:auto val="1"/>
        <c:lblAlgn val="ctr"/>
        <c:lblOffset val="100"/>
        <c:noMultiLvlLbl val="0"/>
      </c:catAx>
      <c:valAx>
        <c:axId val="78545664"/>
        <c:scaling>
          <c:orientation val="minMax"/>
        </c:scaling>
        <c:delete val="0"/>
        <c:axPos val="l"/>
        <c:majorGridlines>
          <c:spPr>
            <a:ln>
              <a:solidFill>
                <a:schemeClr val="bg1">
                  <a:lumMod val="65000"/>
                </a:schemeClr>
              </a:solidFill>
              <a:prstDash val="dash"/>
            </a:ln>
          </c:spPr>
        </c:majorGridlines>
        <c:numFmt formatCode="0%" sourceLinked="0"/>
        <c:majorTickMark val="out"/>
        <c:minorTickMark val="none"/>
        <c:tickLblPos val="nextTo"/>
        <c:spPr>
          <a:ln>
            <a:solidFill>
              <a:schemeClr val="tx1"/>
            </a:solidFill>
          </a:ln>
        </c:spPr>
        <c:crossAx val="78539776"/>
        <c:crosses val="autoZero"/>
        <c:crossBetween val="between"/>
        <c:majorUnit val="0.2"/>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0.87784</cdr:y>
    </cdr:from>
    <cdr:to>
      <cdr:x>1</cdr:x>
      <cdr:y>1</cdr:y>
    </cdr:to>
    <cdr:sp macro="" textlink="">
      <cdr:nvSpPr>
        <cdr:cNvPr id="2" name="Text Box 1"/>
        <cdr:cNvSpPr txBox="1"/>
      </cdr:nvSpPr>
      <cdr:spPr>
        <a:xfrm xmlns:a="http://schemas.openxmlformats.org/drawingml/2006/main">
          <a:off x="0" y="2943226"/>
          <a:ext cx="3409950" cy="4095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Times New Roman" panose="02020603050405020304" pitchFamily="18" charset="0"/>
              <a:cs typeface="Times New Roman" panose="02020603050405020304" pitchFamily="18" charset="0"/>
            </a:rPr>
            <a:t>U.S.</a:t>
          </a:r>
          <a:r>
            <a:rPr lang="en-US" sz="1000" baseline="0">
              <a:latin typeface="Times New Roman" panose="02020603050405020304" pitchFamily="18" charset="0"/>
              <a:cs typeface="Times New Roman" panose="02020603050405020304" pitchFamily="18" charset="0"/>
            </a:rPr>
            <a:t> data are from SEER</a:t>
          </a:r>
          <a:r>
            <a:rPr lang="en-US" sz="1000" baseline="30000">
              <a:latin typeface="Times New Roman" panose="02020603050405020304" pitchFamily="18" charset="0"/>
              <a:cs typeface="Times New Roman" panose="02020603050405020304" pitchFamily="18" charset="0"/>
            </a:rPr>
            <a:t>3</a:t>
          </a:r>
          <a:r>
            <a:rPr lang="en-US" sz="1000" baseline="0">
              <a:latin typeface="Times New Roman" panose="02020603050405020304" pitchFamily="18" charset="0"/>
              <a:cs typeface="Times New Roman" panose="02020603050405020304" pitchFamily="18" charset="0"/>
            </a:rPr>
            <a:t>; years restricted to 2006-2012 for consistency </a:t>
          </a:r>
          <a:endParaRPr lang="en-US" sz="10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8D0D-9AFD-425F-B5A8-5B978F9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Erin (DPH)</dc:creator>
  <cp:lastModifiedBy> </cp:lastModifiedBy>
  <cp:revision>7</cp:revision>
  <cp:lastPrinted>2018-03-21T20:10:00Z</cp:lastPrinted>
  <dcterms:created xsi:type="dcterms:W3CDTF">2018-03-15T16:20:00Z</dcterms:created>
  <dcterms:modified xsi:type="dcterms:W3CDTF">2018-03-21T20:15:00Z</dcterms:modified>
</cp:coreProperties>
</file>