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73" w:rsidRDefault="00100946" w:rsidP="00BE77E0">
      <w:pPr>
        <w:ind w:left="2880" w:firstLine="720"/>
      </w:pPr>
      <w:bookmarkStart w:id="0" w:name="_GoBack"/>
      <w:bookmarkEnd w:id="0"/>
      <w:r>
        <w:t xml:space="preserve">           </w:t>
      </w:r>
      <w:r w:rsidR="00CC0E7E">
        <w:rPr>
          <w:noProof/>
        </w:rPr>
        <w:drawing>
          <wp:inline distT="0" distB="0" distL="0" distR="0" wp14:anchorId="62E3E54D" wp14:editId="5BE096FC">
            <wp:extent cx="1847850" cy="1057275"/>
            <wp:effectExtent l="0" t="0" r="0" b="9525"/>
            <wp:docPr id="1" name="Picture 1" descr="Massachusetts Department of Public Health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State 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3525" cy="1060522"/>
                    </a:xfrm>
                    <a:prstGeom prst="rect">
                      <a:avLst/>
                    </a:prstGeom>
                    <a:noFill/>
                    <a:ln>
                      <a:noFill/>
                    </a:ln>
                  </pic:spPr>
                </pic:pic>
              </a:graphicData>
            </a:graphic>
          </wp:inline>
        </w:drawing>
      </w:r>
    </w:p>
    <w:p w:rsidR="008A5673" w:rsidRPr="00CF060A" w:rsidRDefault="008A5673" w:rsidP="008A5673">
      <w:pPr>
        <w:jc w:val="center"/>
        <w:rPr>
          <w:b/>
          <w:sz w:val="8"/>
          <w:szCs w:val="8"/>
        </w:rPr>
      </w:pPr>
    </w:p>
    <w:p w:rsidR="00803F0C" w:rsidRPr="00CC0E7E" w:rsidRDefault="00902A8B" w:rsidP="00446B17">
      <w:pPr>
        <w:jc w:val="center"/>
        <w:rPr>
          <w:b/>
          <w:sz w:val="36"/>
          <w:szCs w:val="36"/>
        </w:rPr>
      </w:pPr>
      <w:r w:rsidRPr="00CC0E7E">
        <w:rPr>
          <w:b/>
          <w:sz w:val="36"/>
          <w:szCs w:val="36"/>
        </w:rPr>
        <w:t>Massachusetts Department of Public Health</w:t>
      </w:r>
    </w:p>
    <w:p w:rsidR="00B30006" w:rsidRPr="00CC0E7E" w:rsidRDefault="000828AE" w:rsidP="00446B17">
      <w:pPr>
        <w:jc w:val="center"/>
        <w:rPr>
          <w:b/>
          <w:i/>
          <w:sz w:val="32"/>
          <w:szCs w:val="32"/>
        </w:rPr>
      </w:pPr>
      <w:r w:rsidRPr="00CC0E7E">
        <w:rPr>
          <w:b/>
          <w:i/>
          <w:sz w:val="32"/>
          <w:szCs w:val="32"/>
        </w:rPr>
        <w:t>Important Amendments to</w:t>
      </w:r>
      <w:r w:rsidR="00BA50DB" w:rsidRPr="00CC0E7E">
        <w:rPr>
          <w:b/>
          <w:i/>
          <w:sz w:val="32"/>
          <w:szCs w:val="32"/>
        </w:rPr>
        <w:t xml:space="preserve"> </w:t>
      </w:r>
      <w:r w:rsidRPr="00CC0E7E">
        <w:rPr>
          <w:b/>
          <w:i/>
          <w:sz w:val="32"/>
          <w:szCs w:val="32"/>
        </w:rPr>
        <w:t>Regulation 105 CMR 430.00</w:t>
      </w:r>
      <w:r w:rsidR="00F27005" w:rsidRPr="00CC0E7E">
        <w:rPr>
          <w:b/>
          <w:i/>
          <w:sz w:val="32"/>
          <w:szCs w:val="32"/>
        </w:rPr>
        <w:t>0</w:t>
      </w:r>
      <w:r w:rsidRPr="00CC0E7E">
        <w:rPr>
          <w:b/>
          <w:i/>
          <w:sz w:val="32"/>
          <w:szCs w:val="32"/>
        </w:rPr>
        <w:t>:</w:t>
      </w:r>
    </w:p>
    <w:p w:rsidR="000828AE" w:rsidRPr="00CC0E7E" w:rsidRDefault="000828AE" w:rsidP="00446B17">
      <w:pPr>
        <w:jc w:val="center"/>
        <w:rPr>
          <w:b/>
          <w:i/>
          <w:sz w:val="32"/>
          <w:szCs w:val="32"/>
        </w:rPr>
      </w:pPr>
      <w:r w:rsidRPr="00CC0E7E">
        <w:rPr>
          <w:b/>
          <w:i/>
          <w:sz w:val="32"/>
          <w:szCs w:val="32"/>
        </w:rPr>
        <w:t>Minimum Standards for Recreational Camps for Children</w:t>
      </w:r>
    </w:p>
    <w:p w:rsidR="008A5673" w:rsidRPr="000B180C" w:rsidRDefault="008A5673" w:rsidP="00446B17">
      <w:pPr>
        <w:jc w:val="center"/>
        <w:rPr>
          <w:b/>
          <w:i/>
          <w:sz w:val="8"/>
          <w:szCs w:val="8"/>
        </w:rPr>
      </w:pPr>
    </w:p>
    <w:p w:rsidR="003A34AD" w:rsidRPr="000B180C" w:rsidRDefault="003A34AD" w:rsidP="00446B17">
      <w:pPr>
        <w:jc w:val="center"/>
        <w:rPr>
          <w:b/>
          <w:sz w:val="8"/>
          <w:szCs w:val="8"/>
          <w:highlight w:val="yellow"/>
        </w:rPr>
      </w:pPr>
    </w:p>
    <w:p w:rsidR="00222A3F" w:rsidRDefault="0073508C" w:rsidP="00446B17">
      <w:pPr>
        <w:pBdr>
          <w:bottom w:val="single" w:sz="12" w:space="2" w:color="auto"/>
        </w:pBdr>
        <w:jc w:val="center"/>
        <w:rPr>
          <w:sz w:val="28"/>
          <w:szCs w:val="28"/>
        </w:rPr>
      </w:pPr>
      <w:r>
        <w:rPr>
          <w:sz w:val="28"/>
          <w:szCs w:val="28"/>
        </w:rPr>
        <w:t>Ma</w:t>
      </w:r>
      <w:r w:rsidR="00C01532">
        <w:rPr>
          <w:sz w:val="28"/>
          <w:szCs w:val="28"/>
        </w:rPr>
        <w:t>rch</w:t>
      </w:r>
      <w:r w:rsidR="000828AE">
        <w:rPr>
          <w:sz w:val="28"/>
          <w:szCs w:val="28"/>
        </w:rPr>
        <w:t xml:space="preserve"> 2018</w:t>
      </w:r>
    </w:p>
    <w:p w:rsidR="008A5673" w:rsidRPr="00CF060A" w:rsidRDefault="008A5673" w:rsidP="008A5673">
      <w:pPr>
        <w:pBdr>
          <w:bottom w:val="single" w:sz="12" w:space="2" w:color="auto"/>
        </w:pBdr>
        <w:jc w:val="center"/>
        <w:rPr>
          <w:b/>
          <w:sz w:val="8"/>
          <w:szCs w:val="8"/>
        </w:rPr>
      </w:pPr>
    </w:p>
    <w:p w:rsidR="000A297F" w:rsidRPr="000B180C" w:rsidRDefault="000A297F" w:rsidP="00B450D7">
      <w:pPr>
        <w:rPr>
          <w:color w:val="0000FF"/>
          <w:sz w:val="16"/>
          <w:szCs w:val="16"/>
        </w:rPr>
      </w:pPr>
    </w:p>
    <w:p w:rsidR="002B130F" w:rsidRPr="00836D6F" w:rsidRDefault="00E50FAE" w:rsidP="002B130F">
      <w:pPr>
        <w:rPr>
          <w:color w:val="000000"/>
        </w:rPr>
      </w:pPr>
      <w:r>
        <w:rPr>
          <w:color w:val="000000"/>
        </w:rPr>
        <w:t>O</w:t>
      </w:r>
      <w:r w:rsidR="00251588">
        <w:rPr>
          <w:color w:val="000000"/>
        </w:rPr>
        <w:t xml:space="preserve">n </w:t>
      </w:r>
      <w:r w:rsidR="00D1628E">
        <w:rPr>
          <w:color w:val="000000"/>
        </w:rPr>
        <w:t xml:space="preserve">March 23, 2018, </w:t>
      </w:r>
      <w:r w:rsidR="002B130F">
        <w:rPr>
          <w:color w:val="000000"/>
        </w:rPr>
        <w:t>important</w:t>
      </w:r>
      <w:r w:rsidR="002B130F" w:rsidRPr="00836D6F">
        <w:rPr>
          <w:color w:val="000000"/>
        </w:rPr>
        <w:t xml:space="preserve"> </w:t>
      </w:r>
      <w:r w:rsidR="002B130F">
        <w:rPr>
          <w:color w:val="000000"/>
        </w:rPr>
        <w:t xml:space="preserve">amendments </w:t>
      </w:r>
      <w:r w:rsidR="00440E5F">
        <w:rPr>
          <w:color w:val="000000"/>
        </w:rPr>
        <w:t xml:space="preserve">were finalized </w:t>
      </w:r>
      <w:r w:rsidR="002B130F">
        <w:rPr>
          <w:color w:val="000000"/>
        </w:rPr>
        <w:t xml:space="preserve">to 105 CMR 430.000: </w:t>
      </w:r>
      <w:r w:rsidR="002B130F" w:rsidRPr="00836D6F">
        <w:rPr>
          <w:color w:val="000000"/>
        </w:rPr>
        <w:t xml:space="preserve">Minimum Standards for </w:t>
      </w:r>
      <w:r w:rsidR="006D6721">
        <w:rPr>
          <w:color w:val="000000"/>
        </w:rPr>
        <w:t>R</w:t>
      </w:r>
      <w:r w:rsidR="002B130F" w:rsidRPr="00836D6F">
        <w:rPr>
          <w:color w:val="000000"/>
        </w:rPr>
        <w:t>ecreational Camps for Children (State Sanitary Code, Chapter IV</w:t>
      </w:r>
      <w:r w:rsidR="00F27005">
        <w:rPr>
          <w:color w:val="000000"/>
        </w:rPr>
        <w:t>)</w:t>
      </w:r>
      <w:r w:rsidR="00615ED2">
        <w:rPr>
          <w:color w:val="000000"/>
        </w:rPr>
        <w:t xml:space="preserve"> </w:t>
      </w:r>
      <w:r w:rsidR="00F25B8B">
        <w:rPr>
          <w:color w:val="000000"/>
        </w:rPr>
        <w:t xml:space="preserve">which </w:t>
      </w:r>
      <w:r w:rsidR="00615ED2">
        <w:rPr>
          <w:color w:val="000000"/>
        </w:rPr>
        <w:t xml:space="preserve">will </w:t>
      </w:r>
      <w:r w:rsidR="00F25B8B">
        <w:rPr>
          <w:color w:val="000000"/>
        </w:rPr>
        <w:t>go into</w:t>
      </w:r>
      <w:r w:rsidR="00615ED2">
        <w:rPr>
          <w:color w:val="000000"/>
        </w:rPr>
        <w:t xml:space="preserve"> effect this summer</w:t>
      </w:r>
      <w:r w:rsidR="00C03327">
        <w:rPr>
          <w:color w:val="000000"/>
        </w:rPr>
        <w:t>.</w:t>
      </w:r>
      <w:r w:rsidR="00727AD5">
        <w:rPr>
          <w:color w:val="000000"/>
        </w:rPr>
        <w:t xml:space="preserve"> </w:t>
      </w:r>
      <w:r w:rsidR="002B130F" w:rsidRPr="00836D6F">
        <w:rPr>
          <w:color w:val="000000"/>
        </w:rPr>
        <w:t xml:space="preserve">The purpose of </w:t>
      </w:r>
      <w:r w:rsidR="002B130F">
        <w:rPr>
          <w:color w:val="000000"/>
        </w:rPr>
        <w:t xml:space="preserve">the amended </w:t>
      </w:r>
      <w:r w:rsidR="00E24736">
        <w:rPr>
          <w:color w:val="000000"/>
        </w:rPr>
        <w:t xml:space="preserve">camp </w:t>
      </w:r>
      <w:r w:rsidR="002B130F" w:rsidRPr="00836D6F">
        <w:rPr>
          <w:color w:val="000000"/>
        </w:rPr>
        <w:t xml:space="preserve">regulations is to revise outdated standards, </w:t>
      </w:r>
      <w:r w:rsidR="00F25B8B">
        <w:rPr>
          <w:color w:val="000000"/>
        </w:rPr>
        <w:t xml:space="preserve">clarify language and </w:t>
      </w:r>
      <w:r w:rsidR="002B130F" w:rsidRPr="00836D6F">
        <w:rPr>
          <w:color w:val="000000"/>
        </w:rPr>
        <w:t xml:space="preserve">add new </w:t>
      </w:r>
      <w:r w:rsidR="00A32F9C">
        <w:rPr>
          <w:color w:val="000000"/>
        </w:rPr>
        <w:t xml:space="preserve">requirements </w:t>
      </w:r>
      <w:r w:rsidR="002B130F" w:rsidRPr="00836D6F">
        <w:rPr>
          <w:color w:val="000000"/>
        </w:rPr>
        <w:t>in response to stakeholder input, a</w:t>
      </w:r>
      <w:r w:rsidR="00F25B8B">
        <w:rPr>
          <w:color w:val="000000"/>
        </w:rPr>
        <w:t>s well as to</w:t>
      </w:r>
      <w:r w:rsidR="002B130F" w:rsidRPr="00836D6F">
        <w:rPr>
          <w:color w:val="000000"/>
        </w:rPr>
        <w:t xml:space="preserve"> improve the overall clarity and readability of the regulation</w:t>
      </w:r>
      <w:r w:rsidR="00251588">
        <w:rPr>
          <w:color w:val="000000"/>
        </w:rPr>
        <w:t xml:space="preserve"> </w:t>
      </w:r>
      <w:r w:rsidR="002B130F" w:rsidRPr="00836D6F">
        <w:rPr>
          <w:color w:val="000000"/>
        </w:rPr>
        <w:t>for housing, health, safety and sanitary conditions for minors attending recreational camps for</w:t>
      </w:r>
      <w:r w:rsidR="00727AD5">
        <w:rPr>
          <w:color w:val="000000"/>
        </w:rPr>
        <w:t xml:space="preserve"> </w:t>
      </w:r>
      <w:r w:rsidR="002B130F" w:rsidRPr="00836D6F">
        <w:rPr>
          <w:color w:val="000000"/>
        </w:rPr>
        <w:t>children in the Commonwealth.</w:t>
      </w:r>
      <w:r w:rsidR="000D3A0F">
        <w:rPr>
          <w:color w:val="000000"/>
        </w:rPr>
        <w:t xml:space="preserve"> </w:t>
      </w:r>
    </w:p>
    <w:p w:rsidR="002B130F" w:rsidRPr="00281534" w:rsidRDefault="002B130F" w:rsidP="002B130F">
      <w:pPr>
        <w:rPr>
          <w:color w:val="000000"/>
          <w:sz w:val="12"/>
          <w:szCs w:val="12"/>
        </w:rPr>
      </w:pPr>
    </w:p>
    <w:p w:rsidR="000D3A0F" w:rsidRPr="00836D6F" w:rsidRDefault="002B130F" w:rsidP="002B130F">
      <w:pPr>
        <w:rPr>
          <w:color w:val="000000"/>
        </w:rPr>
      </w:pPr>
      <w:r w:rsidRPr="00836D6F">
        <w:rPr>
          <w:color w:val="000000"/>
        </w:rPr>
        <w:t xml:space="preserve">The Department of Public Health (DPH) is mandated by M.G.L. c. 111, §127A, to promulgate regulations pertaining to recreational camps for children.  Although DPH has the responsibility for setting </w:t>
      </w:r>
      <w:r w:rsidR="00351D07">
        <w:rPr>
          <w:color w:val="000000"/>
        </w:rPr>
        <w:t xml:space="preserve">minimum </w:t>
      </w:r>
      <w:r w:rsidRPr="00836D6F">
        <w:rPr>
          <w:color w:val="000000"/>
        </w:rPr>
        <w:t>standards and</w:t>
      </w:r>
      <w:r w:rsidR="004B7658">
        <w:rPr>
          <w:color w:val="000000"/>
        </w:rPr>
        <w:t xml:space="preserve"> </w:t>
      </w:r>
      <w:r w:rsidRPr="00836D6F">
        <w:rPr>
          <w:color w:val="000000"/>
        </w:rPr>
        <w:t>has oversight authority, the primary responsibility for inspecting and licensing camps rests with the</w:t>
      </w:r>
      <w:r w:rsidR="00615ED2">
        <w:rPr>
          <w:color w:val="000000"/>
        </w:rPr>
        <w:t xml:space="preserve"> </w:t>
      </w:r>
      <w:r w:rsidRPr="00836D6F">
        <w:rPr>
          <w:color w:val="000000"/>
        </w:rPr>
        <w:t>local</w:t>
      </w:r>
      <w:r w:rsidR="004B7658">
        <w:rPr>
          <w:color w:val="000000"/>
        </w:rPr>
        <w:t xml:space="preserve"> </w:t>
      </w:r>
      <w:r w:rsidR="006D6721">
        <w:rPr>
          <w:color w:val="000000"/>
        </w:rPr>
        <w:t>Boards of H</w:t>
      </w:r>
      <w:r w:rsidRPr="00836D6F">
        <w:rPr>
          <w:color w:val="000000"/>
        </w:rPr>
        <w:t>ealth.</w:t>
      </w:r>
    </w:p>
    <w:p w:rsidR="004A072F" w:rsidRPr="00281534" w:rsidRDefault="004A072F" w:rsidP="00281534">
      <w:pPr>
        <w:rPr>
          <w:sz w:val="8"/>
          <w:szCs w:val="8"/>
        </w:rPr>
      </w:pPr>
    </w:p>
    <w:p w:rsidR="0023691F" w:rsidRPr="00483CA2" w:rsidRDefault="00A90D52" w:rsidP="00251588">
      <w:r>
        <w:rPr>
          <w:b/>
          <w:sz w:val="26"/>
          <w:szCs w:val="26"/>
          <w:u w:val="single"/>
        </w:rPr>
        <w:t>Important C</w:t>
      </w:r>
      <w:r w:rsidR="002B130F">
        <w:rPr>
          <w:b/>
          <w:sz w:val="26"/>
          <w:szCs w:val="26"/>
          <w:u w:val="single"/>
        </w:rPr>
        <w:t>hanges</w:t>
      </w:r>
    </w:p>
    <w:p w:rsidR="003C6C07" w:rsidRPr="00483CA2" w:rsidRDefault="003C6C07" w:rsidP="008141FB">
      <w:pPr>
        <w:ind w:left="240"/>
      </w:pPr>
    </w:p>
    <w:p w:rsidR="002B130F" w:rsidRPr="00836D6F" w:rsidRDefault="002B130F" w:rsidP="002B130F">
      <w:pPr>
        <w:rPr>
          <w:color w:val="000000"/>
        </w:rPr>
      </w:pPr>
      <w:r w:rsidRPr="00836D6F">
        <w:rPr>
          <w:color w:val="000000"/>
        </w:rPr>
        <w:t xml:space="preserve">The </w:t>
      </w:r>
      <w:r w:rsidR="00742DC1">
        <w:rPr>
          <w:color w:val="000000"/>
        </w:rPr>
        <w:t>finalized</w:t>
      </w:r>
      <w:r w:rsidRPr="00836D6F">
        <w:rPr>
          <w:color w:val="000000"/>
        </w:rPr>
        <w:t xml:space="preserve"> revisions include substantial changes to re-organize and streamline regulatory requirements with the </w:t>
      </w:r>
      <w:r w:rsidR="00D9401F">
        <w:rPr>
          <w:color w:val="000000"/>
        </w:rPr>
        <w:t xml:space="preserve"> </w:t>
      </w:r>
      <w:r w:rsidRPr="00836D6F">
        <w:rPr>
          <w:color w:val="000000"/>
        </w:rPr>
        <w:t>goal of improving readability and organization of the Recreational Camps for Children regulations.  The following summarizes the most significant substantive changes:</w:t>
      </w:r>
    </w:p>
    <w:p w:rsidR="002B130F" w:rsidRPr="00D9401F" w:rsidRDefault="002B130F" w:rsidP="00B26DA1">
      <w:pPr>
        <w:spacing w:line="240" w:lineRule="atLeast"/>
        <w:rPr>
          <w:color w:val="000000"/>
          <w:sz w:val="16"/>
        </w:rPr>
      </w:pPr>
    </w:p>
    <w:p w:rsidR="00B26DA1" w:rsidRDefault="00800136" w:rsidP="00A90D52">
      <w:pPr>
        <w:pStyle w:val="ListParagraph"/>
        <w:numPr>
          <w:ilvl w:val="0"/>
          <w:numId w:val="49"/>
        </w:numPr>
        <w:spacing w:line="240" w:lineRule="atLeast"/>
      </w:pPr>
      <w:r>
        <w:rPr>
          <w:b/>
        </w:rPr>
        <w:t>430.02</w:t>
      </w:r>
      <w:r w:rsidR="002B130F" w:rsidRPr="00B26DA1">
        <w:rPr>
          <w:b/>
        </w:rPr>
        <w:t>0: Definitions.</w:t>
      </w:r>
      <w:r w:rsidR="002B130F" w:rsidRPr="00836D6F">
        <w:t xml:space="preserve"> </w:t>
      </w:r>
      <w:r w:rsidR="009F3CC6">
        <w:t xml:space="preserve"> </w:t>
      </w:r>
      <w:r w:rsidR="00351D07">
        <w:t>D</w:t>
      </w:r>
      <w:r w:rsidR="002B130F" w:rsidRPr="00836D6F">
        <w:t xml:space="preserve">efinitions </w:t>
      </w:r>
      <w:r w:rsidR="00351D07">
        <w:t xml:space="preserve">were revised </w:t>
      </w:r>
      <w:r w:rsidR="002B130F" w:rsidRPr="00836D6F">
        <w:t>for Day Camp (to include camps that operate at least 4 days during any 14 consecutive day period)</w:t>
      </w:r>
      <w:r w:rsidR="000E66F4">
        <w:t>, Residential Camp</w:t>
      </w:r>
      <w:r w:rsidR="002B130F" w:rsidRPr="00836D6F">
        <w:t xml:space="preserve"> </w:t>
      </w:r>
      <w:r w:rsidR="000E66F4">
        <w:t xml:space="preserve">(to include camps that operate 3 or more consecutive overnights) </w:t>
      </w:r>
      <w:r w:rsidR="002B130F" w:rsidRPr="00836D6F">
        <w:t>and Recreational Camp for Children (to include camps that operate for less</w:t>
      </w:r>
      <w:r w:rsidR="00B26DA1">
        <w:t xml:space="preserve"> </w:t>
      </w:r>
      <w:r w:rsidR="002B130F" w:rsidRPr="00836D6F">
        <w:t>than</w:t>
      </w:r>
      <w:r w:rsidR="00A32F9C">
        <w:t xml:space="preserve"> </w:t>
      </w:r>
      <w:r w:rsidR="002B130F" w:rsidRPr="00836D6F">
        <w:t>15 business days any time outside of the June 1 to</w:t>
      </w:r>
      <w:r w:rsidR="00351D07">
        <w:t xml:space="preserve"> September 30 camping season). In addition</w:t>
      </w:r>
      <w:r w:rsidR="000D3A0F">
        <w:t>,</w:t>
      </w:r>
      <w:r w:rsidR="00351D07">
        <w:t xml:space="preserve"> a</w:t>
      </w:r>
      <w:r w:rsidR="000D3A0F" w:rsidRPr="00836D6F">
        <w:t xml:space="preserve"> </w:t>
      </w:r>
      <w:r w:rsidR="002B130F" w:rsidRPr="00836D6F">
        <w:t>definition for S</w:t>
      </w:r>
      <w:r w:rsidR="00B26DA1">
        <w:t>pecialized High Risk Activities</w:t>
      </w:r>
      <w:r w:rsidR="000D3A0F">
        <w:t xml:space="preserve"> was added</w:t>
      </w:r>
      <w:r w:rsidR="00B26DA1">
        <w:t>.</w:t>
      </w:r>
    </w:p>
    <w:p w:rsidR="00B26DA1" w:rsidRDefault="000E66F4" w:rsidP="00A90D52">
      <w:pPr>
        <w:pStyle w:val="ListParagraph"/>
        <w:numPr>
          <w:ilvl w:val="0"/>
          <w:numId w:val="49"/>
        </w:numPr>
        <w:spacing w:line="240" w:lineRule="atLeast"/>
        <w:rPr>
          <w:rFonts w:eastAsiaTheme="minorEastAsia"/>
        </w:rPr>
      </w:pPr>
      <w:r w:rsidRPr="00B26DA1">
        <w:rPr>
          <w:b/>
        </w:rPr>
        <w:t xml:space="preserve">430.050: License Required.  </w:t>
      </w:r>
      <w:r w:rsidR="00351D07">
        <w:t>A n</w:t>
      </w:r>
      <w:r w:rsidRPr="000E66F4">
        <w:t xml:space="preserve">ew section </w:t>
      </w:r>
      <w:r w:rsidR="00351D07">
        <w:t xml:space="preserve">was </w:t>
      </w:r>
      <w:r w:rsidRPr="000E66F4">
        <w:t>added to clarify that</w:t>
      </w:r>
      <w:r w:rsidRPr="00B26DA1">
        <w:rPr>
          <w:b/>
        </w:rPr>
        <w:t xml:space="preserve"> </w:t>
      </w:r>
      <w:r w:rsidRPr="00B26DA1">
        <w:rPr>
          <w:rFonts w:eastAsiaTheme="minorEastAsia"/>
        </w:rPr>
        <w:t>no recreational camp for children shall operate without a license from the Board of Health. Any person or program that promotes or advertises itself</w:t>
      </w:r>
      <w:r w:rsidR="00D9401F">
        <w:rPr>
          <w:rFonts w:eastAsiaTheme="minorEastAsia"/>
        </w:rPr>
        <w:t xml:space="preserve"> </w:t>
      </w:r>
      <w:r w:rsidRPr="00B26DA1">
        <w:rPr>
          <w:rFonts w:eastAsiaTheme="minorEastAsia"/>
        </w:rPr>
        <w:t xml:space="preserve"> as a camp, even if it does not meet the criteria of a Recreational Camp as defined within 105 CMR 430.020, must be licensed as a recreational camp </w:t>
      </w:r>
      <w:r w:rsidR="00B26DA1" w:rsidRPr="00B26DA1">
        <w:rPr>
          <w:rFonts w:eastAsiaTheme="minorEastAsia"/>
        </w:rPr>
        <w:t xml:space="preserve">for children prior to operating. </w:t>
      </w:r>
    </w:p>
    <w:p w:rsidR="00EE11E6" w:rsidRPr="00EE11E6" w:rsidRDefault="00EE11E6" w:rsidP="00A90D52">
      <w:pPr>
        <w:pStyle w:val="ListParagraph"/>
        <w:numPr>
          <w:ilvl w:val="0"/>
          <w:numId w:val="49"/>
        </w:numPr>
        <w:spacing w:line="240" w:lineRule="atLeast"/>
      </w:pPr>
      <w:r w:rsidRPr="00326636">
        <w:rPr>
          <w:rFonts w:eastAsiaTheme="minorEastAsia"/>
          <w:b/>
        </w:rPr>
        <w:t>430.091: Staff Orientation and Training</w:t>
      </w:r>
      <w:r>
        <w:rPr>
          <w:rFonts w:eastAsiaTheme="minorEastAsia"/>
          <w:b/>
        </w:rPr>
        <w:t xml:space="preserve">. </w:t>
      </w:r>
      <w:r w:rsidR="009F3CC6">
        <w:rPr>
          <w:rFonts w:eastAsiaTheme="minorEastAsia"/>
          <w:b/>
        </w:rPr>
        <w:t xml:space="preserve"> </w:t>
      </w:r>
      <w:r w:rsidR="00351D07">
        <w:rPr>
          <w:rFonts w:eastAsiaTheme="minorEastAsia"/>
        </w:rPr>
        <w:t>The s</w:t>
      </w:r>
      <w:r w:rsidRPr="00EE11E6">
        <w:rPr>
          <w:rFonts w:eastAsiaTheme="minorEastAsia"/>
        </w:rPr>
        <w:t xml:space="preserve">ection </w:t>
      </w:r>
      <w:r w:rsidR="00351D07">
        <w:rPr>
          <w:rFonts w:eastAsiaTheme="minorEastAsia"/>
        </w:rPr>
        <w:t xml:space="preserve">has been </w:t>
      </w:r>
      <w:r w:rsidRPr="00EE11E6">
        <w:rPr>
          <w:rFonts w:eastAsiaTheme="minorEastAsia"/>
        </w:rPr>
        <w:t xml:space="preserve">revised to </w:t>
      </w:r>
      <w:r w:rsidR="000D3A0F">
        <w:rPr>
          <w:rFonts w:eastAsiaTheme="minorEastAsia"/>
        </w:rPr>
        <w:t>clarify</w:t>
      </w:r>
      <w:r w:rsidR="000D3A0F">
        <w:rPr>
          <w:rFonts w:eastAsiaTheme="minorEastAsia"/>
          <w:b/>
        </w:rPr>
        <w:t xml:space="preserve"> </w:t>
      </w:r>
      <w:r>
        <w:rPr>
          <w:rFonts w:eastAsiaTheme="minorEastAsia"/>
        </w:rPr>
        <w:t>that o</w:t>
      </w:r>
      <w:r w:rsidRPr="00326636">
        <w:rPr>
          <w:rFonts w:eastAsiaTheme="minorEastAsia"/>
        </w:rPr>
        <w:t xml:space="preserve">rientation and training </w:t>
      </w:r>
      <w:r>
        <w:rPr>
          <w:rFonts w:eastAsiaTheme="minorEastAsia"/>
        </w:rPr>
        <w:t xml:space="preserve">is </w:t>
      </w:r>
      <w:r w:rsidRPr="00326636">
        <w:rPr>
          <w:rFonts w:eastAsiaTheme="minorEastAsia"/>
        </w:rPr>
        <w:t>for all applicable camp staff (e.g.</w:t>
      </w:r>
      <w:r w:rsidR="009C62D1">
        <w:rPr>
          <w:rFonts w:eastAsiaTheme="minorEastAsia"/>
        </w:rPr>
        <w:t>-</w:t>
      </w:r>
      <w:r w:rsidRPr="00326636">
        <w:rPr>
          <w:rFonts w:eastAsiaTheme="minorEastAsia"/>
        </w:rPr>
        <w:t xml:space="preserve"> programmatic or other</w:t>
      </w:r>
      <w:r>
        <w:t xml:space="preserve">s </w:t>
      </w:r>
      <w:r w:rsidR="00684009">
        <w:t xml:space="preserve">with </w:t>
      </w:r>
      <w:r>
        <w:t>direct oversight)</w:t>
      </w:r>
      <w:r w:rsidR="003659D1">
        <w:t>,</w:t>
      </w:r>
      <w:r>
        <w:t xml:space="preserve"> and that t</w:t>
      </w:r>
      <w:r w:rsidRPr="00326636">
        <w:rPr>
          <w:rFonts w:eastAsiaTheme="minorEastAsia"/>
        </w:rPr>
        <w:t xml:space="preserve">raining components and attendance </w:t>
      </w:r>
      <w:r>
        <w:rPr>
          <w:rFonts w:eastAsiaTheme="minorEastAsia"/>
        </w:rPr>
        <w:t xml:space="preserve">are </w:t>
      </w:r>
      <w:r w:rsidRPr="00326636">
        <w:rPr>
          <w:rFonts w:eastAsiaTheme="minorEastAsia"/>
        </w:rPr>
        <w:t xml:space="preserve">to be documented. </w:t>
      </w:r>
      <w:r>
        <w:t xml:space="preserve"> </w:t>
      </w:r>
      <w:r>
        <w:rPr>
          <w:rFonts w:eastAsiaTheme="minorEastAsia"/>
        </w:rPr>
        <w:t>Additionally, s</w:t>
      </w:r>
      <w:r w:rsidRPr="00326636">
        <w:rPr>
          <w:rFonts w:eastAsiaTheme="minorEastAsia"/>
        </w:rPr>
        <w:t xml:space="preserve">taff </w:t>
      </w:r>
      <w:r w:rsidR="003659D1">
        <w:rPr>
          <w:rFonts w:eastAsiaTheme="minorEastAsia"/>
        </w:rPr>
        <w:t>shall</w:t>
      </w:r>
      <w:r w:rsidRPr="00326636">
        <w:rPr>
          <w:rFonts w:eastAsiaTheme="minorEastAsia"/>
        </w:rPr>
        <w:t xml:space="preserve"> receive all necessary training specific to overseeing certain camp activities or any specialized training to meet the needs of campers with unique physical or behavioral needs, as applicable.</w:t>
      </w:r>
      <w:r>
        <w:t xml:space="preserve"> </w:t>
      </w:r>
      <w:r w:rsidRPr="00326636">
        <w:rPr>
          <w:rFonts w:eastAsiaTheme="minorEastAsia"/>
        </w:rPr>
        <w:t>As part of the orientation, all counselors, junior counselors, a</w:t>
      </w:r>
      <w:r w:rsidR="00351D07">
        <w:rPr>
          <w:rFonts w:eastAsiaTheme="minorEastAsia"/>
        </w:rPr>
        <w:t>s well as</w:t>
      </w:r>
      <w:r w:rsidRPr="00326636">
        <w:rPr>
          <w:rFonts w:eastAsiaTheme="minorEastAsia"/>
        </w:rPr>
        <w:t xml:space="preserve"> other staff and volunteers shall complete one on-line head injury safety training program, such as </w:t>
      </w:r>
      <w:r w:rsidR="00D9401F">
        <w:rPr>
          <w:rFonts w:eastAsiaTheme="minorEastAsia"/>
        </w:rPr>
        <w:t xml:space="preserve"> </w:t>
      </w:r>
      <w:r w:rsidRPr="00326636">
        <w:rPr>
          <w:rFonts w:eastAsiaTheme="minorEastAsia"/>
        </w:rPr>
        <w:t xml:space="preserve">the Centers for Disease Control and Prevention’s “Heads-Up” training, or an equivalent </w:t>
      </w:r>
      <w:r w:rsidR="003659D1">
        <w:rPr>
          <w:rFonts w:eastAsiaTheme="minorEastAsia"/>
        </w:rPr>
        <w:t>approved</w:t>
      </w:r>
      <w:r>
        <w:rPr>
          <w:b/>
        </w:rPr>
        <w:t xml:space="preserve"> </w:t>
      </w:r>
      <w:r w:rsidRPr="00326636">
        <w:rPr>
          <w:rFonts w:eastAsiaTheme="minorEastAsia"/>
        </w:rPr>
        <w:t>train</w:t>
      </w:r>
      <w:r>
        <w:rPr>
          <w:rFonts w:eastAsiaTheme="minorEastAsia"/>
        </w:rPr>
        <w:t xml:space="preserve">ing. </w:t>
      </w:r>
    </w:p>
    <w:p w:rsidR="000E63D5" w:rsidRDefault="002B130F" w:rsidP="00CC0E7E">
      <w:pPr>
        <w:pStyle w:val="ListParagraph"/>
        <w:numPr>
          <w:ilvl w:val="0"/>
          <w:numId w:val="49"/>
        </w:numPr>
        <w:spacing w:line="240" w:lineRule="atLeast"/>
      </w:pPr>
      <w:r w:rsidRPr="00B26DA1">
        <w:rPr>
          <w:b/>
        </w:rPr>
        <w:t>430.101: Required Ratio of Counselors to Campers.</w:t>
      </w:r>
      <w:r w:rsidR="009F3CC6">
        <w:rPr>
          <w:b/>
        </w:rPr>
        <w:t xml:space="preserve"> </w:t>
      </w:r>
      <w:r w:rsidRPr="00836D6F">
        <w:t xml:space="preserve"> Required staffing ratios were clarified, including </w:t>
      </w:r>
      <w:r w:rsidR="000D3A0F">
        <w:t>requiring that</w:t>
      </w:r>
      <w:r w:rsidRPr="00836D6F">
        <w:t xml:space="preserve"> campers remain in sight, and </w:t>
      </w:r>
      <w:r w:rsidR="000D3A0F">
        <w:t>that</w:t>
      </w:r>
      <w:r w:rsidRPr="00836D6F">
        <w:t xml:space="preserve"> junior counselors can be counted for compliance </w:t>
      </w:r>
      <w:r w:rsidR="000D3A0F">
        <w:t>but must be in the presence of a counselor</w:t>
      </w:r>
      <w:r w:rsidRPr="00836D6F">
        <w:t>.</w:t>
      </w:r>
      <w:r w:rsidR="00281534">
        <w:t xml:space="preserve"> </w:t>
      </w:r>
      <w:r w:rsidR="00281534" w:rsidRPr="002F5A04">
        <w:t>Each residential or day camp serving campers with mild or severe disabilities shall have a staffing plan in place to ensure adequate staffing to supervise children with disabilities</w:t>
      </w:r>
      <w:r w:rsidR="00281534">
        <w:t>.</w:t>
      </w:r>
    </w:p>
    <w:p w:rsidR="007E0BA0" w:rsidRDefault="002B130F" w:rsidP="000D3A0F">
      <w:pPr>
        <w:pStyle w:val="ListParagraph"/>
        <w:numPr>
          <w:ilvl w:val="0"/>
          <w:numId w:val="49"/>
        </w:numPr>
        <w:spacing w:line="240" w:lineRule="atLeast"/>
      </w:pPr>
      <w:r w:rsidRPr="000D3A0F">
        <w:rPr>
          <w:b/>
        </w:rPr>
        <w:t xml:space="preserve">430.103: Supervision of Specialized </w:t>
      </w:r>
      <w:r w:rsidR="000E63D5" w:rsidRPr="000D3A0F">
        <w:rPr>
          <w:b/>
        </w:rPr>
        <w:t xml:space="preserve">High Risk </w:t>
      </w:r>
      <w:r w:rsidRPr="000D3A0F">
        <w:rPr>
          <w:b/>
        </w:rPr>
        <w:t>Activities.</w:t>
      </w:r>
      <w:r w:rsidR="007E0BA0" w:rsidRPr="000D3A0F">
        <w:rPr>
          <w:b/>
        </w:rPr>
        <w:t xml:space="preserve"> </w:t>
      </w:r>
      <w:r w:rsidRPr="00836D6F">
        <w:t xml:space="preserve"> </w:t>
      </w:r>
      <w:r w:rsidR="000D3A0F">
        <w:t xml:space="preserve">Formerly “Specialized Activities” are now called “Specialized High Risk Activities” and activities were added to this section </w:t>
      </w:r>
      <w:r w:rsidRPr="00836D6F">
        <w:t>including challenge courses and climbing walls. Safety standards for these</w:t>
      </w:r>
      <w:r w:rsidR="00E660B9">
        <w:t xml:space="preserve"> types of activities were added, including compliance with 520 CMR 5.00 for climbing walls and challenge courses with high ropes.</w:t>
      </w:r>
      <w:r w:rsidR="000D3A0F">
        <w:t xml:space="preserve"> Additionally, ratios of campers to lifeguards, aquatics directors and staff with watercraft safety certification was clarified. </w:t>
      </w:r>
    </w:p>
    <w:p w:rsidR="00B03E6F" w:rsidRDefault="00B03E6F" w:rsidP="00B03E6F">
      <w:pPr>
        <w:spacing w:line="240" w:lineRule="atLeast"/>
      </w:pPr>
    </w:p>
    <w:p w:rsidR="00B03E6F" w:rsidRPr="00836D6F" w:rsidRDefault="00B03E6F" w:rsidP="00B03E6F">
      <w:pPr>
        <w:spacing w:line="240" w:lineRule="atLeast"/>
      </w:pPr>
    </w:p>
    <w:p w:rsidR="002B130F" w:rsidRPr="00836D6F" w:rsidRDefault="002B130F" w:rsidP="00A90D52">
      <w:pPr>
        <w:pStyle w:val="ListParagraph"/>
        <w:numPr>
          <w:ilvl w:val="0"/>
          <w:numId w:val="49"/>
        </w:numPr>
        <w:spacing w:line="240" w:lineRule="atLeast"/>
      </w:pPr>
      <w:r w:rsidRPr="00B26DA1">
        <w:rPr>
          <w:b/>
        </w:rPr>
        <w:t xml:space="preserve">430.140: </w:t>
      </w:r>
      <w:r w:rsidR="0084174E" w:rsidRPr="00B26DA1">
        <w:rPr>
          <w:b/>
        </w:rPr>
        <w:t>Medical Waste.</w:t>
      </w:r>
      <w:r w:rsidR="0084174E">
        <w:t xml:space="preserve"> </w:t>
      </w:r>
      <w:r w:rsidR="007E0BA0">
        <w:t xml:space="preserve"> </w:t>
      </w:r>
      <w:r w:rsidR="0078637C" w:rsidRPr="00836D6F">
        <w:t>A requirement to comply with DPH Medical Waste regulations was added.</w:t>
      </w:r>
    </w:p>
    <w:p w:rsidR="002B130F" w:rsidRPr="00836D6F" w:rsidRDefault="00684009" w:rsidP="00A90D52">
      <w:pPr>
        <w:pStyle w:val="ListParagraph"/>
        <w:numPr>
          <w:ilvl w:val="0"/>
          <w:numId w:val="49"/>
        </w:numPr>
        <w:spacing w:line="240" w:lineRule="atLeast"/>
      </w:pPr>
      <w:r>
        <w:rPr>
          <w:b/>
        </w:rPr>
        <w:t xml:space="preserve">430.145: </w:t>
      </w:r>
      <w:r w:rsidR="0084174E" w:rsidRPr="00B26DA1">
        <w:rPr>
          <w:b/>
        </w:rPr>
        <w:t>Maintenance of Records.</w:t>
      </w:r>
      <w:r w:rsidR="0084174E" w:rsidRPr="00836D6F">
        <w:t xml:space="preserve"> </w:t>
      </w:r>
      <w:r w:rsidR="0084174E">
        <w:t xml:space="preserve"> </w:t>
      </w:r>
      <w:r w:rsidR="0078637C" w:rsidRPr="00836D6F">
        <w:t>A three year records retention requirement was added.</w:t>
      </w:r>
    </w:p>
    <w:p w:rsidR="002B130F" w:rsidRPr="00836D6F" w:rsidRDefault="002B130F" w:rsidP="00A90D52">
      <w:pPr>
        <w:pStyle w:val="ListParagraph"/>
        <w:numPr>
          <w:ilvl w:val="0"/>
          <w:numId w:val="49"/>
        </w:numPr>
      </w:pPr>
      <w:r w:rsidRPr="00B26DA1">
        <w:rPr>
          <w:b/>
        </w:rPr>
        <w:t>430.152: Required Immunizations.</w:t>
      </w:r>
      <w:r w:rsidRPr="00836D6F">
        <w:t xml:space="preserve"> This section was revised and simplified to reference annual immunization requirements developed by the CDC rather than include specific immunization requirements which </w:t>
      </w:r>
      <w:r w:rsidR="00351D07">
        <w:t xml:space="preserve">may </w:t>
      </w:r>
      <w:r w:rsidRPr="00836D6F">
        <w:t xml:space="preserve">become </w:t>
      </w:r>
      <w:r w:rsidR="00351D07">
        <w:t>outdated</w:t>
      </w:r>
      <w:r w:rsidRPr="00836D6F">
        <w:t>.</w:t>
      </w:r>
    </w:p>
    <w:p w:rsidR="00251588" w:rsidRDefault="002B130F" w:rsidP="00A90D52">
      <w:pPr>
        <w:numPr>
          <w:ilvl w:val="0"/>
          <w:numId w:val="47"/>
        </w:numPr>
      </w:pPr>
      <w:r w:rsidRPr="00836D6F">
        <w:rPr>
          <w:b/>
        </w:rPr>
        <w:t>430.159: Health Care Staff to be Provided.</w:t>
      </w:r>
      <w:r w:rsidRPr="00836D6F">
        <w:t xml:space="preserve">  Changes were made to the required camp </w:t>
      </w:r>
      <w:r w:rsidR="0059574E">
        <w:t>health care</w:t>
      </w:r>
      <w:r w:rsidRPr="00836D6F">
        <w:t xml:space="preserve"> policy to include procedures for using insect repellent, conducting tick checks, and promoting allergy awareness. </w:t>
      </w:r>
    </w:p>
    <w:p w:rsidR="002B130F" w:rsidRPr="00836D6F" w:rsidRDefault="00251588" w:rsidP="00A90D52">
      <w:pPr>
        <w:ind w:left="720"/>
      </w:pPr>
      <w:r w:rsidRPr="00251588">
        <w:t>The camp</w:t>
      </w:r>
      <w:r>
        <w:t>’</w:t>
      </w:r>
      <w:r w:rsidRPr="00251588">
        <w:t>s Healt</w:t>
      </w:r>
      <w:r>
        <w:t>h Care Consultant must ensure on-site Health Care Supervisors are properly trained in order to administer topical or oral medications.</w:t>
      </w:r>
      <w:r w:rsidR="002B130F" w:rsidRPr="00836D6F">
        <w:t xml:space="preserve"> </w:t>
      </w:r>
    </w:p>
    <w:p w:rsidR="002B130F" w:rsidRPr="00836D6F" w:rsidRDefault="002B130F" w:rsidP="00A90D52">
      <w:pPr>
        <w:numPr>
          <w:ilvl w:val="0"/>
          <w:numId w:val="47"/>
        </w:numPr>
      </w:pPr>
      <w:r w:rsidRPr="00836D6F">
        <w:rPr>
          <w:b/>
        </w:rPr>
        <w:t>430.160: Storage and Administration of Medic</w:t>
      </w:r>
      <w:r w:rsidR="00684009">
        <w:rPr>
          <w:b/>
        </w:rPr>
        <w:t>ation</w:t>
      </w:r>
      <w:r w:rsidRPr="00836D6F">
        <w:rPr>
          <w:b/>
        </w:rPr>
        <w:t>.</w:t>
      </w:r>
      <w:r w:rsidRPr="00836D6F">
        <w:t xml:space="preserve">  Revisions were made to </w:t>
      </w:r>
      <w:r w:rsidR="00D81AD7">
        <w:t>clarify</w:t>
      </w:r>
      <w:r w:rsidRPr="00836D6F">
        <w:t xml:space="preserve"> </w:t>
      </w:r>
      <w:r w:rsidR="001405EE">
        <w:t xml:space="preserve">medication storage requirements, specifically </w:t>
      </w:r>
      <w:r w:rsidR="00D81AD7">
        <w:t>to account for field trips</w:t>
      </w:r>
      <w:r w:rsidR="001405EE">
        <w:t>.</w:t>
      </w:r>
      <w:r w:rsidR="00D81AD7">
        <w:t xml:space="preserve"> Language was added to clarify the role of the health care consultant and health care supervisor, including specifically required training for health care supervisors that are not trained in medication administration. </w:t>
      </w:r>
      <w:r w:rsidRPr="00836D6F">
        <w:t xml:space="preserve">Additional procedures were also added for campers to self-administer </w:t>
      </w:r>
      <w:r>
        <w:t>epinephrine auto-injectors</w:t>
      </w:r>
      <w:r w:rsidRPr="00836D6F">
        <w:t xml:space="preserve"> with</w:t>
      </w:r>
      <w:r w:rsidR="00954C03">
        <w:t xml:space="preserve"> </w:t>
      </w:r>
      <w:r w:rsidR="00D81AD7">
        <w:t xml:space="preserve">approval from the </w:t>
      </w:r>
      <w:r w:rsidR="00954C03">
        <w:t xml:space="preserve">health care </w:t>
      </w:r>
      <w:r w:rsidR="00FA2A1F">
        <w:t xml:space="preserve">consultant and </w:t>
      </w:r>
      <w:r w:rsidR="00D81AD7">
        <w:t xml:space="preserve">the </w:t>
      </w:r>
      <w:r w:rsidR="00FA2A1F">
        <w:t>camper’s parent/guardian</w:t>
      </w:r>
      <w:r w:rsidRPr="00836D6F">
        <w:t>.</w:t>
      </w:r>
    </w:p>
    <w:p w:rsidR="002B130F" w:rsidRDefault="002B130F" w:rsidP="00101BAB">
      <w:pPr>
        <w:numPr>
          <w:ilvl w:val="0"/>
          <w:numId w:val="47"/>
        </w:numPr>
      </w:pPr>
      <w:r w:rsidRPr="001405EE">
        <w:rPr>
          <w:b/>
        </w:rPr>
        <w:t>430.165: Tobacco Use.</w:t>
      </w:r>
      <w:r w:rsidRPr="00836D6F">
        <w:t xml:space="preserve">  The proposed amendments will ban</w:t>
      </w:r>
      <w:r w:rsidR="005C1949">
        <w:t xml:space="preserve"> the use of</w:t>
      </w:r>
      <w:r w:rsidRPr="00836D6F">
        <w:t xml:space="preserve"> any form of </w:t>
      </w:r>
      <w:r w:rsidR="005C1949">
        <w:t xml:space="preserve">tobacco, including </w:t>
      </w:r>
      <w:r w:rsidRPr="00836D6F">
        <w:t>nicotine delivery device</w:t>
      </w:r>
      <w:r w:rsidR="005C1949">
        <w:t>s like</w:t>
      </w:r>
      <w:r w:rsidR="001405EE">
        <w:t xml:space="preserve"> </w:t>
      </w:r>
      <w:r w:rsidRPr="00836D6F">
        <w:t xml:space="preserve">e-cigarettes, by staff, campers, or </w:t>
      </w:r>
      <w:r w:rsidR="005C1949">
        <w:t xml:space="preserve">any person </w:t>
      </w:r>
      <w:r w:rsidRPr="00836D6F">
        <w:t xml:space="preserve">at </w:t>
      </w:r>
      <w:r w:rsidR="005C1949">
        <w:t xml:space="preserve">the </w:t>
      </w:r>
      <w:r w:rsidRPr="00836D6F">
        <w:t>camp.</w:t>
      </w:r>
      <w:r w:rsidR="005C1949">
        <w:t xml:space="preserve"> This excludes use of FDA approved cessation products. </w:t>
      </w:r>
    </w:p>
    <w:p w:rsidR="000978DC" w:rsidRPr="00E660B9" w:rsidRDefault="000978DC" w:rsidP="00A90D52">
      <w:pPr>
        <w:numPr>
          <w:ilvl w:val="0"/>
          <w:numId w:val="47"/>
        </w:numPr>
      </w:pPr>
      <w:r w:rsidRPr="000978DC">
        <w:rPr>
          <w:b/>
        </w:rPr>
        <w:t>430.166</w:t>
      </w:r>
      <w:r w:rsidRPr="004C1F8F">
        <w:rPr>
          <w:b/>
        </w:rPr>
        <w:t xml:space="preserve">: </w:t>
      </w:r>
      <w:r w:rsidRPr="00CD693D">
        <w:rPr>
          <w:rFonts w:eastAsiaTheme="minorEastAsia"/>
          <w:b/>
        </w:rPr>
        <w:t>Alcohol and Recreational Marijuana Use</w:t>
      </w:r>
      <w:r>
        <w:rPr>
          <w:rFonts w:eastAsiaTheme="minorEastAsia"/>
          <w:b/>
        </w:rPr>
        <w:t xml:space="preserve">. </w:t>
      </w:r>
      <w:r w:rsidR="009F3CC6">
        <w:rPr>
          <w:rFonts w:eastAsiaTheme="minorEastAsia"/>
          <w:b/>
        </w:rPr>
        <w:t xml:space="preserve"> </w:t>
      </w:r>
      <w:r w:rsidR="00351D07">
        <w:rPr>
          <w:rFonts w:eastAsiaTheme="minorEastAsia"/>
        </w:rPr>
        <w:t>A n</w:t>
      </w:r>
      <w:r w:rsidRPr="000978DC">
        <w:rPr>
          <w:rFonts w:eastAsiaTheme="minorEastAsia"/>
        </w:rPr>
        <w:t xml:space="preserve">ew section </w:t>
      </w:r>
      <w:r w:rsidR="00351D07">
        <w:rPr>
          <w:rFonts w:eastAsiaTheme="minorEastAsia"/>
        </w:rPr>
        <w:t xml:space="preserve">was </w:t>
      </w:r>
      <w:r w:rsidRPr="000978DC">
        <w:rPr>
          <w:rFonts w:eastAsiaTheme="minorEastAsia"/>
        </w:rPr>
        <w:t>added</w:t>
      </w:r>
      <w:r>
        <w:rPr>
          <w:rFonts w:eastAsiaTheme="minorEastAsia"/>
        </w:rPr>
        <w:t xml:space="preserve"> </w:t>
      </w:r>
      <w:r w:rsidR="00251588">
        <w:rPr>
          <w:rFonts w:eastAsiaTheme="minorEastAsia"/>
        </w:rPr>
        <w:t xml:space="preserve">prohibiting </w:t>
      </w:r>
      <w:r w:rsidR="00351D07">
        <w:rPr>
          <w:rFonts w:eastAsiaTheme="minorEastAsia"/>
        </w:rPr>
        <w:t xml:space="preserve">the </w:t>
      </w:r>
      <w:r w:rsidR="00251588">
        <w:rPr>
          <w:rFonts w:eastAsiaTheme="minorEastAsia"/>
        </w:rPr>
        <w:t xml:space="preserve">use of </w:t>
      </w:r>
      <w:r w:rsidR="00251588" w:rsidRPr="007027A8">
        <w:rPr>
          <w:rFonts w:eastAsiaTheme="minorEastAsia"/>
        </w:rPr>
        <w:t xml:space="preserve">alcohol and recreational use of marijuana in any form </w:t>
      </w:r>
      <w:r w:rsidR="00251588">
        <w:rPr>
          <w:rFonts w:eastAsiaTheme="minorEastAsia"/>
        </w:rPr>
        <w:t xml:space="preserve">at a recreational camp </w:t>
      </w:r>
      <w:r w:rsidR="00251588" w:rsidRPr="007027A8">
        <w:rPr>
          <w:rFonts w:eastAsiaTheme="minorEastAsia"/>
        </w:rPr>
        <w:t>during all hours of operation</w:t>
      </w:r>
      <w:r w:rsidR="00251588">
        <w:rPr>
          <w:rFonts w:eastAsiaTheme="minorEastAsia"/>
        </w:rPr>
        <w:t>.</w:t>
      </w:r>
    </w:p>
    <w:p w:rsidR="00E660B9" w:rsidRPr="00E660B9" w:rsidRDefault="00E660B9" w:rsidP="00A90D52">
      <w:pPr>
        <w:numPr>
          <w:ilvl w:val="0"/>
          <w:numId w:val="47"/>
        </w:numPr>
        <w:rPr>
          <w:b/>
        </w:rPr>
      </w:pPr>
      <w:r w:rsidRPr="00E660B9">
        <w:rPr>
          <w:b/>
        </w:rPr>
        <w:t>430.190: General Program Requirements</w:t>
      </w:r>
      <w:r>
        <w:rPr>
          <w:b/>
        </w:rPr>
        <w:t xml:space="preserve">. </w:t>
      </w:r>
      <w:r w:rsidR="009F3CC6">
        <w:rPr>
          <w:b/>
        </w:rPr>
        <w:t xml:space="preserve"> </w:t>
      </w:r>
      <w:r w:rsidR="00351D07">
        <w:t>A n</w:t>
      </w:r>
      <w:r w:rsidRPr="00E660B9">
        <w:t xml:space="preserve">ew sub-section </w:t>
      </w:r>
      <w:r w:rsidR="00351D07">
        <w:t xml:space="preserve">was </w:t>
      </w:r>
      <w:r w:rsidRPr="00E660B9">
        <w:t>added</w:t>
      </w:r>
      <w:r>
        <w:t xml:space="preserve"> </w:t>
      </w:r>
      <w:r w:rsidRPr="00FD692D">
        <w:rPr>
          <w:rFonts w:eastAsiaTheme="minorEastAsia"/>
        </w:rPr>
        <w:t>regarding an “unrecognized person” at the camp.</w:t>
      </w:r>
      <w:r>
        <w:rPr>
          <w:rFonts w:eastAsiaTheme="minorEastAsia"/>
        </w:rPr>
        <w:t xml:space="preserve"> </w:t>
      </w:r>
      <w:r w:rsidRPr="00FD692D">
        <w:rPr>
          <w:rFonts w:eastAsiaTheme="minorEastAsia"/>
        </w:rPr>
        <w:t>The operator shall maintain an effective protocol for the appropria</w:t>
      </w:r>
      <w:r>
        <w:rPr>
          <w:rFonts w:eastAsiaTheme="minorEastAsia"/>
        </w:rPr>
        <w:t xml:space="preserve">te identification and handling </w:t>
      </w:r>
      <w:r w:rsidRPr="00FD692D">
        <w:rPr>
          <w:rFonts w:eastAsiaTheme="minorEastAsia"/>
        </w:rPr>
        <w:t>of such situations</w:t>
      </w:r>
      <w:r>
        <w:rPr>
          <w:rFonts w:eastAsiaTheme="minorEastAsia"/>
        </w:rPr>
        <w:t>.</w:t>
      </w:r>
    </w:p>
    <w:p w:rsidR="002B130F" w:rsidRDefault="002B130F" w:rsidP="00A90D52">
      <w:pPr>
        <w:numPr>
          <w:ilvl w:val="0"/>
          <w:numId w:val="47"/>
        </w:numPr>
      </w:pPr>
      <w:r w:rsidRPr="00836D6F">
        <w:rPr>
          <w:b/>
        </w:rPr>
        <w:t>430.204: Waterfront and Boating Program Requirements.</w:t>
      </w:r>
      <w:r w:rsidRPr="00836D6F">
        <w:t xml:space="preserve">  This section was revised to include compliance with </w:t>
      </w:r>
      <w:r w:rsidR="00A90D52">
        <w:t>105 CMR 432.000 (</w:t>
      </w:r>
      <w:r w:rsidRPr="00836D6F">
        <w:t>Christian’s Law</w:t>
      </w:r>
      <w:r w:rsidR="00A90D52">
        <w:t>)</w:t>
      </w:r>
      <w:r w:rsidRPr="00836D6F">
        <w:t xml:space="preserve"> for any swimming or boating programs, including a requirement to determine each child’s swimming ability and to provide appropriate personal flotation devices </w:t>
      </w:r>
      <w:r w:rsidR="0087280D">
        <w:t xml:space="preserve">(PFDs) </w:t>
      </w:r>
      <w:r w:rsidRPr="00836D6F">
        <w:t xml:space="preserve">in accordance with the </w:t>
      </w:r>
      <w:r w:rsidR="00351D07">
        <w:t xml:space="preserve">federal </w:t>
      </w:r>
      <w:r w:rsidRPr="00836D6F">
        <w:t>law.</w:t>
      </w:r>
    </w:p>
    <w:p w:rsidR="00E660B9" w:rsidRDefault="00E660B9" w:rsidP="00A90D52">
      <w:pPr>
        <w:numPr>
          <w:ilvl w:val="0"/>
          <w:numId w:val="47"/>
        </w:numPr>
      </w:pPr>
      <w:r>
        <w:rPr>
          <w:b/>
        </w:rPr>
        <w:t>430</w:t>
      </w:r>
      <w:r w:rsidRPr="00E660B9">
        <w:rPr>
          <w:b/>
        </w:rPr>
        <w:t>.212: Field Trips.</w:t>
      </w:r>
      <w:r>
        <w:t xml:space="preserve"> </w:t>
      </w:r>
      <w:r w:rsidR="009F3CC6">
        <w:t xml:space="preserve"> </w:t>
      </w:r>
      <w:r w:rsidR="00351D07">
        <w:t>This section was</w:t>
      </w:r>
      <w:r>
        <w:t xml:space="preserve"> revised requiring w</w:t>
      </w:r>
      <w:r w:rsidRPr="00FD692D">
        <w:rPr>
          <w:rFonts w:eastAsiaTheme="minorEastAsia"/>
        </w:rPr>
        <w:t>ritten itinerar</w:t>
      </w:r>
      <w:r w:rsidR="005105F5">
        <w:rPr>
          <w:rFonts w:eastAsiaTheme="minorEastAsia"/>
        </w:rPr>
        <w:t xml:space="preserve">ies </w:t>
      </w:r>
      <w:r w:rsidRPr="00FD692D">
        <w:rPr>
          <w:rFonts w:eastAsiaTheme="minorEastAsia"/>
        </w:rPr>
        <w:t xml:space="preserve">established before departure </w:t>
      </w:r>
      <w:r>
        <w:t xml:space="preserve">with </w:t>
      </w:r>
      <w:r w:rsidR="00D9401F">
        <w:t xml:space="preserve"> </w:t>
      </w:r>
      <w:r w:rsidRPr="00FD692D">
        <w:rPr>
          <w:rFonts w:eastAsiaTheme="minorEastAsia"/>
        </w:rPr>
        <w:t>a copy provide</w:t>
      </w:r>
      <w:r>
        <w:t>d to parents/guardians and</w:t>
      </w:r>
      <w:r w:rsidRPr="00FD692D">
        <w:rPr>
          <w:rFonts w:eastAsiaTheme="minorEastAsia"/>
        </w:rPr>
        <w:t xml:space="preserve"> </w:t>
      </w:r>
      <w:r>
        <w:t>w</w:t>
      </w:r>
      <w:r w:rsidRPr="00FD692D">
        <w:rPr>
          <w:rFonts w:eastAsiaTheme="minorEastAsia"/>
        </w:rPr>
        <w:t>henever feasible</w:t>
      </w:r>
      <w:r w:rsidR="00351D07">
        <w:rPr>
          <w:rFonts w:eastAsiaTheme="minorEastAsia"/>
        </w:rPr>
        <w:t>,</w:t>
      </w:r>
      <w:r w:rsidRPr="00FD692D">
        <w:rPr>
          <w:rFonts w:eastAsiaTheme="minorEastAsia"/>
        </w:rPr>
        <w:t xml:space="preserve"> notificat</w:t>
      </w:r>
      <w:r w:rsidR="009F3CC6">
        <w:rPr>
          <w:rFonts w:eastAsiaTheme="minorEastAsia"/>
        </w:rPr>
        <w:t>ion</w:t>
      </w:r>
      <w:r w:rsidR="00101BAB">
        <w:rPr>
          <w:rFonts w:eastAsiaTheme="minorEastAsia"/>
        </w:rPr>
        <w:t xml:space="preserve"> provide</w:t>
      </w:r>
      <w:r w:rsidR="00351D07">
        <w:rPr>
          <w:rFonts w:eastAsiaTheme="minorEastAsia"/>
        </w:rPr>
        <w:t>d</w:t>
      </w:r>
      <w:r w:rsidR="00101BAB">
        <w:rPr>
          <w:rFonts w:eastAsiaTheme="minorEastAsia"/>
        </w:rPr>
        <w:t xml:space="preserve"> to parents/</w:t>
      </w:r>
      <w:r w:rsidRPr="00FD692D">
        <w:rPr>
          <w:rFonts w:eastAsiaTheme="minorEastAsia"/>
        </w:rPr>
        <w:t>guardians of any changes to the itinerary prior to departure.</w:t>
      </w:r>
      <w:r>
        <w:t xml:space="preserve"> </w:t>
      </w:r>
      <w:r w:rsidRPr="00FD692D">
        <w:rPr>
          <w:rFonts w:eastAsiaTheme="minorEastAsia"/>
        </w:rPr>
        <w:t xml:space="preserve">A Health Care Supervisor </w:t>
      </w:r>
      <w:r w:rsidR="005C1949">
        <w:t xml:space="preserve">must </w:t>
      </w:r>
      <w:r>
        <w:t xml:space="preserve">accompany all field trips with readily available access to </w:t>
      </w:r>
      <w:r w:rsidRPr="00FD692D">
        <w:rPr>
          <w:rFonts w:eastAsiaTheme="minorEastAsia"/>
        </w:rPr>
        <w:t>health records, medications and first aid kits</w:t>
      </w:r>
      <w:r>
        <w:rPr>
          <w:rFonts w:eastAsiaTheme="minorEastAsia"/>
        </w:rPr>
        <w:t>, as needed.</w:t>
      </w:r>
      <w:r w:rsidR="005105F5">
        <w:rPr>
          <w:rFonts w:eastAsiaTheme="minorEastAsia"/>
        </w:rPr>
        <w:t xml:space="preserve"> Written contingency plans shall be established and accompany all field trips. </w:t>
      </w:r>
    </w:p>
    <w:p w:rsidR="000E66F4" w:rsidRDefault="000E66F4" w:rsidP="00A90D52">
      <w:pPr>
        <w:pStyle w:val="ListParagraph"/>
        <w:widowControl w:val="0"/>
        <w:numPr>
          <w:ilvl w:val="0"/>
          <w:numId w:val="47"/>
        </w:numPr>
        <w:tabs>
          <w:tab w:val="left" w:pos="1200"/>
          <w:tab w:val="left" w:pos="1555"/>
          <w:tab w:val="left" w:pos="1915"/>
          <w:tab w:val="left" w:pos="2275"/>
          <w:tab w:val="left" w:pos="2635"/>
          <w:tab w:val="left" w:pos="2995"/>
          <w:tab w:val="left" w:pos="7675"/>
        </w:tabs>
        <w:autoSpaceDE w:val="0"/>
        <w:autoSpaceDN w:val="0"/>
        <w:adjustRightInd w:val="0"/>
        <w:spacing w:line="279" w:lineRule="exact"/>
        <w:contextualSpacing/>
        <w:rPr>
          <w:szCs w:val="22"/>
        </w:rPr>
      </w:pPr>
      <w:r w:rsidRPr="000E66F4">
        <w:rPr>
          <w:b/>
          <w:szCs w:val="22"/>
        </w:rPr>
        <w:t xml:space="preserve">430.217: </w:t>
      </w:r>
      <w:r>
        <w:rPr>
          <w:b/>
          <w:szCs w:val="22"/>
        </w:rPr>
        <w:t xml:space="preserve">Requirements for </w:t>
      </w:r>
      <w:r w:rsidRPr="000E66F4">
        <w:rPr>
          <w:b/>
          <w:szCs w:val="22"/>
        </w:rPr>
        <w:t>Tents.</w:t>
      </w:r>
      <w:r w:rsidR="009F3CC6">
        <w:rPr>
          <w:b/>
          <w:szCs w:val="22"/>
        </w:rPr>
        <w:t xml:space="preserve"> </w:t>
      </w:r>
      <w:r>
        <w:rPr>
          <w:szCs w:val="22"/>
        </w:rPr>
        <w:t xml:space="preserve"> This section was revised</w:t>
      </w:r>
      <w:r w:rsidRPr="00836D6F">
        <w:rPr>
          <w:szCs w:val="22"/>
        </w:rPr>
        <w:t xml:space="preserve"> to allow the use of temporary, transportable tents clearly identified by the manufacturer as constructed of fire resistant material (versus fire</w:t>
      </w:r>
      <w:r w:rsidRPr="00836D6F">
        <w:rPr>
          <w:szCs w:val="22"/>
        </w:rPr>
        <w:noBreakHyphen/>
        <w:t>retardant).</w:t>
      </w:r>
    </w:p>
    <w:p w:rsidR="00E660B9" w:rsidRPr="00E660B9" w:rsidRDefault="00E660B9" w:rsidP="00A90D52">
      <w:pPr>
        <w:pStyle w:val="ListParagraph"/>
        <w:widowControl w:val="0"/>
        <w:numPr>
          <w:ilvl w:val="0"/>
          <w:numId w:val="47"/>
        </w:numPr>
        <w:tabs>
          <w:tab w:val="left" w:pos="1200"/>
          <w:tab w:val="left" w:pos="1555"/>
          <w:tab w:val="left" w:pos="1915"/>
          <w:tab w:val="left" w:pos="2275"/>
          <w:tab w:val="left" w:pos="2635"/>
          <w:tab w:val="left" w:pos="2995"/>
          <w:tab w:val="left" w:pos="7675"/>
        </w:tabs>
        <w:autoSpaceDE w:val="0"/>
        <w:autoSpaceDN w:val="0"/>
        <w:adjustRightInd w:val="0"/>
        <w:spacing w:line="279" w:lineRule="exact"/>
        <w:contextualSpacing/>
        <w:rPr>
          <w:b/>
          <w:szCs w:val="22"/>
        </w:rPr>
      </w:pPr>
      <w:r w:rsidRPr="00E660B9">
        <w:rPr>
          <w:b/>
          <w:szCs w:val="22"/>
        </w:rPr>
        <w:t>430.251: Transportation Safety.</w:t>
      </w:r>
      <w:r w:rsidR="009F3CC6">
        <w:rPr>
          <w:b/>
          <w:szCs w:val="22"/>
        </w:rPr>
        <w:t xml:space="preserve"> </w:t>
      </w:r>
      <w:r>
        <w:rPr>
          <w:b/>
          <w:szCs w:val="22"/>
        </w:rPr>
        <w:t xml:space="preserve"> </w:t>
      </w:r>
      <w:r w:rsidR="00351D07">
        <w:rPr>
          <w:rFonts w:eastAsiaTheme="minorEastAsia"/>
        </w:rPr>
        <w:t>A n</w:t>
      </w:r>
      <w:r>
        <w:rPr>
          <w:rFonts w:eastAsiaTheme="minorEastAsia"/>
        </w:rPr>
        <w:t xml:space="preserve">ew section </w:t>
      </w:r>
      <w:r w:rsidR="00351D07">
        <w:rPr>
          <w:rFonts w:eastAsiaTheme="minorEastAsia"/>
        </w:rPr>
        <w:t xml:space="preserve">was </w:t>
      </w:r>
      <w:r>
        <w:rPr>
          <w:rFonts w:eastAsiaTheme="minorEastAsia"/>
        </w:rPr>
        <w:t>added requiring a</w:t>
      </w:r>
      <w:r w:rsidRPr="00326636">
        <w:rPr>
          <w:rFonts w:eastAsiaTheme="minorEastAsia"/>
        </w:rPr>
        <w:t xml:space="preserve"> minimum of at least one staff person </w:t>
      </w:r>
      <w:r>
        <w:rPr>
          <w:rFonts w:eastAsiaTheme="minorEastAsia"/>
        </w:rPr>
        <w:t>to</w:t>
      </w:r>
      <w:r w:rsidRPr="00326636">
        <w:rPr>
          <w:rFonts w:eastAsiaTheme="minorEastAsia"/>
        </w:rPr>
        <w:t xml:space="preserve"> accompany and monitor campers during any bus or van transport either from the morning pickup to the camp or </w:t>
      </w:r>
      <w:r w:rsidR="00351D07">
        <w:rPr>
          <w:rFonts w:eastAsiaTheme="minorEastAsia"/>
        </w:rPr>
        <w:t xml:space="preserve">the </w:t>
      </w:r>
      <w:r w:rsidRPr="00326636">
        <w:rPr>
          <w:rFonts w:eastAsiaTheme="minorEastAsia"/>
        </w:rPr>
        <w:t>afternoon return trip for off-site drop-</w:t>
      </w:r>
      <w:r>
        <w:rPr>
          <w:rFonts w:eastAsiaTheme="minorEastAsia"/>
        </w:rPr>
        <w:t>off.</w:t>
      </w:r>
    </w:p>
    <w:p w:rsidR="002B130F" w:rsidRDefault="002B130F" w:rsidP="00A90D52">
      <w:pPr>
        <w:numPr>
          <w:ilvl w:val="0"/>
          <w:numId w:val="47"/>
        </w:numPr>
      </w:pPr>
      <w:r w:rsidRPr="00836D6F">
        <w:rPr>
          <w:b/>
        </w:rPr>
        <w:t>430.430: Swimming Pools.</w:t>
      </w:r>
      <w:r w:rsidRPr="00836D6F">
        <w:t xml:space="preserve">  Requirements for swimming pools were updated to include references to the pool fence law, 780 CMR</w:t>
      </w:r>
      <w:r w:rsidR="005C1949">
        <w:t xml:space="preserve"> (MA State Building Code)</w:t>
      </w:r>
      <w:r w:rsidRPr="00836D6F">
        <w:t xml:space="preserve"> and </w:t>
      </w:r>
      <w:r w:rsidR="00351D07">
        <w:t xml:space="preserve">the </w:t>
      </w:r>
      <w:r w:rsidRPr="00836D6F">
        <w:t>federal law regarding anti-entrapment devices for swimming pools</w:t>
      </w:r>
      <w:r w:rsidR="00A90D52">
        <w:t xml:space="preserve"> (</w:t>
      </w:r>
      <w:r w:rsidR="001405EE">
        <w:t xml:space="preserve">Virginia Graeme Baker </w:t>
      </w:r>
      <w:r w:rsidR="00A90D52">
        <w:t>Act)</w:t>
      </w:r>
      <w:r w:rsidRPr="00836D6F">
        <w:t>.</w:t>
      </w:r>
      <w:r w:rsidR="005C1949">
        <w:t xml:space="preserve"> </w:t>
      </w:r>
      <w:r w:rsidRPr="00836D6F">
        <w:t xml:space="preserve">Also, a requirement regarding the assessment of swimming ability and confinement to areas consistent with swimming ability was </w:t>
      </w:r>
      <w:r w:rsidR="0087280D">
        <w:t>added</w:t>
      </w:r>
      <w:r w:rsidRPr="00836D6F">
        <w:t xml:space="preserve"> for pools (Christian’s Law only applies to bathing beaches).</w:t>
      </w:r>
    </w:p>
    <w:p w:rsidR="000E66F4" w:rsidRPr="000E66F4" w:rsidRDefault="000E66F4" w:rsidP="00A90D52">
      <w:pPr>
        <w:pStyle w:val="ListParagraph"/>
        <w:widowControl w:val="0"/>
        <w:numPr>
          <w:ilvl w:val="0"/>
          <w:numId w:val="47"/>
        </w:numPr>
        <w:tabs>
          <w:tab w:val="left" w:pos="1200"/>
          <w:tab w:val="left" w:pos="1555"/>
          <w:tab w:val="left" w:pos="1915"/>
          <w:tab w:val="left" w:pos="2275"/>
          <w:tab w:val="left" w:pos="2635"/>
          <w:tab w:val="left" w:pos="2995"/>
          <w:tab w:val="left" w:pos="7675"/>
        </w:tabs>
        <w:autoSpaceDE w:val="0"/>
        <w:autoSpaceDN w:val="0"/>
        <w:adjustRightInd w:val="0"/>
        <w:spacing w:line="279" w:lineRule="exact"/>
        <w:contextualSpacing/>
        <w:rPr>
          <w:szCs w:val="22"/>
        </w:rPr>
      </w:pPr>
      <w:r w:rsidRPr="000E66F4">
        <w:rPr>
          <w:b/>
          <w:szCs w:val="22"/>
        </w:rPr>
        <w:t>430.454: Structural and Interior</w:t>
      </w:r>
      <w:r>
        <w:rPr>
          <w:b/>
          <w:szCs w:val="22"/>
        </w:rPr>
        <w:t xml:space="preserve"> </w:t>
      </w:r>
      <w:r w:rsidRPr="000E66F4">
        <w:rPr>
          <w:b/>
          <w:szCs w:val="22"/>
        </w:rPr>
        <w:t>Maintenance</w:t>
      </w:r>
      <w:r>
        <w:rPr>
          <w:b/>
          <w:szCs w:val="22"/>
        </w:rPr>
        <w:t>.</w:t>
      </w:r>
      <w:r w:rsidRPr="00836D6F">
        <w:rPr>
          <w:szCs w:val="22"/>
        </w:rPr>
        <w:t xml:space="preserve"> </w:t>
      </w:r>
      <w:r w:rsidR="00351D07">
        <w:rPr>
          <w:szCs w:val="22"/>
        </w:rPr>
        <w:t>This section was</w:t>
      </w:r>
      <w:r w:rsidRPr="00836D6F">
        <w:rPr>
          <w:szCs w:val="22"/>
        </w:rPr>
        <w:t xml:space="preserve"> </w:t>
      </w:r>
      <w:r w:rsidR="00100946">
        <w:rPr>
          <w:szCs w:val="22"/>
        </w:rPr>
        <w:t xml:space="preserve">a </w:t>
      </w:r>
      <w:r w:rsidRPr="00836D6F">
        <w:rPr>
          <w:szCs w:val="22"/>
        </w:rPr>
        <w:t xml:space="preserve">revised section requiring </w:t>
      </w:r>
      <w:r>
        <w:rPr>
          <w:szCs w:val="22"/>
        </w:rPr>
        <w:t xml:space="preserve">all </w:t>
      </w:r>
      <w:r w:rsidRPr="00836D6F">
        <w:rPr>
          <w:szCs w:val="22"/>
        </w:rPr>
        <w:t xml:space="preserve">camp </w:t>
      </w:r>
      <w:r>
        <w:rPr>
          <w:szCs w:val="22"/>
        </w:rPr>
        <w:t xml:space="preserve">facilities </w:t>
      </w:r>
      <w:r w:rsidRPr="00836D6F">
        <w:rPr>
          <w:bCs/>
          <w:szCs w:val="22"/>
        </w:rPr>
        <w:t xml:space="preserve">be maintained in good repair, fit for the use intended, and in </w:t>
      </w:r>
      <w:r w:rsidRPr="00836D6F">
        <w:rPr>
          <w:szCs w:val="22"/>
        </w:rPr>
        <w:t>compliance with 780 CMR</w:t>
      </w:r>
      <w:r w:rsidR="001405EE">
        <w:rPr>
          <w:szCs w:val="22"/>
        </w:rPr>
        <w:t xml:space="preserve"> (MA State Building Code)</w:t>
      </w:r>
      <w:r>
        <w:rPr>
          <w:szCs w:val="22"/>
        </w:rPr>
        <w:t>.</w:t>
      </w:r>
    </w:p>
    <w:p w:rsidR="00A466EA" w:rsidRPr="00EE79CB" w:rsidRDefault="002B130F" w:rsidP="00A90D52">
      <w:pPr>
        <w:numPr>
          <w:ilvl w:val="0"/>
          <w:numId w:val="47"/>
        </w:numPr>
      </w:pPr>
      <w:r w:rsidRPr="00F25B8B">
        <w:rPr>
          <w:b/>
        </w:rPr>
        <w:t>430.800: Board of Health May Grant Variance.</w:t>
      </w:r>
      <w:r w:rsidRPr="00836D6F">
        <w:t xml:space="preserve">  This section was </w:t>
      </w:r>
      <w:r w:rsidR="00351D07">
        <w:t>amended</w:t>
      </w:r>
      <w:r w:rsidRPr="00836D6F">
        <w:t xml:space="preserve"> to be consistent with the variance sections contained in other </w:t>
      </w:r>
      <w:r w:rsidR="00351D07">
        <w:t xml:space="preserve">state </w:t>
      </w:r>
      <w:r w:rsidRPr="00836D6F">
        <w:t xml:space="preserve">sanitary code regulations.  </w:t>
      </w:r>
      <w:r w:rsidR="00F57005" w:rsidRPr="00F25B8B">
        <w:rPr>
          <w:rFonts w:ascii="Tahoma" w:hAnsi="Tahoma" w:cs="Tahoma"/>
          <w:sz w:val="18"/>
          <w:szCs w:val="18"/>
          <w:u w:val="single"/>
          <w:lang w:val="en"/>
        </w:rPr>
        <w:t>__</w:t>
      </w:r>
      <w:r w:rsidR="00A466EA" w:rsidRPr="00F25B8B">
        <w:rPr>
          <w:rFonts w:ascii="Tahoma" w:hAnsi="Tahoma" w:cs="Tahoma"/>
          <w:sz w:val="18"/>
          <w:szCs w:val="18"/>
          <w:u w:val="single"/>
          <w:lang w:val="en"/>
        </w:rPr>
        <w:t>____________________</w:t>
      </w:r>
      <w:r w:rsidR="00A466EA" w:rsidRPr="00F25B8B">
        <w:rPr>
          <w:rFonts w:ascii="Tahoma" w:hAnsi="Tahoma" w:cs="Tahoma"/>
          <w:sz w:val="12"/>
          <w:szCs w:val="18"/>
          <w:u w:val="single"/>
          <w:lang w:val="en"/>
        </w:rPr>
        <w:t>_</w:t>
      </w:r>
      <w:r w:rsidR="00A466EA" w:rsidRPr="00F25B8B">
        <w:rPr>
          <w:rFonts w:ascii="Tahoma" w:hAnsi="Tahoma" w:cs="Tahoma"/>
          <w:sz w:val="18"/>
          <w:szCs w:val="18"/>
          <w:u w:val="single"/>
          <w:lang w:val="en"/>
        </w:rPr>
        <w:t>________________________</w:t>
      </w:r>
      <w:r w:rsidR="00A466EA" w:rsidRPr="00F25B8B">
        <w:rPr>
          <w:rFonts w:ascii="Tahoma" w:hAnsi="Tahoma" w:cs="Tahoma"/>
          <w:sz w:val="8"/>
          <w:szCs w:val="8"/>
          <w:u w:val="single"/>
          <w:lang w:val="en"/>
        </w:rPr>
        <w:t>_</w:t>
      </w:r>
      <w:r w:rsidR="00A466EA" w:rsidRPr="00F25B8B">
        <w:rPr>
          <w:rFonts w:ascii="Tahoma" w:hAnsi="Tahoma" w:cs="Tahoma"/>
          <w:sz w:val="18"/>
          <w:szCs w:val="18"/>
          <w:u w:val="single"/>
          <w:lang w:val="en"/>
        </w:rPr>
        <w:t>__</w:t>
      </w:r>
      <w:r w:rsidR="00A90D52">
        <w:rPr>
          <w:rFonts w:ascii="Tahoma" w:hAnsi="Tahoma" w:cs="Tahoma"/>
          <w:sz w:val="18"/>
          <w:szCs w:val="18"/>
          <w:u w:val="single"/>
          <w:lang w:val="en"/>
        </w:rPr>
        <w:t>_______</w:t>
      </w:r>
      <w:r w:rsidR="00A466EA" w:rsidRPr="00F25B8B">
        <w:rPr>
          <w:rFonts w:ascii="Tahoma" w:hAnsi="Tahoma" w:cs="Tahoma"/>
          <w:sz w:val="18"/>
          <w:szCs w:val="18"/>
          <w:u w:val="single"/>
          <w:lang w:val="en"/>
        </w:rPr>
        <w:t>_______________________________________________</w:t>
      </w:r>
    </w:p>
    <w:p w:rsidR="00B450D7" w:rsidRPr="00A466EA" w:rsidRDefault="00980C2C" w:rsidP="00CF5287">
      <w:pPr>
        <w:ind w:left="90"/>
        <w:jc w:val="center"/>
        <w:rPr>
          <w:rFonts w:ascii="Arial Narrow" w:hAnsi="Arial Narrow"/>
          <w:sz w:val="18"/>
          <w:szCs w:val="18"/>
          <w:lang w:val="en"/>
        </w:rPr>
      </w:pPr>
      <w:r w:rsidRPr="00A466EA">
        <w:rPr>
          <w:rFonts w:ascii="Tahoma" w:hAnsi="Tahoma" w:cs="Tahoma"/>
          <w:sz w:val="18"/>
          <w:szCs w:val="18"/>
          <w:lang w:val="en"/>
        </w:rPr>
        <w:t>For more information please visit the MDPH – Community Sanitation Program website</w:t>
      </w:r>
      <w:r w:rsidRPr="00A466EA">
        <w:rPr>
          <w:rFonts w:ascii="Tahoma" w:hAnsi="Tahoma" w:cs="Tahoma"/>
          <w:color w:val="993300"/>
          <w:sz w:val="18"/>
          <w:szCs w:val="18"/>
          <w:lang w:val="en"/>
        </w:rPr>
        <w:t xml:space="preserve"> </w:t>
      </w:r>
      <w:r w:rsidRPr="00A466EA">
        <w:rPr>
          <w:rFonts w:ascii="Tahoma" w:hAnsi="Tahoma" w:cs="Tahoma"/>
          <w:b/>
          <w:color w:val="000000"/>
          <w:sz w:val="18"/>
          <w:szCs w:val="18"/>
        </w:rPr>
        <w:t xml:space="preserve">www.mass.gov/dph/dcs </w:t>
      </w:r>
      <w:r w:rsidRPr="00A466EA">
        <w:rPr>
          <w:rFonts w:ascii="Tahoma" w:hAnsi="Tahoma" w:cs="Tahoma"/>
          <w:sz w:val="18"/>
          <w:szCs w:val="18"/>
          <w:lang w:val="en"/>
        </w:rPr>
        <w:t>or</w:t>
      </w:r>
      <w:r w:rsidR="000422E0">
        <w:rPr>
          <w:rFonts w:ascii="Tahoma" w:hAnsi="Tahoma" w:cs="Tahoma"/>
          <w:sz w:val="18"/>
          <w:szCs w:val="18"/>
          <w:lang w:val="en"/>
        </w:rPr>
        <w:br/>
      </w:r>
      <w:r w:rsidRPr="00A466EA">
        <w:rPr>
          <w:rFonts w:ascii="Tahoma" w:hAnsi="Tahoma" w:cs="Tahoma"/>
          <w:sz w:val="18"/>
          <w:szCs w:val="18"/>
          <w:lang w:val="en"/>
        </w:rPr>
        <w:t xml:space="preserve"> contact the Massachusetts Department of Public Health, Bureau of Environmental Health at </w:t>
      </w:r>
      <w:r w:rsidRPr="00A466EA">
        <w:rPr>
          <w:rFonts w:ascii="Tahoma" w:hAnsi="Tahoma" w:cs="Tahoma"/>
          <w:b/>
          <w:sz w:val="18"/>
          <w:szCs w:val="18"/>
          <w:lang w:val="en"/>
        </w:rPr>
        <w:t>617-624-5757</w:t>
      </w:r>
      <w:r w:rsidRPr="00A466EA">
        <w:rPr>
          <w:rFonts w:ascii="Tahoma" w:hAnsi="Tahoma" w:cs="Tahoma"/>
          <w:sz w:val="18"/>
          <w:szCs w:val="18"/>
          <w:lang w:val="en"/>
        </w:rPr>
        <w:t>.</w:t>
      </w:r>
    </w:p>
    <w:sectPr w:rsidR="00B450D7" w:rsidRPr="00A466EA" w:rsidSect="00A32F9C">
      <w:headerReference w:type="default" r:id="rId11"/>
      <w:pgSz w:w="12240" w:h="15840" w:code="1"/>
      <w:pgMar w:top="245" w:right="288" w:bottom="245" w:left="504"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93" w:rsidRDefault="00252F93">
      <w:r>
        <w:separator/>
      </w:r>
    </w:p>
  </w:endnote>
  <w:endnote w:type="continuationSeparator" w:id="0">
    <w:p w:rsidR="00252F93" w:rsidRDefault="0025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93" w:rsidRDefault="00252F93">
      <w:r>
        <w:separator/>
      </w:r>
    </w:p>
  </w:footnote>
  <w:footnote w:type="continuationSeparator" w:id="0">
    <w:p w:rsidR="00252F93" w:rsidRDefault="00252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9C" w:rsidRPr="00A32F9C" w:rsidRDefault="00A32F9C">
    <w:pPr>
      <w:pStyle w:val="Header"/>
      <w:rPr>
        <w:b/>
        <w:color w:val="FF0000"/>
        <w:sz w:val="8"/>
        <w:szCs w:val="8"/>
      </w:rPr>
    </w:pPr>
  </w:p>
  <w:p w:rsidR="00F25B8B" w:rsidRPr="00A32F9C" w:rsidRDefault="00F25B8B">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1.25pt;height:100.5pt" o:bullet="t">
        <v:imagedata r:id="rId1" o:title="art50FB"/>
      </v:shape>
    </w:pict>
  </w:numPicBullet>
  <w:abstractNum w:abstractNumId="0">
    <w:nsid w:val="00560E79"/>
    <w:multiLevelType w:val="hybridMultilevel"/>
    <w:tmpl w:val="E2C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6628D"/>
    <w:multiLevelType w:val="hybridMultilevel"/>
    <w:tmpl w:val="248C70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60AA0"/>
    <w:multiLevelType w:val="hybridMultilevel"/>
    <w:tmpl w:val="21B6C366"/>
    <w:lvl w:ilvl="0" w:tplc="945C2E00">
      <w:start w:val="1"/>
      <w:numFmt w:val="upperLetter"/>
      <w:lvlText w:val="%1."/>
      <w:lvlJc w:val="left"/>
      <w:pPr>
        <w:ind w:left="450" w:hanging="360"/>
      </w:pPr>
      <w:rPr>
        <w:rFonts w:cs="Times New Roman" w:hint="default"/>
        <w:b/>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nsid w:val="067E3485"/>
    <w:multiLevelType w:val="hybridMultilevel"/>
    <w:tmpl w:val="A6209136"/>
    <w:lvl w:ilvl="0" w:tplc="8E9A359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27E32"/>
    <w:multiLevelType w:val="hybridMultilevel"/>
    <w:tmpl w:val="F3FE0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56BC5"/>
    <w:multiLevelType w:val="hybridMultilevel"/>
    <w:tmpl w:val="758E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874B1"/>
    <w:multiLevelType w:val="hybridMultilevel"/>
    <w:tmpl w:val="34889672"/>
    <w:lvl w:ilvl="0" w:tplc="2318D302">
      <w:start w:val="1"/>
      <w:numFmt w:val="upperLetter"/>
      <w:lvlText w:val="(%1)"/>
      <w:lvlJc w:val="left"/>
      <w:pPr>
        <w:tabs>
          <w:tab w:val="num" w:pos="1080"/>
        </w:tabs>
        <w:ind w:left="1080" w:hanging="360"/>
      </w:pPr>
      <w:rPr>
        <w:rFonts w:hint="default"/>
      </w:rPr>
    </w:lvl>
    <w:lvl w:ilvl="1" w:tplc="814266E6">
      <w:start w:val="1"/>
      <w:numFmt w:val="decimal"/>
      <w:lvlText w:val="(%2)"/>
      <w:lvlJc w:val="left"/>
      <w:pPr>
        <w:tabs>
          <w:tab w:val="num" w:pos="1800"/>
        </w:tabs>
        <w:ind w:left="1800" w:hanging="360"/>
      </w:pPr>
      <w:rPr>
        <w:rFonts w:hint="default"/>
      </w:rPr>
    </w:lvl>
    <w:lvl w:ilvl="2" w:tplc="6B621EE0">
      <w:start w:val="1"/>
      <w:numFmt w:val="lowerLetter"/>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12386D"/>
    <w:multiLevelType w:val="hybridMultilevel"/>
    <w:tmpl w:val="55AC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C5DA4"/>
    <w:multiLevelType w:val="hybridMultilevel"/>
    <w:tmpl w:val="4B709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152CD"/>
    <w:multiLevelType w:val="hybridMultilevel"/>
    <w:tmpl w:val="CFC07EE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1BBF16B3"/>
    <w:multiLevelType w:val="hybridMultilevel"/>
    <w:tmpl w:val="5AA26A64"/>
    <w:lvl w:ilvl="0" w:tplc="9CA84F98">
      <w:start w:val="1"/>
      <w:numFmt w:val="bullet"/>
      <w:lvlText w:val=""/>
      <w:lvlJc w:val="left"/>
      <w:pPr>
        <w:tabs>
          <w:tab w:val="num" w:pos="720"/>
        </w:tabs>
        <w:ind w:left="720" w:hanging="360"/>
      </w:pPr>
      <w:rPr>
        <w:rFonts w:ascii="Symbol" w:hAnsi="Symbol" w:hint="default"/>
        <w:strike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D87B62"/>
    <w:multiLevelType w:val="multilevel"/>
    <w:tmpl w:val="64184D18"/>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nsid w:val="245E5D18"/>
    <w:multiLevelType w:val="hybridMultilevel"/>
    <w:tmpl w:val="63E0F2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5A01B5B"/>
    <w:multiLevelType w:val="hybridMultilevel"/>
    <w:tmpl w:val="64184D1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26FA798E"/>
    <w:multiLevelType w:val="hybridMultilevel"/>
    <w:tmpl w:val="AE5E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519A8"/>
    <w:multiLevelType w:val="hybridMultilevel"/>
    <w:tmpl w:val="8EB07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24969"/>
    <w:multiLevelType w:val="hybridMultilevel"/>
    <w:tmpl w:val="227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F75662"/>
    <w:multiLevelType w:val="hybridMultilevel"/>
    <w:tmpl w:val="868AC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0C0079"/>
    <w:multiLevelType w:val="hybridMultilevel"/>
    <w:tmpl w:val="A348AC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9A79A2"/>
    <w:multiLevelType w:val="hybridMultilevel"/>
    <w:tmpl w:val="01FC925A"/>
    <w:lvl w:ilvl="0" w:tplc="8E9A359A">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52C11CE"/>
    <w:multiLevelType w:val="hybridMultilevel"/>
    <w:tmpl w:val="59128E10"/>
    <w:lvl w:ilvl="0" w:tplc="8952B804">
      <w:start w:val="1"/>
      <w:numFmt w:val="bullet"/>
      <w:lvlText w:val=""/>
      <w:lvlPicBulletId w:val="0"/>
      <w:lvlJc w:val="left"/>
      <w:pPr>
        <w:tabs>
          <w:tab w:val="num" w:pos="720"/>
        </w:tabs>
        <w:ind w:left="720" w:hanging="360"/>
      </w:pPr>
      <w:rPr>
        <w:rFonts w:ascii="Symbol" w:hAnsi="Symbol" w:hint="default"/>
      </w:rPr>
    </w:lvl>
    <w:lvl w:ilvl="1" w:tplc="17BE4932">
      <w:start w:val="1"/>
      <w:numFmt w:val="bullet"/>
      <w:lvlText w:val=""/>
      <w:lvlPicBulletId w:val="0"/>
      <w:lvlJc w:val="left"/>
      <w:pPr>
        <w:tabs>
          <w:tab w:val="num" w:pos="1440"/>
        </w:tabs>
        <w:ind w:left="1440" w:hanging="360"/>
      </w:pPr>
      <w:rPr>
        <w:rFonts w:ascii="Symbol" w:hAnsi="Symbol" w:hint="default"/>
      </w:rPr>
    </w:lvl>
    <w:lvl w:ilvl="2" w:tplc="61A42C9C" w:tentative="1">
      <w:start w:val="1"/>
      <w:numFmt w:val="bullet"/>
      <w:lvlText w:val=""/>
      <w:lvlPicBulletId w:val="0"/>
      <w:lvlJc w:val="left"/>
      <w:pPr>
        <w:tabs>
          <w:tab w:val="num" w:pos="2160"/>
        </w:tabs>
        <w:ind w:left="2160" w:hanging="360"/>
      </w:pPr>
      <w:rPr>
        <w:rFonts w:ascii="Symbol" w:hAnsi="Symbol" w:hint="default"/>
      </w:rPr>
    </w:lvl>
    <w:lvl w:ilvl="3" w:tplc="A1689B74" w:tentative="1">
      <w:start w:val="1"/>
      <w:numFmt w:val="bullet"/>
      <w:lvlText w:val=""/>
      <w:lvlPicBulletId w:val="0"/>
      <w:lvlJc w:val="left"/>
      <w:pPr>
        <w:tabs>
          <w:tab w:val="num" w:pos="2880"/>
        </w:tabs>
        <w:ind w:left="2880" w:hanging="360"/>
      </w:pPr>
      <w:rPr>
        <w:rFonts w:ascii="Symbol" w:hAnsi="Symbol" w:hint="default"/>
      </w:rPr>
    </w:lvl>
    <w:lvl w:ilvl="4" w:tplc="3AF2D3C4" w:tentative="1">
      <w:start w:val="1"/>
      <w:numFmt w:val="bullet"/>
      <w:lvlText w:val=""/>
      <w:lvlPicBulletId w:val="0"/>
      <w:lvlJc w:val="left"/>
      <w:pPr>
        <w:tabs>
          <w:tab w:val="num" w:pos="3600"/>
        </w:tabs>
        <w:ind w:left="3600" w:hanging="360"/>
      </w:pPr>
      <w:rPr>
        <w:rFonts w:ascii="Symbol" w:hAnsi="Symbol" w:hint="default"/>
      </w:rPr>
    </w:lvl>
    <w:lvl w:ilvl="5" w:tplc="B3F8D10C" w:tentative="1">
      <w:start w:val="1"/>
      <w:numFmt w:val="bullet"/>
      <w:lvlText w:val=""/>
      <w:lvlPicBulletId w:val="0"/>
      <w:lvlJc w:val="left"/>
      <w:pPr>
        <w:tabs>
          <w:tab w:val="num" w:pos="4320"/>
        </w:tabs>
        <w:ind w:left="4320" w:hanging="360"/>
      </w:pPr>
      <w:rPr>
        <w:rFonts w:ascii="Symbol" w:hAnsi="Symbol" w:hint="default"/>
      </w:rPr>
    </w:lvl>
    <w:lvl w:ilvl="6" w:tplc="788037A2" w:tentative="1">
      <w:start w:val="1"/>
      <w:numFmt w:val="bullet"/>
      <w:lvlText w:val=""/>
      <w:lvlPicBulletId w:val="0"/>
      <w:lvlJc w:val="left"/>
      <w:pPr>
        <w:tabs>
          <w:tab w:val="num" w:pos="5040"/>
        </w:tabs>
        <w:ind w:left="5040" w:hanging="360"/>
      </w:pPr>
      <w:rPr>
        <w:rFonts w:ascii="Symbol" w:hAnsi="Symbol" w:hint="default"/>
      </w:rPr>
    </w:lvl>
    <w:lvl w:ilvl="7" w:tplc="C2D4B316" w:tentative="1">
      <w:start w:val="1"/>
      <w:numFmt w:val="bullet"/>
      <w:lvlText w:val=""/>
      <w:lvlPicBulletId w:val="0"/>
      <w:lvlJc w:val="left"/>
      <w:pPr>
        <w:tabs>
          <w:tab w:val="num" w:pos="5760"/>
        </w:tabs>
        <w:ind w:left="5760" w:hanging="360"/>
      </w:pPr>
      <w:rPr>
        <w:rFonts w:ascii="Symbol" w:hAnsi="Symbol" w:hint="default"/>
      </w:rPr>
    </w:lvl>
    <w:lvl w:ilvl="8" w:tplc="F4D8C608"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6C55B35"/>
    <w:multiLevelType w:val="multilevel"/>
    <w:tmpl w:val="A620913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7CD67D1"/>
    <w:multiLevelType w:val="hybridMultilevel"/>
    <w:tmpl w:val="EB8AC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390246A7"/>
    <w:multiLevelType w:val="hybridMultilevel"/>
    <w:tmpl w:val="59C671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B20B1F"/>
    <w:multiLevelType w:val="hybridMultilevel"/>
    <w:tmpl w:val="1466EBC6"/>
    <w:lvl w:ilvl="0" w:tplc="D54A02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5506C6"/>
    <w:multiLevelType w:val="hybridMultilevel"/>
    <w:tmpl w:val="F6DCDF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07E2C89"/>
    <w:multiLevelType w:val="hybridMultilevel"/>
    <w:tmpl w:val="78DAD194"/>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nsid w:val="50FB7955"/>
    <w:multiLevelType w:val="multilevel"/>
    <w:tmpl w:val="D3F847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142079B"/>
    <w:multiLevelType w:val="hybridMultilevel"/>
    <w:tmpl w:val="D2D6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DD5D2B"/>
    <w:multiLevelType w:val="hybridMultilevel"/>
    <w:tmpl w:val="CA62B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991457"/>
    <w:multiLevelType w:val="hybridMultilevel"/>
    <w:tmpl w:val="144C1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955BD6"/>
    <w:multiLevelType w:val="hybridMultilevel"/>
    <w:tmpl w:val="6234D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FB5EDF"/>
    <w:multiLevelType w:val="hybridMultilevel"/>
    <w:tmpl w:val="402086F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
    <w:nsid w:val="5B476D1E"/>
    <w:multiLevelType w:val="hybridMultilevel"/>
    <w:tmpl w:val="E934F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F66036"/>
    <w:multiLevelType w:val="hybridMultilevel"/>
    <w:tmpl w:val="A8B47834"/>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nsid w:val="62D836ED"/>
    <w:multiLevelType w:val="hybridMultilevel"/>
    <w:tmpl w:val="5C5CA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2B064F"/>
    <w:multiLevelType w:val="hybridMultilevel"/>
    <w:tmpl w:val="8534B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264505"/>
    <w:multiLevelType w:val="hybridMultilevel"/>
    <w:tmpl w:val="3EAC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A76BBD"/>
    <w:multiLevelType w:val="hybridMultilevel"/>
    <w:tmpl w:val="ED10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1A2932"/>
    <w:multiLevelType w:val="hybridMultilevel"/>
    <w:tmpl w:val="0888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B35B1"/>
    <w:multiLevelType w:val="hybridMultilevel"/>
    <w:tmpl w:val="14F2C5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2A15D94"/>
    <w:multiLevelType w:val="hybridMultilevel"/>
    <w:tmpl w:val="BDC6E600"/>
    <w:lvl w:ilvl="0" w:tplc="9CA84F98">
      <w:start w:val="1"/>
      <w:numFmt w:val="bullet"/>
      <w:lvlText w:val=""/>
      <w:lvlJc w:val="left"/>
      <w:pPr>
        <w:tabs>
          <w:tab w:val="num" w:pos="720"/>
        </w:tabs>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B0775"/>
    <w:multiLevelType w:val="hybridMultilevel"/>
    <w:tmpl w:val="D3F84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A8287A"/>
    <w:multiLevelType w:val="hybridMultilevel"/>
    <w:tmpl w:val="7EAC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13082A"/>
    <w:multiLevelType w:val="multilevel"/>
    <w:tmpl w:val="5C5CA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6572E2D"/>
    <w:multiLevelType w:val="hybridMultilevel"/>
    <w:tmpl w:val="B13A9812"/>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6">
    <w:nsid w:val="78D84D3E"/>
    <w:multiLevelType w:val="hybridMultilevel"/>
    <w:tmpl w:val="2B90A3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AE45B62"/>
    <w:multiLevelType w:val="hybridMultilevel"/>
    <w:tmpl w:val="D92C137A"/>
    <w:lvl w:ilvl="0" w:tplc="B596D54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8">
    <w:nsid w:val="7F5B1CD3"/>
    <w:multiLevelType w:val="hybridMultilevel"/>
    <w:tmpl w:val="5BF06A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9"/>
  </w:num>
  <w:num w:numId="3">
    <w:abstractNumId w:val="3"/>
  </w:num>
  <w:num w:numId="4">
    <w:abstractNumId w:val="21"/>
  </w:num>
  <w:num w:numId="5">
    <w:abstractNumId w:val="23"/>
  </w:num>
  <w:num w:numId="6">
    <w:abstractNumId w:val="17"/>
  </w:num>
  <w:num w:numId="7">
    <w:abstractNumId w:val="46"/>
  </w:num>
  <w:num w:numId="8">
    <w:abstractNumId w:val="40"/>
  </w:num>
  <w:num w:numId="9">
    <w:abstractNumId w:val="12"/>
  </w:num>
  <w:num w:numId="10">
    <w:abstractNumId w:val="25"/>
  </w:num>
  <w:num w:numId="11">
    <w:abstractNumId w:val="35"/>
  </w:num>
  <w:num w:numId="12">
    <w:abstractNumId w:val="13"/>
  </w:num>
  <w:num w:numId="13">
    <w:abstractNumId w:val="42"/>
  </w:num>
  <w:num w:numId="14">
    <w:abstractNumId w:val="44"/>
  </w:num>
  <w:num w:numId="15">
    <w:abstractNumId w:val="29"/>
  </w:num>
  <w:num w:numId="16">
    <w:abstractNumId w:val="11"/>
  </w:num>
  <w:num w:numId="17">
    <w:abstractNumId w:val="22"/>
  </w:num>
  <w:num w:numId="18">
    <w:abstractNumId w:val="27"/>
  </w:num>
  <w:num w:numId="19">
    <w:abstractNumId w:val="4"/>
  </w:num>
  <w:num w:numId="20">
    <w:abstractNumId w:val="24"/>
  </w:num>
  <w:num w:numId="21">
    <w:abstractNumId w:val="6"/>
  </w:num>
  <w:num w:numId="22">
    <w:abstractNumId w:val="31"/>
  </w:num>
  <w:num w:numId="23">
    <w:abstractNumId w:val="18"/>
  </w:num>
  <w:num w:numId="24">
    <w:abstractNumId w:val="2"/>
  </w:num>
  <w:num w:numId="25">
    <w:abstractNumId w:val="36"/>
  </w:num>
  <w:num w:numId="26">
    <w:abstractNumId w:val="16"/>
  </w:num>
  <w:num w:numId="27">
    <w:abstractNumId w:val="9"/>
  </w:num>
  <w:num w:numId="28">
    <w:abstractNumId w:val="32"/>
  </w:num>
  <w:num w:numId="29">
    <w:abstractNumId w:val="14"/>
  </w:num>
  <w:num w:numId="30">
    <w:abstractNumId w:val="38"/>
  </w:num>
  <w:num w:numId="31">
    <w:abstractNumId w:val="33"/>
  </w:num>
  <w:num w:numId="32">
    <w:abstractNumId w:val="34"/>
  </w:num>
  <w:num w:numId="33">
    <w:abstractNumId w:val="47"/>
  </w:num>
  <w:num w:numId="34">
    <w:abstractNumId w:val="28"/>
  </w:num>
  <w:num w:numId="35">
    <w:abstractNumId w:val="43"/>
  </w:num>
  <w:num w:numId="36">
    <w:abstractNumId w:val="20"/>
  </w:num>
  <w:num w:numId="37">
    <w:abstractNumId w:val="30"/>
  </w:num>
  <w:num w:numId="38">
    <w:abstractNumId w:val="37"/>
  </w:num>
  <w:num w:numId="39">
    <w:abstractNumId w:val="8"/>
  </w:num>
  <w:num w:numId="40">
    <w:abstractNumId w:val="45"/>
  </w:num>
  <w:num w:numId="41">
    <w:abstractNumId w:val="0"/>
  </w:num>
  <w:num w:numId="42">
    <w:abstractNumId w:val="39"/>
  </w:num>
  <w:num w:numId="43">
    <w:abstractNumId w:val="5"/>
  </w:num>
  <w:num w:numId="44">
    <w:abstractNumId w:val="26"/>
  </w:num>
  <w:num w:numId="45">
    <w:abstractNumId w:val="1"/>
  </w:num>
  <w:num w:numId="46">
    <w:abstractNumId w:val="48"/>
  </w:num>
  <w:num w:numId="47">
    <w:abstractNumId w:val="10"/>
  </w:num>
  <w:num w:numId="48">
    <w:abstractNumId w:val="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F6"/>
    <w:rsid w:val="00005A4D"/>
    <w:rsid w:val="000132FD"/>
    <w:rsid w:val="0001449D"/>
    <w:rsid w:val="00016D68"/>
    <w:rsid w:val="00021ABC"/>
    <w:rsid w:val="00023209"/>
    <w:rsid w:val="00023D72"/>
    <w:rsid w:val="00036C5A"/>
    <w:rsid w:val="00040EFC"/>
    <w:rsid w:val="00041EA7"/>
    <w:rsid w:val="000422E0"/>
    <w:rsid w:val="000429F6"/>
    <w:rsid w:val="0004526E"/>
    <w:rsid w:val="00045B71"/>
    <w:rsid w:val="00057FF6"/>
    <w:rsid w:val="00064BEF"/>
    <w:rsid w:val="0006753B"/>
    <w:rsid w:val="000828AE"/>
    <w:rsid w:val="00093B00"/>
    <w:rsid w:val="000978DC"/>
    <w:rsid w:val="000A229E"/>
    <w:rsid w:val="000A297F"/>
    <w:rsid w:val="000A413B"/>
    <w:rsid w:val="000B180C"/>
    <w:rsid w:val="000B6B5D"/>
    <w:rsid w:val="000C47BC"/>
    <w:rsid w:val="000D1622"/>
    <w:rsid w:val="000D2D36"/>
    <w:rsid w:val="000D3A0F"/>
    <w:rsid w:val="000E29C7"/>
    <w:rsid w:val="000E63D5"/>
    <w:rsid w:val="000E66F4"/>
    <w:rsid w:val="000E6A09"/>
    <w:rsid w:val="000F3377"/>
    <w:rsid w:val="001002AA"/>
    <w:rsid w:val="00100946"/>
    <w:rsid w:val="001012D8"/>
    <w:rsid w:val="00101BAB"/>
    <w:rsid w:val="00102201"/>
    <w:rsid w:val="0010367E"/>
    <w:rsid w:val="00104AAF"/>
    <w:rsid w:val="00117051"/>
    <w:rsid w:val="0012186A"/>
    <w:rsid w:val="00124E37"/>
    <w:rsid w:val="00126300"/>
    <w:rsid w:val="001405EE"/>
    <w:rsid w:val="00170C5C"/>
    <w:rsid w:val="00172806"/>
    <w:rsid w:val="00180FC7"/>
    <w:rsid w:val="0019160E"/>
    <w:rsid w:val="00193094"/>
    <w:rsid w:val="00193A3C"/>
    <w:rsid w:val="00194A28"/>
    <w:rsid w:val="001A5698"/>
    <w:rsid w:val="001B4644"/>
    <w:rsid w:val="001C068B"/>
    <w:rsid w:val="001C302A"/>
    <w:rsid w:val="001C4853"/>
    <w:rsid w:val="001C795E"/>
    <w:rsid w:val="001E1E08"/>
    <w:rsid w:val="001E201F"/>
    <w:rsid w:val="001E542B"/>
    <w:rsid w:val="001E5A6A"/>
    <w:rsid w:val="001F534D"/>
    <w:rsid w:val="001F6D9E"/>
    <w:rsid w:val="00200620"/>
    <w:rsid w:val="002006EB"/>
    <w:rsid w:val="00210078"/>
    <w:rsid w:val="002124A0"/>
    <w:rsid w:val="00216BA4"/>
    <w:rsid w:val="00222A3F"/>
    <w:rsid w:val="0022436A"/>
    <w:rsid w:val="002275A2"/>
    <w:rsid w:val="0023691F"/>
    <w:rsid w:val="0023704A"/>
    <w:rsid w:val="00251588"/>
    <w:rsid w:val="00252F93"/>
    <w:rsid w:val="00261F9F"/>
    <w:rsid w:val="00276CC3"/>
    <w:rsid w:val="00281534"/>
    <w:rsid w:val="00282D94"/>
    <w:rsid w:val="00290655"/>
    <w:rsid w:val="0029075B"/>
    <w:rsid w:val="00294F27"/>
    <w:rsid w:val="002A1BEF"/>
    <w:rsid w:val="002A6894"/>
    <w:rsid w:val="002B130F"/>
    <w:rsid w:val="002B2059"/>
    <w:rsid w:val="002B3208"/>
    <w:rsid w:val="002C7F2E"/>
    <w:rsid w:val="002D22B5"/>
    <w:rsid w:val="002E346A"/>
    <w:rsid w:val="002E603B"/>
    <w:rsid w:val="002F303A"/>
    <w:rsid w:val="00301A33"/>
    <w:rsid w:val="00315BC4"/>
    <w:rsid w:val="0031615E"/>
    <w:rsid w:val="003163AE"/>
    <w:rsid w:val="00321AE5"/>
    <w:rsid w:val="00330FC9"/>
    <w:rsid w:val="00332001"/>
    <w:rsid w:val="00337384"/>
    <w:rsid w:val="00345576"/>
    <w:rsid w:val="00345DB2"/>
    <w:rsid w:val="003466F3"/>
    <w:rsid w:val="00351D07"/>
    <w:rsid w:val="003659D1"/>
    <w:rsid w:val="00371181"/>
    <w:rsid w:val="003735AA"/>
    <w:rsid w:val="00373B3B"/>
    <w:rsid w:val="00381404"/>
    <w:rsid w:val="003900C4"/>
    <w:rsid w:val="003A13F8"/>
    <w:rsid w:val="003A34AD"/>
    <w:rsid w:val="003A3B01"/>
    <w:rsid w:val="003A4590"/>
    <w:rsid w:val="003B13B8"/>
    <w:rsid w:val="003B36E9"/>
    <w:rsid w:val="003B3AEE"/>
    <w:rsid w:val="003C16C0"/>
    <w:rsid w:val="003C1F7F"/>
    <w:rsid w:val="003C6C07"/>
    <w:rsid w:val="003D357B"/>
    <w:rsid w:val="003E5B9E"/>
    <w:rsid w:val="003F1ED8"/>
    <w:rsid w:val="003F2DD3"/>
    <w:rsid w:val="00401C52"/>
    <w:rsid w:val="004052C4"/>
    <w:rsid w:val="00413CB0"/>
    <w:rsid w:val="004147E0"/>
    <w:rsid w:val="00416A36"/>
    <w:rsid w:val="0042444E"/>
    <w:rsid w:val="004305C8"/>
    <w:rsid w:val="004309F6"/>
    <w:rsid w:val="00433CB4"/>
    <w:rsid w:val="00440E5F"/>
    <w:rsid w:val="00446B17"/>
    <w:rsid w:val="00461D23"/>
    <w:rsid w:val="00464E42"/>
    <w:rsid w:val="0046512F"/>
    <w:rsid w:val="00465DE0"/>
    <w:rsid w:val="00476573"/>
    <w:rsid w:val="00480D40"/>
    <w:rsid w:val="00481313"/>
    <w:rsid w:val="00481B4A"/>
    <w:rsid w:val="00483CA2"/>
    <w:rsid w:val="00483FE3"/>
    <w:rsid w:val="00485FA6"/>
    <w:rsid w:val="004864A6"/>
    <w:rsid w:val="00492DAA"/>
    <w:rsid w:val="004A072F"/>
    <w:rsid w:val="004A4749"/>
    <w:rsid w:val="004A7615"/>
    <w:rsid w:val="004B09D9"/>
    <w:rsid w:val="004B7658"/>
    <w:rsid w:val="004B7E90"/>
    <w:rsid w:val="004C1F8F"/>
    <w:rsid w:val="004C3C03"/>
    <w:rsid w:val="004D667F"/>
    <w:rsid w:val="004E6E9A"/>
    <w:rsid w:val="004E7229"/>
    <w:rsid w:val="004F3431"/>
    <w:rsid w:val="005010F3"/>
    <w:rsid w:val="00501A8E"/>
    <w:rsid w:val="005105F5"/>
    <w:rsid w:val="005136A2"/>
    <w:rsid w:val="00517249"/>
    <w:rsid w:val="00526E55"/>
    <w:rsid w:val="005275E2"/>
    <w:rsid w:val="00535ED9"/>
    <w:rsid w:val="0053626E"/>
    <w:rsid w:val="005419E1"/>
    <w:rsid w:val="005443B7"/>
    <w:rsid w:val="00546B29"/>
    <w:rsid w:val="00551682"/>
    <w:rsid w:val="00555ADB"/>
    <w:rsid w:val="00564325"/>
    <w:rsid w:val="0056642F"/>
    <w:rsid w:val="005827B7"/>
    <w:rsid w:val="0058456D"/>
    <w:rsid w:val="00584A90"/>
    <w:rsid w:val="00585F9F"/>
    <w:rsid w:val="00595302"/>
    <w:rsid w:val="0059574E"/>
    <w:rsid w:val="005B7189"/>
    <w:rsid w:val="005C1949"/>
    <w:rsid w:val="005C1D29"/>
    <w:rsid w:val="005C52AF"/>
    <w:rsid w:val="005D17C8"/>
    <w:rsid w:val="005D324E"/>
    <w:rsid w:val="005D4359"/>
    <w:rsid w:val="005D54CA"/>
    <w:rsid w:val="005E32B3"/>
    <w:rsid w:val="005E3E83"/>
    <w:rsid w:val="00606BF7"/>
    <w:rsid w:val="00613BDF"/>
    <w:rsid w:val="00615ED2"/>
    <w:rsid w:val="0062234F"/>
    <w:rsid w:val="006254E9"/>
    <w:rsid w:val="0062572E"/>
    <w:rsid w:val="00630E62"/>
    <w:rsid w:val="00632D40"/>
    <w:rsid w:val="00643C0C"/>
    <w:rsid w:val="00645AF7"/>
    <w:rsid w:val="00661E71"/>
    <w:rsid w:val="00662CE5"/>
    <w:rsid w:val="00667F7C"/>
    <w:rsid w:val="00673B0A"/>
    <w:rsid w:val="0068345D"/>
    <w:rsid w:val="00684009"/>
    <w:rsid w:val="006843EC"/>
    <w:rsid w:val="00687559"/>
    <w:rsid w:val="00695D96"/>
    <w:rsid w:val="00697539"/>
    <w:rsid w:val="006A374D"/>
    <w:rsid w:val="006A6B7A"/>
    <w:rsid w:val="006B3C18"/>
    <w:rsid w:val="006C5A78"/>
    <w:rsid w:val="006D6721"/>
    <w:rsid w:val="006D7C8D"/>
    <w:rsid w:val="006E00B5"/>
    <w:rsid w:val="00710903"/>
    <w:rsid w:val="007144D4"/>
    <w:rsid w:val="007209DC"/>
    <w:rsid w:val="00720AE6"/>
    <w:rsid w:val="007222A1"/>
    <w:rsid w:val="00726046"/>
    <w:rsid w:val="00727AD5"/>
    <w:rsid w:val="00732CCC"/>
    <w:rsid w:val="0073508C"/>
    <w:rsid w:val="00742DC1"/>
    <w:rsid w:val="00745C5B"/>
    <w:rsid w:val="00746EC3"/>
    <w:rsid w:val="007635C3"/>
    <w:rsid w:val="00766CF4"/>
    <w:rsid w:val="007675F9"/>
    <w:rsid w:val="00767753"/>
    <w:rsid w:val="00771F0C"/>
    <w:rsid w:val="00773E92"/>
    <w:rsid w:val="00775332"/>
    <w:rsid w:val="007822A6"/>
    <w:rsid w:val="007858A4"/>
    <w:rsid w:val="0078637C"/>
    <w:rsid w:val="007A7826"/>
    <w:rsid w:val="007B5CBA"/>
    <w:rsid w:val="007C5998"/>
    <w:rsid w:val="007D02DC"/>
    <w:rsid w:val="007D072B"/>
    <w:rsid w:val="007D2A6F"/>
    <w:rsid w:val="007D2BBF"/>
    <w:rsid w:val="007D43CF"/>
    <w:rsid w:val="007D5C89"/>
    <w:rsid w:val="007E0BA0"/>
    <w:rsid w:val="007E2C9A"/>
    <w:rsid w:val="007F347C"/>
    <w:rsid w:val="00800136"/>
    <w:rsid w:val="00800439"/>
    <w:rsid w:val="00803A80"/>
    <w:rsid w:val="00803F0C"/>
    <w:rsid w:val="00810065"/>
    <w:rsid w:val="008141FB"/>
    <w:rsid w:val="008242B4"/>
    <w:rsid w:val="0084174E"/>
    <w:rsid w:val="008424BA"/>
    <w:rsid w:val="00847400"/>
    <w:rsid w:val="00852ACD"/>
    <w:rsid w:val="00857B7A"/>
    <w:rsid w:val="00866E28"/>
    <w:rsid w:val="0087280D"/>
    <w:rsid w:val="008779C0"/>
    <w:rsid w:val="0088508B"/>
    <w:rsid w:val="008850B2"/>
    <w:rsid w:val="00885459"/>
    <w:rsid w:val="0088586B"/>
    <w:rsid w:val="00886F93"/>
    <w:rsid w:val="008A5673"/>
    <w:rsid w:val="008A5C09"/>
    <w:rsid w:val="008C14B9"/>
    <w:rsid w:val="008C41C8"/>
    <w:rsid w:val="008C5A10"/>
    <w:rsid w:val="008E0E1A"/>
    <w:rsid w:val="008E3F9E"/>
    <w:rsid w:val="008E42D8"/>
    <w:rsid w:val="008E61FE"/>
    <w:rsid w:val="008E74B3"/>
    <w:rsid w:val="008F2570"/>
    <w:rsid w:val="008F26D2"/>
    <w:rsid w:val="008F2B3B"/>
    <w:rsid w:val="008F3C4C"/>
    <w:rsid w:val="008F4C2F"/>
    <w:rsid w:val="008F607D"/>
    <w:rsid w:val="00900958"/>
    <w:rsid w:val="00901ED4"/>
    <w:rsid w:val="00902A8B"/>
    <w:rsid w:val="00905B3E"/>
    <w:rsid w:val="00914CBA"/>
    <w:rsid w:val="00915D12"/>
    <w:rsid w:val="00917BFF"/>
    <w:rsid w:val="00921D7C"/>
    <w:rsid w:val="00924857"/>
    <w:rsid w:val="009272DA"/>
    <w:rsid w:val="00934084"/>
    <w:rsid w:val="00944A96"/>
    <w:rsid w:val="009453CB"/>
    <w:rsid w:val="00946326"/>
    <w:rsid w:val="00952AD1"/>
    <w:rsid w:val="00953A6C"/>
    <w:rsid w:val="00954C03"/>
    <w:rsid w:val="009600AA"/>
    <w:rsid w:val="00972FE9"/>
    <w:rsid w:val="00976245"/>
    <w:rsid w:val="009770CD"/>
    <w:rsid w:val="00980C2C"/>
    <w:rsid w:val="0098515A"/>
    <w:rsid w:val="00990A3F"/>
    <w:rsid w:val="00992062"/>
    <w:rsid w:val="009A4590"/>
    <w:rsid w:val="009A5961"/>
    <w:rsid w:val="009A6C5F"/>
    <w:rsid w:val="009B0254"/>
    <w:rsid w:val="009B5483"/>
    <w:rsid w:val="009C2C79"/>
    <w:rsid w:val="009C4C4A"/>
    <w:rsid w:val="009C5966"/>
    <w:rsid w:val="009C62D1"/>
    <w:rsid w:val="009D5B16"/>
    <w:rsid w:val="009E0709"/>
    <w:rsid w:val="009E3EB0"/>
    <w:rsid w:val="009F2EA5"/>
    <w:rsid w:val="009F3CC6"/>
    <w:rsid w:val="009F630E"/>
    <w:rsid w:val="009F7B5C"/>
    <w:rsid w:val="00A017B3"/>
    <w:rsid w:val="00A03452"/>
    <w:rsid w:val="00A05680"/>
    <w:rsid w:val="00A10D89"/>
    <w:rsid w:val="00A11236"/>
    <w:rsid w:val="00A274C0"/>
    <w:rsid w:val="00A31562"/>
    <w:rsid w:val="00A32F9C"/>
    <w:rsid w:val="00A3389D"/>
    <w:rsid w:val="00A37D8C"/>
    <w:rsid w:val="00A466EA"/>
    <w:rsid w:val="00A504E3"/>
    <w:rsid w:val="00A53594"/>
    <w:rsid w:val="00A562C8"/>
    <w:rsid w:val="00A57429"/>
    <w:rsid w:val="00A6199B"/>
    <w:rsid w:val="00A61AA1"/>
    <w:rsid w:val="00A70A6A"/>
    <w:rsid w:val="00A72213"/>
    <w:rsid w:val="00A73FD4"/>
    <w:rsid w:val="00A82471"/>
    <w:rsid w:val="00A83711"/>
    <w:rsid w:val="00A8750B"/>
    <w:rsid w:val="00A90D52"/>
    <w:rsid w:val="00A9253A"/>
    <w:rsid w:val="00A9475E"/>
    <w:rsid w:val="00AC590C"/>
    <w:rsid w:val="00AD0AED"/>
    <w:rsid w:val="00AD3F26"/>
    <w:rsid w:val="00AD713F"/>
    <w:rsid w:val="00AE271E"/>
    <w:rsid w:val="00AE4A92"/>
    <w:rsid w:val="00AE7DF9"/>
    <w:rsid w:val="00AF307A"/>
    <w:rsid w:val="00B03E6F"/>
    <w:rsid w:val="00B0449D"/>
    <w:rsid w:val="00B114C0"/>
    <w:rsid w:val="00B13728"/>
    <w:rsid w:val="00B167B3"/>
    <w:rsid w:val="00B26DA1"/>
    <w:rsid w:val="00B30006"/>
    <w:rsid w:val="00B30E33"/>
    <w:rsid w:val="00B35DD7"/>
    <w:rsid w:val="00B450D7"/>
    <w:rsid w:val="00B4539E"/>
    <w:rsid w:val="00B46A38"/>
    <w:rsid w:val="00B6371F"/>
    <w:rsid w:val="00B72DF7"/>
    <w:rsid w:val="00B73ACD"/>
    <w:rsid w:val="00B87B3E"/>
    <w:rsid w:val="00B96390"/>
    <w:rsid w:val="00BA50DB"/>
    <w:rsid w:val="00BB5D4D"/>
    <w:rsid w:val="00BB7BF5"/>
    <w:rsid w:val="00BC108A"/>
    <w:rsid w:val="00BC16D4"/>
    <w:rsid w:val="00BC6A31"/>
    <w:rsid w:val="00BD3101"/>
    <w:rsid w:val="00BE77E0"/>
    <w:rsid w:val="00C01532"/>
    <w:rsid w:val="00C03327"/>
    <w:rsid w:val="00C124E3"/>
    <w:rsid w:val="00C1661D"/>
    <w:rsid w:val="00C447EE"/>
    <w:rsid w:val="00C514AB"/>
    <w:rsid w:val="00C60640"/>
    <w:rsid w:val="00C60832"/>
    <w:rsid w:val="00C7058C"/>
    <w:rsid w:val="00C72B5F"/>
    <w:rsid w:val="00C73E2C"/>
    <w:rsid w:val="00C748C7"/>
    <w:rsid w:val="00C864C1"/>
    <w:rsid w:val="00C873ED"/>
    <w:rsid w:val="00C92A35"/>
    <w:rsid w:val="00C94047"/>
    <w:rsid w:val="00C96831"/>
    <w:rsid w:val="00CA6580"/>
    <w:rsid w:val="00CB1EAC"/>
    <w:rsid w:val="00CB39EC"/>
    <w:rsid w:val="00CC0E7E"/>
    <w:rsid w:val="00CC5F2E"/>
    <w:rsid w:val="00CD210C"/>
    <w:rsid w:val="00CD4778"/>
    <w:rsid w:val="00CD48E1"/>
    <w:rsid w:val="00CF060A"/>
    <w:rsid w:val="00CF1C63"/>
    <w:rsid w:val="00CF5287"/>
    <w:rsid w:val="00CF77D5"/>
    <w:rsid w:val="00CF7990"/>
    <w:rsid w:val="00D046B9"/>
    <w:rsid w:val="00D0582F"/>
    <w:rsid w:val="00D1628E"/>
    <w:rsid w:val="00D21621"/>
    <w:rsid w:val="00D243D1"/>
    <w:rsid w:val="00D31624"/>
    <w:rsid w:val="00D319BA"/>
    <w:rsid w:val="00D31EE4"/>
    <w:rsid w:val="00D427A8"/>
    <w:rsid w:val="00D4478D"/>
    <w:rsid w:val="00D456D2"/>
    <w:rsid w:val="00D558D2"/>
    <w:rsid w:val="00D63BF2"/>
    <w:rsid w:val="00D65E9B"/>
    <w:rsid w:val="00D701DB"/>
    <w:rsid w:val="00D71798"/>
    <w:rsid w:val="00D727FF"/>
    <w:rsid w:val="00D76D86"/>
    <w:rsid w:val="00D7717F"/>
    <w:rsid w:val="00D80ADD"/>
    <w:rsid w:val="00D81AD7"/>
    <w:rsid w:val="00D91A6F"/>
    <w:rsid w:val="00D91C97"/>
    <w:rsid w:val="00D9401F"/>
    <w:rsid w:val="00D95711"/>
    <w:rsid w:val="00D961F1"/>
    <w:rsid w:val="00D97702"/>
    <w:rsid w:val="00DB324A"/>
    <w:rsid w:val="00DB3BBE"/>
    <w:rsid w:val="00DC40B7"/>
    <w:rsid w:val="00DC6FC7"/>
    <w:rsid w:val="00DD6DD1"/>
    <w:rsid w:val="00DE069F"/>
    <w:rsid w:val="00DE3A87"/>
    <w:rsid w:val="00DF7201"/>
    <w:rsid w:val="00DF78BA"/>
    <w:rsid w:val="00DF7D84"/>
    <w:rsid w:val="00E00305"/>
    <w:rsid w:val="00E0352E"/>
    <w:rsid w:val="00E10B78"/>
    <w:rsid w:val="00E13084"/>
    <w:rsid w:val="00E24736"/>
    <w:rsid w:val="00E37158"/>
    <w:rsid w:val="00E46CAA"/>
    <w:rsid w:val="00E50FAE"/>
    <w:rsid w:val="00E57560"/>
    <w:rsid w:val="00E660B9"/>
    <w:rsid w:val="00E661DD"/>
    <w:rsid w:val="00E6662B"/>
    <w:rsid w:val="00E813BC"/>
    <w:rsid w:val="00E835D2"/>
    <w:rsid w:val="00EA1B5F"/>
    <w:rsid w:val="00EA451A"/>
    <w:rsid w:val="00EB1F71"/>
    <w:rsid w:val="00EC076F"/>
    <w:rsid w:val="00EC3917"/>
    <w:rsid w:val="00EC414F"/>
    <w:rsid w:val="00EC580B"/>
    <w:rsid w:val="00EC5F18"/>
    <w:rsid w:val="00EC7D3D"/>
    <w:rsid w:val="00ED5108"/>
    <w:rsid w:val="00ED600C"/>
    <w:rsid w:val="00EE11E6"/>
    <w:rsid w:val="00EE3C89"/>
    <w:rsid w:val="00EE67B2"/>
    <w:rsid w:val="00EE79CB"/>
    <w:rsid w:val="00F01190"/>
    <w:rsid w:val="00F01B00"/>
    <w:rsid w:val="00F024BA"/>
    <w:rsid w:val="00F1438A"/>
    <w:rsid w:val="00F16CB1"/>
    <w:rsid w:val="00F1733D"/>
    <w:rsid w:val="00F25B8B"/>
    <w:rsid w:val="00F27005"/>
    <w:rsid w:val="00F27343"/>
    <w:rsid w:val="00F348E1"/>
    <w:rsid w:val="00F4616D"/>
    <w:rsid w:val="00F46C3F"/>
    <w:rsid w:val="00F504AD"/>
    <w:rsid w:val="00F57005"/>
    <w:rsid w:val="00F72AA4"/>
    <w:rsid w:val="00F72EA4"/>
    <w:rsid w:val="00F72FAA"/>
    <w:rsid w:val="00F83F4A"/>
    <w:rsid w:val="00F910B2"/>
    <w:rsid w:val="00FA09DC"/>
    <w:rsid w:val="00FA2A1F"/>
    <w:rsid w:val="00FA3FEF"/>
    <w:rsid w:val="00FA5667"/>
    <w:rsid w:val="00FB572F"/>
    <w:rsid w:val="00FB76EC"/>
    <w:rsid w:val="00FC35FB"/>
    <w:rsid w:val="00FD2368"/>
    <w:rsid w:val="00FD4E39"/>
    <w:rsid w:val="00FE0398"/>
    <w:rsid w:val="00FE2751"/>
    <w:rsid w:val="00FE2EE0"/>
    <w:rsid w:val="00FF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5BC4"/>
    <w:pPr>
      <w:tabs>
        <w:tab w:val="center" w:pos="4320"/>
        <w:tab w:val="right" w:pos="8640"/>
      </w:tabs>
    </w:pPr>
  </w:style>
  <w:style w:type="paragraph" w:styleId="Footer">
    <w:name w:val="footer"/>
    <w:basedOn w:val="Normal"/>
    <w:rsid w:val="00315BC4"/>
    <w:pPr>
      <w:tabs>
        <w:tab w:val="center" w:pos="4320"/>
        <w:tab w:val="right" w:pos="8640"/>
      </w:tabs>
    </w:pPr>
  </w:style>
  <w:style w:type="character" w:styleId="Hyperlink">
    <w:name w:val="Hyperlink"/>
    <w:rsid w:val="0010367E"/>
    <w:rPr>
      <w:color w:val="0000FF"/>
      <w:u w:val="single"/>
    </w:rPr>
  </w:style>
  <w:style w:type="character" w:styleId="PageNumber">
    <w:name w:val="page number"/>
    <w:basedOn w:val="DefaultParagraphFont"/>
    <w:rsid w:val="002B2059"/>
  </w:style>
  <w:style w:type="paragraph" w:customStyle="1" w:styleId="msonospacing0">
    <w:name w:val="msonospacing"/>
    <w:basedOn w:val="Normal"/>
    <w:rsid w:val="009B0254"/>
    <w:rPr>
      <w:rFonts w:ascii="Calibri" w:hAnsi="Calibri"/>
      <w:sz w:val="22"/>
      <w:szCs w:val="22"/>
    </w:rPr>
  </w:style>
  <w:style w:type="character" w:styleId="FollowedHyperlink">
    <w:name w:val="FollowedHyperlink"/>
    <w:rsid w:val="00476573"/>
    <w:rPr>
      <w:color w:val="800080"/>
      <w:u w:val="single"/>
    </w:rPr>
  </w:style>
  <w:style w:type="paragraph" w:styleId="ListParagraph">
    <w:name w:val="List Paragraph"/>
    <w:basedOn w:val="Normal"/>
    <w:uiPriority w:val="34"/>
    <w:qFormat/>
    <w:rsid w:val="00222A3F"/>
    <w:pPr>
      <w:ind w:left="720"/>
    </w:pPr>
  </w:style>
  <w:style w:type="paragraph" w:styleId="BalloonText">
    <w:name w:val="Balloon Text"/>
    <w:basedOn w:val="Normal"/>
    <w:link w:val="BalloonTextChar"/>
    <w:rsid w:val="0023691F"/>
    <w:rPr>
      <w:rFonts w:ascii="Tahoma" w:hAnsi="Tahoma" w:cs="Tahoma"/>
      <w:sz w:val="16"/>
      <w:szCs w:val="16"/>
    </w:rPr>
  </w:style>
  <w:style w:type="character" w:customStyle="1" w:styleId="BalloonTextChar">
    <w:name w:val="Balloon Text Char"/>
    <w:link w:val="BalloonText"/>
    <w:rsid w:val="0023691F"/>
    <w:rPr>
      <w:rFonts w:ascii="Tahoma" w:hAnsi="Tahoma" w:cs="Tahoma"/>
      <w:sz w:val="16"/>
      <w:szCs w:val="16"/>
    </w:rPr>
  </w:style>
  <w:style w:type="character" w:styleId="CommentReference">
    <w:name w:val="annotation reference"/>
    <w:rsid w:val="00800439"/>
    <w:rPr>
      <w:sz w:val="16"/>
      <w:szCs w:val="16"/>
    </w:rPr>
  </w:style>
  <w:style w:type="paragraph" w:styleId="CommentText">
    <w:name w:val="annotation text"/>
    <w:basedOn w:val="Normal"/>
    <w:link w:val="CommentTextChar"/>
    <w:rsid w:val="00800439"/>
    <w:rPr>
      <w:sz w:val="20"/>
      <w:szCs w:val="20"/>
    </w:rPr>
  </w:style>
  <w:style w:type="character" w:customStyle="1" w:styleId="CommentTextChar">
    <w:name w:val="Comment Text Char"/>
    <w:basedOn w:val="DefaultParagraphFont"/>
    <w:link w:val="CommentText"/>
    <w:rsid w:val="00800439"/>
  </w:style>
  <w:style w:type="paragraph" w:styleId="CommentSubject">
    <w:name w:val="annotation subject"/>
    <w:basedOn w:val="CommentText"/>
    <w:next w:val="CommentText"/>
    <w:link w:val="CommentSubjectChar"/>
    <w:rsid w:val="00800439"/>
    <w:rPr>
      <w:b/>
      <w:bCs/>
    </w:rPr>
  </w:style>
  <w:style w:type="character" w:customStyle="1" w:styleId="CommentSubjectChar">
    <w:name w:val="Comment Subject Char"/>
    <w:link w:val="CommentSubject"/>
    <w:rsid w:val="00800439"/>
    <w:rPr>
      <w:b/>
      <w:bCs/>
    </w:rPr>
  </w:style>
  <w:style w:type="character" w:customStyle="1" w:styleId="apple-converted-space">
    <w:name w:val="apple-converted-space"/>
    <w:rsid w:val="008E42D8"/>
  </w:style>
  <w:style w:type="paragraph" w:styleId="Revision">
    <w:name w:val="Revision"/>
    <w:hidden/>
    <w:uiPriority w:val="99"/>
    <w:semiHidden/>
    <w:rsid w:val="0004526E"/>
    <w:rPr>
      <w:sz w:val="24"/>
      <w:szCs w:val="24"/>
    </w:rPr>
  </w:style>
  <w:style w:type="paragraph" w:styleId="BodyTextIndent">
    <w:name w:val="Body Text Indent"/>
    <w:basedOn w:val="Normal"/>
    <w:link w:val="BodyTextIndentChar"/>
    <w:unhideWhenUsed/>
    <w:rsid w:val="004A072F"/>
    <w:pPr>
      <w:spacing w:after="120"/>
      <w:ind w:left="360"/>
    </w:pPr>
    <w:rPr>
      <w:szCs w:val="20"/>
    </w:rPr>
  </w:style>
  <w:style w:type="character" w:customStyle="1" w:styleId="BodyTextIndentChar">
    <w:name w:val="Body Text Indent Char"/>
    <w:link w:val="BodyTextIndent"/>
    <w:rsid w:val="004A072F"/>
    <w:rPr>
      <w:sz w:val="24"/>
    </w:rPr>
  </w:style>
  <w:style w:type="character" w:customStyle="1" w:styleId="HeaderChar">
    <w:name w:val="Header Char"/>
    <w:basedOn w:val="DefaultParagraphFont"/>
    <w:link w:val="Header"/>
    <w:uiPriority w:val="99"/>
    <w:rsid w:val="00F25B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5BC4"/>
    <w:pPr>
      <w:tabs>
        <w:tab w:val="center" w:pos="4320"/>
        <w:tab w:val="right" w:pos="8640"/>
      </w:tabs>
    </w:pPr>
  </w:style>
  <w:style w:type="paragraph" w:styleId="Footer">
    <w:name w:val="footer"/>
    <w:basedOn w:val="Normal"/>
    <w:rsid w:val="00315BC4"/>
    <w:pPr>
      <w:tabs>
        <w:tab w:val="center" w:pos="4320"/>
        <w:tab w:val="right" w:pos="8640"/>
      </w:tabs>
    </w:pPr>
  </w:style>
  <w:style w:type="character" w:styleId="Hyperlink">
    <w:name w:val="Hyperlink"/>
    <w:rsid w:val="0010367E"/>
    <w:rPr>
      <w:color w:val="0000FF"/>
      <w:u w:val="single"/>
    </w:rPr>
  </w:style>
  <w:style w:type="character" w:styleId="PageNumber">
    <w:name w:val="page number"/>
    <w:basedOn w:val="DefaultParagraphFont"/>
    <w:rsid w:val="002B2059"/>
  </w:style>
  <w:style w:type="paragraph" w:customStyle="1" w:styleId="msonospacing0">
    <w:name w:val="msonospacing"/>
    <w:basedOn w:val="Normal"/>
    <w:rsid w:val="009B0254"/>
    <w:rPr>
      <w:rFonts w:ascii="Calibri" w:hAnsi="Calibri"/>
      <w:sz w:val="22"/>
      <w:szCs w:val="22"/>
    </w:rPr>
  </w:style>
  <w:style w:type="character" w:styleId="FollowedHyperlink">
    <w:name w:val="FollowedHyperlink"/>
    <w:rsid w:val="00476573"/>
    <w:rPr>
      <w:color w:val="800080"/>
      <w:u w:val="single"/>
    </w:rPr>
  </w:style>
  <w:style w:type="paragraph" w:styleId="ListParagraph">
    <w:name w:val="List Paragraph"/>
    <w:basedOn w:val="Normal"/>
    <w:uiPriority w:val="34"/>
    <w:qFormat/>
    <w:rsid w:val="00222A3F"/>
    <w:pPr>
      <w:ind w:left="720"/>
    </w:pPr>
  </w:style>
  <w:style w:type="paragraph" w:styleId="BalloonText">
    <w:name w:val="Balloon Text"/>
    <w:basedOn w:val="Normal"/>
    <w:link w:val="BalloonTextChar"/>
    <w:rsid w:val="0023691F"/>
    <w:rPr>
      <w:rFonts w:ascii="Tahoma" w:hAnsi="Tahoma" w:cs="Tahoma"/>
      <w:sz w:val="16"/>
      <w:szCs w:val="16"/>
    </w:rPr>
  </w:style>
  <w:style w:type="character" w:customStyle="1" w:styleId="BalloonTextChar">
    <w:name w:val="Balloon Text Char"/>
    <w:link w:val="BalloonText"/>
    <w:rsid w:val="0023691F"/>
    <w:rPr>
      <w:rFonts w:ascii="Tahoma" w:hAnsi="Tahoma" w:cs="Tahoma"/>
      <w:sz w:val="16"/>
      <w:szCs w:val="16"/>
    </w:rPr>
  </w:style>
  <w:style w:type="character" w:styleId="CommentReference">
    <w:name w:val="annotation reference"/>
    <w:rsid w:val="00800439"/>
    <w:rPr>
      <w:sz w:val="16"/>
      <w:szCs w:val="16"/>
    </w:rPr>
  </w:style>
  <w:style w:type="paragraph" w:styleId="CommentText">
    <w:name w:val="annotation text"/>
    <w:basedOn w:val="Normal"/>
    <w:link w:val="CommentTextChar"/>
    <w:rsid w:val="00800439"/>
    <w:rPr>
      <w:sz w:val="20"/>
      <w:szCs w:val="20"/>
    </w:rPr>
  </w:style>
  <w:style w:type="character" w:customStyle="1" w:styleId="CommentTextChar">
    <w:name w:val="Comment Text Char"/>
    <w:basedOn w:val="DefaultParagraphFont"/>
    <w:link w:val="CommentText"/>
    <w:rsid w:val="00800439"/>
  </w:style>
  <w:style w:type="paragraph" w:styleId="CommentSubject">
    <w:name w:val="annotation subject"/>
    <w:basedOn w:val="CommentText"/>
    <w:next w:val="CommentText"/>
    <w:link w:val="CommentSubjectChar"/>
    <w:rsid w:val="00800439"/>
    <w:rPr>
      <w:b/>
      <w:bCs/>
    </w:rPr>
  </w:style>
  <w:style w:type="character" w:customStyle="1" w:styleId="CommentSubjectChar">
    <w:name w:val="Comment Subject Char"/>
    <w:link w:val="CommentSubject"/>
    <w:rsid w:val="00800439"/>
    <w:rPr>
      <w:b/>
      <w:bCs/>
    </w:rPr>
  </w:style>
  <w:style w:type="character" w:customStyle="1" w:styleId="apple-converted-space">
    <w:name w:val="apple-converted-space"/>
    <w:rsid w:val="008E42D8"/>
  </w:style>
  <w:style w:type="paragraph" w:styleId="Revision">
    <w:name w:val="Revision"/>
    <w:hidden/>
    <w:uiPriority w:val="99"/>
    <w:semiHidden/>
    <w:rsid w:val="0004526E"/>
    <w:rPr>
      <w:sz w:val="24"/>
      <w:szCs w:val="24"/>
    </w:rPr>
  </w:style>
  <w:style w:type="paragraph" w:styleId="BodyTextIndent">
    <w:name w:val="Body Text Indent"/>
    <w:basedOn w:val="Normal"/>
    <w:link w:val="BodyTextIndentChar"/>
    <w:unhideWhenUsed/>
    <w:rsid w:val="004A072F"/>
    <w:pPr>
      <w:spacing w:after="120"/>
      <w:ind w:left="360"/>
    </w:pPr>
    <w:rPr>
      <w:szCs w:val="20"/>
    </w:rPr>
  </w:style>
  <w:style w:type="character" w:customStyle="1" w:styleId="BodyTextIndentChar">
    <w:name w:val="Body Text Indent Char"/>
    <w:link w:val="BodyTextIndent"/>
    <w:rsid w:val="004A072F"/>
    <w:rPr>
      <w:sz w:val="24"/>
    </w:rPr>
  </w:style>
  <w:style w:type="character" w:customStyle="1" w:styleId="HeaderChar">
    <w:name w:val="Header Char"/>
    <w:basedOn w:val="DefaultParagraphFont"/>
    <w:link w:val="Header"/>
    <w:uiPriority w:val="99"/>
    <w:rsid w:val="00F25B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3434">
      <w:bodyDiv w:val="1"/>
      <w:marLeft w:val="0"/>
      <w:marRight w:val="0"/>
      <w:marTop w:val="0"/>
      <w:marBottom w:val="0"/>
      <w:divBdr>
        <w:top w:val="none" w:sz="0" w:space="0" w:color="auto"/>
        <w:left w:val="none" w:sz="0" w:space="0" w:color="auto"/>
        <w:bottom w:val="none" w:sz="0" w:space="0" w:color="auto"/>
        <w:right w:val="none" w:sz="0" w:space="0" w:color="auto"/>
      </w:divBdr>
    </w:div>
    <w:div w:id="1247298398">
      <w:bodyDiv w:val="1"/>
      <w:marLeft w:val="0"/>
      <w:marRight w:val="0"/>
      <w:marTop w:val="0"/>
      <w:marBottom w:val="0"/>
      <w:divBdr>
        <w:top w:val="none" w:sz="0" w:space="0" w:color="auto"/>
        <w:left w:val="none" w:sz="0" w:space="0" w:color="auto"/>
        <w:bottom w:val="none" w:sz="0" w:space="0" w:color="auto"/>
        <w:right w:val="none" w:sz="0" w:space="0" w:color="auto"/>
      </w:divBdr>
      <w:divsChild>
        <w:div w:id="380207089">
          <w:marLeft w:val="1166"/>
          <w:marRight w:val="0"/>
          <w:marTop w:val="106"/>
          <w:marBottom w:val="0"/>
          <w:divBdr>
            <w:top w:val="none" w:sz="0" w:space="0" w:color="auto"/>
            <w:left w:val="none" w:sz="0" w:space="0" w:color="auto"/>
            <w:bottom w:val="none" w:sz="0" w:space="0" w:color="auto"/>
            <w:right w:val="none" w:sz="0" w:space="0" w:color="auto"/>
          </w:divBdr>
        </w:div>
        <w:div w:id="1370572196">
          <w:marLeft w:val="1166"/>
          <w:marRight w:val="0"/>
          <w:marTop w:val="106"/>
          <w:marBottom w:val="0"/>
          <w:divBdr>
            <w:top w:val="none" w:sz="0" w:space="0" w:color="auto"/>
            <w:left w:val="none" w:sz="0" w:space="0" w:color="auto"/>
            <w:bottom w:val="none" w:sz="0" w:space="0" w:color="auto"/>
            <w:right w:val="none" w:sz="0" w:space="0" w:color="auto"/>
          </w:divBdr>
        </w:div>
        <w:div w:id="170564107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DF0E0E-07AB-4477-85D3-2B21B0A5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1205</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Massachusetts Department of Public Health, Guidance Regarding Christian’s Law - April 2017</vt:lpstr>
    </vt:vector>
  </TitlesOfParts>
  <Company>DPH</Company>
  <LinksUpToDate>false</LinksUpToDate>
  <CharactersWithSpaces>8415</CharactersWithSpaces>
  <SharedDoc>false</SharedDoc>
  <HLinks>
    <vt:vector size="6" baseType="variant">
      <vt:variant>
        <vt:i4>2293873</vt:i4>
      </vt:variant>
      <vt:variant>
        <vt:i4>0</vt:i4>
      </vt:variant>
      <vt:variant>
        <vt:i4>0</vt:i4>
      </vt:variant>
      <vt:variant>
        <vt:i4>5</vt:i4>
      </vt:variant>
      <vt:variant>
        <vt:lpwstr>http://www.mass.gov/eohhs/gov/departments/dph/programs/environmental-health/comm-sanitation/christians-law.html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 Guidance Regarding Christian’s Law - April 2017</dc:title>
  <dc:subject>Massachusetts General Law c. 111, §127A½, commonly referred to as Christian’s Law, was enacted on July 12, 2012. The MDPH is working to develop regulations for presentation to the Public Health Council to implement requirements in the law to have a system in place for having Coast Guard approved personal flotation devices (PFDs) available to non-swimmers and at-risk swimmers at municipal and recreational programs and camps. Some provisions of the law however, are in full effect and therefore mandatory this summer for all municipal and recreational programs and licensed camps. The Department is issuing this revised interim guidance document to supplement the “Frequently Asked Questions” (FAQ) document to assist in compliance with important aspects of Christian’s Law.</dc:subject>
  <dc:creator>MDPH - Bureau of Environmental Health</dc:creator>
  <cp:keywords>Christian’s Law; personal flotation devices; PFDs; non-swimmers; at-risk swimmers; municipal camps; recreational camps</cp:keywords>
  <cp:lastModifiedBy> </cp:lastModifiedBy>
  <cp:revision>2</cp:revision>
  <cp:lastPrinted>2018-01-30T13:36:00Z</cp:lastPrinted>
  <dcterms:created xsi:type="dcterms:W3CDTF">2018-03-30T18:59:00Z</dcterms:created>
  <dcterms:modified xsi:type="dcterms:W3CDTF">2018-03-30T18:59:00Z</dcterms:modified>
</cp:coreProperties>
</file>