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Commonwealth of Massachusetts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Provider Manual Series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Subchapter Number and Title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Preface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Page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vii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Adult Day Health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Transmittal Letter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ADH-23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11/15/09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regulations and instructions governing provider participation in MassHealth are published in the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Provider Manual Series. MassHealth publishes a separate manual for each provider type.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Manuals in the series contain administrative regulations, billing regulations, program regulations, service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codes, administrative and billing instructions, and general information. MassHealth regulations are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incorporated into the Code of Massachusetts Regulations (CMR), a collection of regulations promulgated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state agencies within the Commonwealth and by the Secretary of State. MassHealth regulations are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assigned Title 130 of the Code. The regulations governing provider participation in MassHealth are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assigned Chapters 400 through 499 within Title 130. Pages that contain regulatory material have a CMR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chapter number in the banner beneath the subchapter number and title.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Administrative regulations and billing regulations apply to all providers and are contained in 130 CMR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Chapter 450.000. These regulations are reproduced as Subchapters 1, 2, and 3 in this and all other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manuals.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Program regulations cover matters that apply specifically to the type of provider for which the manual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was prepared. For adult day health providers, those matters are covered in 130 CMR Chapter 404.000,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reproduced as Subchapter 4 in the Adult Day Health Manual.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Revisions and additions to the manual are made as needed by means of transmittal letters, which furnish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 for making changes by hand ("pen-and-ink" revisions), and by substituting, adding, or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removing pages. Some transmittal letters will be directed to all providers; others will be addressed to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providers in specific provider types. In this way, a provider will receive all those transmittal letters that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affect its manual, but no others.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Provider Manual Series is intended for the convenience of providers. Neither this nor any other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manual can or should contain every federal and state law and regulation that might affect a provider's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participation in MassHealth. The provider manuals represent instead MassHealth’s effort to give each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a single convenient source for the essential information providers need in their routine </w:t>
      </w:r>
    </w:p>
    <w:p w:rsidR="005D3DE6" w:rsidRPr="005D3DE6" w:rsidRDefault="005D3DE6" w:rsidP="005D3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D3DE6">
        <w:rPr>
          <w:rFonts w:ascii="Courier New" w:eastAsia="Times New Roman" w:hAnsi="Courier New" w:cs="Courier New"/>
          <w:color w:val="000000"/>
          <w:sz w:val="20"/>
          <w:szCs w:val="20"/>
        </w:rPr>
        <w:t>interaction with MassHealth and its members.</w:t>
      </w: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E6"/>
    <w:rsid w:val="00332565"/>
    <w:rsid w:val="005D3DE6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3D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3DE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3D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3DE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2017-09-27T18:21:00Z</dcterms:created>
  <dcterms:modified xsi:type="dcterms:W3CDTF">2017-09-27T18:21:00Z</dcterms:modified>
</cp:coreProperties>
</file>