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4A" w:rsidRPr="009732D8" w:rsidRDefault="00FA264A" w:rsidP="00FA264A">
      <w:pPr>
        <w:jc w:val="right"/>
        <w:rPr>
          <w:rFonts w:ascii="Book Antiqua" w:hAnsi="Book Antiqua"/>
          <w:color w:val="365F91" w:themeColor="accent1" w:themeShade="BF"/>
          <w:sz w:val="22"/>
          <w:szCs w:val="22"/>
        </w:rPr>
      </w:pPr>
      <w:r>
        <w:rPr>
          <w:rFonts w:ascii="Book Antiqua" w:hAnsi="Book Antiqua"/>
          <w:color w:val="365F91" w:themeColor="accent1" w:themeShade="BF"/>
          <w:sz w:val="22"/>
          <w:szCs w:val="22"/>
        </w:rPr>
        <w:t>Attachme</w:t>
      </w:r>
      <w:r w:rsidRPr="009732D8">
        <w:rPr>
          <w:rFonts w:ascii="Book Antiqua" w:hAnsi="Book Antiqua"/>
          <w:color w:val="365F91" w:themeColor="accent1" w:themeShade="BF"/>
          <w:sz w:val="22"/>
          <w:szCs w:val="22"/>
        </w:rPr>
        <w:t>nt D</w:t>
      </w:r>
    </w:p>
    <w:p w:rsidR="00FA264A" w:rsidRPr="009732D8" w:rsidRDefault="00FA264A" w:rsidP="00FA264A">
      <w:pPr>
        <w:jc w:val="center"/>
        <w:rPr>
          <w:rFonts w:ascii="Book Antiqua" w:hAnsi="Book Antiqua"/>
          <w:color w:val="365F91" w:themeColor="accent1" w:themeShade="BF"/>
          <w:sz w:val="22"/>
          <w:szCs w:val="22"/>
        </w:rPr>
      </w:pPr>
    </w:p>
    <w:p w:rsidR="00FA264A" w:rsidRPr="0040146B" w:rsidRDefault="00FA264A" w:rsidP="00FA264A">
      <w:pPr>
        <w:jc w:val="center"/>
        <w:rPr>
          <w:rFonts w:ascii="Book Antiqua" w:hAnsi="Book Antiqua"/>
          <w:sz w:val="16"/>
          <w:szCs w:val="16"/>
        </w:rPr>
      </w:pP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Commonwealth of Massachusetts</w:t>
      </w: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Office of Grants and Research</w:t>
      </w:r>
    </w:p>
    <w:p w:rsidR="00FA264A" w:rsidRPr="009732D8" w:rsidRDefault="00FA264A" w:rsidP="00FA264A">
      <w:pPr>
        <w:jc w:val="center"/>
        <w:rPr>
          <w:rFonts w:ascii="Bookman Old Style" w:hAnsi="Bookman Old Style"/>
          <w:b/>
          <w:color w:val="365F91"/>
        </w:rPr>
      </w:pP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Availability of Grant Funds (AGF)</w:t>
      </w:r>
    </w:p>
    <w:p w:rsidR="00FA264A" w:rsidRPr="009732D8" w:rsidRDefault="00FA264A" w:rsidP="00FA264A">
      <w:pPr>
        <w:jc w:val="center"/>
        <w:rPr>
          <w:rFonts w:ascii="Bookman Old Style" w:hAnsi="Bookman Old Style"/>
          <w:b/>
          <w:color w:val="365F91"/>
        </w:rPr>
      </w:pPr>
      <w:r>
        <w:rPr>
          <w:rFonts w:ascii="Bookman Old Style" w:hAnsi="Bookman Old Style"/>
          <w:b/>
          <w:color w:val="365F91"/>
        </w:rPr>
        <w:t xml:space="preserve">2019 </w:t>
      </w:r>
      <w:r w:rsidRPr="009732D8">
        <w:rPr>
          <w:rFonts w:ascii="Bookman Old Style" w:hAnsi="Bookman Old Style"/>
          <w:b/>
          <w:color w:val="365F91"/>
        </w:rPr>
        <w:t>Competitive Senator Charles E. Shannon, Jr. Community Safety Initiative</w:t>
      </w: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Local Action Research</w:t>
      </w:r>
      <w:r w:rsidR="00B06D00">
        <w:rPr>
          <w:rFonts w:ascii="Bookman Old Style" w:hAnsi="Bookman Old Style"/>
          <w:b/>
          <w:color w:val="365F91"/>
        </w:rPr>
        <w:t xml:space="preserve"> Partners</w:t>
      </w:r>
    </w:p>
    <w:p w:rsidR="00FA264A" w:rsidRPr="001353AC" w:rsidRDefault="00FA264A" w:rsidP="00FA264A">
      <w:pPr>
        <w:rPr>
          <w:rFonts w:ascii="Book Antiqua" w:hAnsi="Book Antiqua"/>
        </w:rPr>
      </w:pPr>
    </w:p>
    <w:p w:rsidR="00FA264A" w:rsidRPr="009732D8" w:rsidRDefault="00FA264A" w:rsidP="00FA264A">
      <w:pPr>
        <w:jc w:val="center"/>
        <w:rPr>
          <w:rFonts w:ascii="Book Antiqua" w:hAnsi="Book Antiqua"/>
          <w:b/>
          <w:color w:val="365F91"/>
        </w:rPr>
      </w:pPr>
    </w:p>
    <w:p w:rsidR="00FA264A" w:rsidRPr="009732D8" w:rsidRDefault="00FA264A" w:rsidP="00FA264A">
      <w:pPr>
        <w:jc w:val="center"/>
        <w:rPr>
          <w:rFonts w:ascii="Book Antiqua" w:hAnsi="Book Antiqua"/>
          <w:b/>
          <w:color w:val="365F91"/>
        </w:rPr>
      </w:pPr>
    </w:p>
    <w:p w:rsidR="00FA264A" w:rsidRPr="009732D8" w:rsidRDefault="00FA264A" w:rsidP="00FA264A">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FA264A"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bookmarkStart w:id="0" w:name="_GoBack"/>
      <w:bookmarkEnd w:id="0"/>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Pr="00AF2F12">
        <w:rPr>
          <w:rFonts w:ascii="Book Antiqua" w:hAnsi="Book Antiqua"/>
          <w:b/>
          <w:color w:val="365F91" w:themeColor="accent1" w:themeShade="BF"/>
          <w:sz w:val="22"/>
          <w:szCs w:val="22"/>
        </w:rPr>
        <w:t>Personnel</w:t>
      </w:r>
      <w:r w:rsidRPr="00AF2F12">
        <w:rPr>
          <w:rFonts w:ascii="Book Antiqua" w:hAnsi="Book Antiqua"/>
          <w:color w:val="365F91" w:themeColor="accent1" w:themeShade="BF"/>
          <w:sz w:val="22"/>
          <w:szCs w:val="22"/>
        </w:rPr>
        <w:t xml:space="preserve"> - Costs associated with full or part-time regular salaried employees working on the grant.  Please include current copies of personnel resumes or job descriptions (if position is vacant) as attachments.</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gridCol w:w="15"/>
      </w:tblGrid>
      <w:tr w:rsidR="00FA264A" w:rsidRPr="00AF2F12" w:rsidTr="00A049A8">
        <w:trPr>
          <w:trHeight w:val="373"/>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24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 Request</w:t>
            </w:r>
          </w:p>
        </w:tc>
      </w:tr>
      <w:tr w:rsidR="00FA264A" w:rsidRPr="00AF2F12" w:rsidTr="00A049A8">
        <w:trPr>
          <w:cantSplit/>
          <w:trHeight w:hRule="exact" w:val="595"/>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51"/>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1128B4"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val="393"/>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257743"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AF2F12" w:rsidTr="00A049A8">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4"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t xml:space="preserve">B. </w:t>
      </w:r>
      <w:r w:rsidRPr="00AF2F12">
        <w:rPr>
          <w:rFonts w:ascii="Book Antiqua" w:hAnsi="Book Antiqua"/>
          <w:b/>
          <w:color w:val="365F91" w:themeColor="accent1" w:themeShade="BF"/>
          <w:sz w:val="22"/>
          <w:szCs w:val="22"/>
        </w:rPr>
        <w:t xml:space="preserve">Fringe Benefits - </w:t>
      </w:r>
      <w:r w:rsidRPr="00AF2F12">
        <w:rPr>
          <w:rFonts w:ascii="Book Antiqua" w:hAnsi="Book Antiqua" w:cs="Arial"/>
          <w:color w:val="365F91" w:themeColor="accent1" w:themeShade="BF"/>
          <w:sz w:val="22"/>
          <w:szCs w:val="22"/>
        </w:rPr>
        <w:t>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You may also include employer paid payroll taxes here as a separate cost.</w:t>
      </w:r>
      <w:r w:rsidRPr="00AF2F12">
        <w:rPr>
          <w:rFonts w:ascii="Book Antiqua" w:hAnsi="Book Antiqua"/>
          <w:b/>
          <w:bCs/>
          <w:color w:val="365F91" w:themeColor="accent1" w:themeShade="BF"/>
          <w:sz w:val="22"/>
          <w:szCs w:val="22"/>
        </w:rPr>
        <w:t xml:space="preserve"> </w:t>
      </w:r>
    </w:p>
    <w:p w:rsidR="00FA264A" w:rsidRPr="00AF2F12" w:rsidRDefault="00FA264A" w:rsidP="00FA264A">
      <w:pPr>
        <w:pStyle w:val="ListParagraph"/>
        <w:numPr>
          <w:ilvl w:val="0"/>
          <w:numId w:val="1"/>
        </w:numPr>
        <w:rPr>
          <w:rFonts w:ascii="Book Antiqua" w:hAnsi="Book Antiqua"/>
          <w:color w:val="365F91" w:themeColor="accent1" w:themeShade="BF"/>
        </w:rPr>
      </w:pPr>
      <w:r w:rsidRPr="00AF2F12">
        <w:rPr>
          <w:rFonts w:ascii="Book Antiqua" w:hAnsi="Book Antiqua"/>
          <w:b/>
          <w:bCs/>
          <w:color w:val="365F91" w:themeColor="accent1" w:themeShade="BF"/>
        </w:rPr>
        <w:t>For Massachusetts state sponsored universities:</w:t>
      </w:r>
    </w:p>
    <w:p w:rsidR="00FA264A" w:rsidRPr="00AF2F12" w:rsidRDefault="00FA264A" w:rsidP="00FA264A">
      <w:pPr>
        <w:pStyle w:val="ListParagraph"/>
        <w:ind w:left="360"/>
        <w:rPr>
          <w:rFonts w:ascii="Book Antiqua" w:hAnsi="Book Antiqua"/>
          <w:color w:val="365F91" w:themeColor="accent1" w:themeShade="BF"/>
        </w:rPr>
      </w:pPr>
      <w:r w:rsidRPr="00AF2F12">
        <w:rPr>
          <w:rFonts w:ascii="Book Antiqua" w:hAnsi="Book Antiqua"/>
          <w:color w:val="365F91" w:themeColor="accent1" w:themeShade="BF"/>
        </w:rPr>
        <w:t xml:space="preserve"> </w:t>
      </w:r>
      <w:proofErr w:type="gramStart"/>
      <w:r w:rsidRPr="00AF2F12">
        <w:rPr>
          <w:rFonts w:ascii="Book Antiqua" w:hAnsi="Book Antiqua"/>
          <w:color w:val="365F91" w:themeColor="accent1" w:themeShade="BF"/>
        </w:rPr>
        <w:t>fringe</w:t>
      </w:r>
      <w:proofErr w:type="gramEnd"/>
      <w:r w:rsidRPr="00AF2F12">
        <w:rPr>
          <w:rFonts w:ascii="Book Antiqua" w:hAnsi="Book Antiqua"/>
          <w:color w:val="365F91" w:themeColor="accent1" w:themeShade="BF"/>
        </w:rPr>
        <w:t xml:space="preserve"> related costs are allowable but must be listed under the “Other” category as </w:t>
      </w:r>
      <w:r w:rsidRPr="00AF2F12">
        <w:rPr>
          <w:rFonts w:ascii="Book Antiqua" w:hAnsi="Book Antiqua"/>
          <w:i/>
          <w:iCs/>
          <w:color w:val="365F91" w:themeColor="accent1" w:themeShade="BF"/>
        </w:rPr>
        <w:t>other personnel costs</w:t>
      </w:r>
      <w:r w:rsidRPr="00AF2F12">
        <w:rPr>
          <w:rFonts w:ascii="Book Antiqua" w:hAnsi="Book Antiqua"/>
          <w:color w:val="365F91" w:themeColor="accent1" w:themeShade="BF"/>
        </w:rPr>
        <w:t xml:space="preserve">. </w:t>
      </w:r>
    </w:p>
    <w:p w:rsidR="00FA264A" w:rsidRPr="00AF2F12" w:rsidRDefault="00FA264A" w:rsidP="00FA264A">
      <w:pPr>
        <w:pStyle w:val="ListParagraph"/>
        <w:numPr>
          <w:ilvl w:val="0"/>
          <w:numId w:val="1"/>
        </w:numPr>
        <w:rPr>
          <w:rFonts w:ascii="Book Antiqua" w:hAnsi="Book Antiqua"/>
          <w:color w:val="365F91" w:themeColor="accent1" w:themeShade="BF"/>
        </w:rPr>
      </w:pPr>
      <w:r w:rsidRPr="00AF2F12">
        <w:rPr>
          <w:rFonts w:ascii="Book Antiqua" w:hAnsi="Book Antiqua"/>
          <w:b/>
          <w:color w:val="365F91" w:themeColor="accent1" w:themeShade="BF"/>
        </w:rPr>
        <w:t>For</w:t>
      </w:r>
      <w:r w:rsidRPr="00AF2F12">
        <w:rPr>
          <w:rFonts w:ascii="Book Antiqua" w:hAnsi="Book Antiqua"/>
          <w:color w:val="365F91" w:themeColor="accent1" w:themeShade="BF"/>
        </w:rPr>
        <w:t xml:space="preserve"> </w:t>
      </w:r>
      <w:r w:rsidRPr="00AF2F12">
        <w:rPr>
          <w:rFonts w:ascii="Book Antiqua" w:hAnsi="Book Antiqua"/>
          <w:b/>
          <w:bCs/>
          <w:color w:val="365F91" w:themeColor="accent1" w:themeShade="BF"/>
        </w:rPr>
        <w:t>non-Massachusetts state sponsored universities:</w:t>
      </w:r>
    </w:p>
    <w:p w:rsidR="00FA264A" w:rsidRPr="00AF2F12" w:rsidRDefault="00FA264A" w:rsidP="00FA264A">
      <w:pPr>
        <w:pStyle w:val="ListParagraph"/>
        <w:ind w:left="360"/>
        <w:rPr>
          <w:rFonts w:ascii="Book Antiqua" w:hAnsi="Book Antiqua"/>
          <w:color w:val="365F91" w:themeColor="accent1" w:themeShade="BF"/>
        </w:rPr>
      </w:pPr>
      <w:r w:rsidRPr="00AF2F12">
        <w:rPr>
          <w:rFonts w:ascii="Book Antiqua" w:hAnsi="Book Antiqua"/>
          <w:color w:val="365F91" w:themeColor="accent1" w:themeShade="BF"/>
        </w:rPr>
        <w:t xml:space="preserve"> </w:t>
      </w:r>
      <w:proofErr w:type="gramStart"/>
      <w:r w:rsidRPr="00AF2F12">
        <w:rPr>
          <w:rFonts w:ascii="Book Antiqua" w:hAnsi="Book Antiqua"/>
          <w:color w:val="365F91" w:themeColor="accent1" w:themeShade="BF"/>
        </w:rPr>
        <w:t>fringe</w:t>
      </w:r>
      <w:proofErr w:type="gramEnd"/>
      <w:r w:rsidRPr="00AF2F12">
        <w:rPr>
          <w:rFonts w:ascii="Book Antiqua" w:hAnsi="Book Antiqua"/>
          <w:color w:val="365F91" w:themeColor="accent1" w:themeShade="BF"/>
        </w:rPr>
        <w:t xml:space="preserve"> related costs are allowable and can be listed under the “Fringe” cost category.</w:t>
      </w:r>
    </w:p>
    <w:p w:rsidR="00FA264A" w:rsidRPr="004A60BD" w:rsidRDefault="00FA264A" w:rsidP="00FA264A">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FA264A" w:rsidRPr="004A60BD" w:rsidTr="00A049A8">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40"/>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51"/>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81028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15"/>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81028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Default="00FA264A" w:rsidP="00FA264A">
      <w:pPr>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Pr="009B1215"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rPr>
          <w:rFonts w:ascii="Book Antiqua" w:hAnsi="Book Antiqua"/>
          <w:i/>
          <w:color w:val="365F91" w:themeColor="accent1" w:themeShade="BF"/>
          <w:sz w:val="22"/>
          <w:szCs w:val="22"/>
        </w:rPr>
      </w:pPr>
      <w:r>
        <w:rPr>
          <w:rFonts w:ascii="Book Antiqua" w:hAnsi="Book Antiqua"/>
          <w:b/>
          <w:color w:val="365F91" w:themeColor="accent1" w:themeShade="BF"/>
          <w:sz w:val="22"/>
          <w:szCs w:val="22"/>
        </w:rPr>
        <w:t>C</w:t>
      </w:r>
      <w:r w:rsidRPr="00AF2F12">
        <w:rPr>
          <w:rFonts w:ascii="Book Antiqua" w:hAnsi="Book Antiqua"/>
          <w:b/>
          <w:color w:val="365F91" w:themeColor="accent1" w:themeShade="BF"/>
          <w:sz w:val="22"/>
          <w:szCs w:val="22"/>
        </w:rPr>
        <w:t>. Consultants</w:t>
      </w:r>
      <w:r w:rsidRPr="00AF2F12">
        <w:rPr>
          <w:rFonts w:ascii="Book Antiqua" w:hAnsi="Book Antiqua"/>
          <w:color w:val="365F91" w:themeColor="accent1" w:themeShade="BF"/>
          <w:sz w:val="22"/>
          <w:szCs w:val="22"/>
        </w:rPr>
        <w:t xml:space="preserve"> - Consultant or contractor fees. The maximum rate for consultants is $650 for an eight hour day or $81.25 per hour (excluding travel and subsistence costs).  Any request for compensation over $650 per day requires prior written approval by EOPSS. Contracts – a competitive process based on the municipality’s procurement policy should be followed when procuring contracted services. Contract salary, fringe benefit, indirect, travel, and other costs should follow instructions within direct salary, fringe benefit, indirect, travel and other costs.  </w:t>
      </w:r>
      <w:r>
        <w:rPr>
          <w:rFonts w:ascii="Book Antiqua" w:hAnsi="Book Antiqua"/>
          <w:i/>
          <w:color w:val="365F91" w:themeColor="accent1" w:themeShade="BF"/>
          <w:sz w:val="22"/>
          <w:szCs w:val="22"/>
        </w:rPr>
        <w:t>Note: Contractors must submit an additional Budget Narrative indicating expected expenditures.</w:t>
      </w:r>
    </w:p>
    <w:p w:rsidR="00FA264A" w:rsidRPr="004A60BD" w:rsidRDefault="00FA264A" w:rsidP="00FA264A">
      <w:pPr>
        <w:pStyle w:val="BodyText"/>
        <w:tabs>
          <w:tab w:val="left" w:pos="360"/>
          <w:tab w:val="left" w:pos="1440"/>
          <w:tab w:val="left" w:pos="2160"/>
          <w:tab w:val="left" w:pos="5040"/>
          <w:tab w:val="left" w:pos="5760"/>
        </w:tabs>
        <w:spacing w:line="0" w:lineRule="atLeast"/>
        <w:ind w:left="360"/>
        <w:rPr>
          <w:rFonts w:ascii="Book Antiqua" w:hAnsi="Book Antiqua"/>
          <w:b/>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FA264A" w:rsidRPr="004A60BD" w:rsidTr="00A049A8">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Consultant 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40"/>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AA6325"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single" w:sz="12" w:space="0" w:color="auto"/>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Consultants 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Pr="00811170"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D.  Travel</w:t>
      </w:r>
      <w:r w:rsidRPr="00AF2F12">
        <w:rPr>
          <w:rFonts w:ascii="Book Antiqua" w:hAnsi="Book Antiqua"/>
          <w:color w:val="365F91" w:themeColor="accent1" w:themeShade="BF"/>
          <w:sz w:val="22"/>
          <w:szCs w:val="22"/>
        </w:rPr>
        <w:t xml:space="preserve"> - Travel directly related to the purpose of the grant. In-state travel costs associated with the grant shall include mileage rates not in excess of $0.45 per mile, as well as the actual costs of tolls and parking.</w:t>
      </w:r>
    </w:p>
    <w:p w:rsidR="00FA264A" w:rsidRPr="00677ED1"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FA264A" w:rsidRPr="004A60BD" w:rsidTr="00A049A8">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40"/>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single" w:sz="12" w:space="0" w:color="auto"/>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single" w:sz="12" w:space="0" w:color="auto"/>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Pr="005F510B"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sidRPr="00AF2F12">
        <w:rPr>
          <w:rFonts w:ascii="Book Antiqua" w:hAnsi="Book Antiqua"/>
          <w:b/>
          <w:color w:val="365F91" w:themeColor="accent1" w:themeShade="BF"/>
          <w:sz w:val="22"/>
          <w:szCs w:val="22"/>
        </w:rPr>
        <w:t xml:space="preserve">E. Equipment </w:t>
      </w:r>
      <w:r w:rsidRPr="00AF2F12">
        <w:rPr>
          <w:rFonts w:ascii="Book Antiqua" w:hAnsi="Book Antiqua"/>
          <w:color w:val="365F91" w:themeColor="accent1" w:themeShade="BF"/>
          <w:sz w:val="22"/>
          <w:szCs w:val="22"/>
        </w:rPr>
        <w:t>- Describe the make and cost of all equipment purchased, including communication equipment,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FA264A" w:rsidRPr="00AF2F12" w:rsidTr="00A049A8">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AF2F12" w:rsidTr="00A049A8">
        <w:trPr>
          <w:cantSplit/>
          <w:trHeight w:hRule="exact" w:val="658"/>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13"/>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single" w:sz="12" w:space="0" w:color="auto"/>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677ED1" w:rsidTr="00A049A8">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677ED1" w:rsidTr="00A049A8">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821ECB"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821ECB">
        <w:rPr>
          <w:rFonts w:ascii="Book Antiqua" w:hAnsi="Book Antiqua"/>
          <w:b/>
          <w:color w:val="365F91" w:themeColor="accent1" w:themeShade="BF"/>
        </w:rPr>
        <w:lastRenderedPageBreak/>
        <w:t>Applicant Name:</w:t>
      </w:r>
      <w:r w:rsidRPr="00821ECB">
        <w:rPr>
          <w:rFonts w:ascii="Book Antiqua" w:hAnsi="Book Antiqua"/>
          <w:b/>
          <w:color w:val="365F91" w:themeColor="accent1" w:themeShade="BF"/>
        </w:rPr>
        <w:tab/>
      </w:r>
      <w:r w:rsidRPr="00821ECB">
        <w:rPr>
          <w:rFonts w:ascii="Book Antiqua" w:hAnsi="Book Antiqua"/>
          <w:b/>
          <w:color w:val="365F91" w:themeColor="accent1" w:themeShade="BF"/>
        </w:rPr>
        <w:tab/>
      </w:r>
    </w:p>
    <w:p w:rsidR="00FA264A" w:rsidRPr="00821ECB" w:rsidRDefault="00FA264A" w:rsidP="00FA264A">
      <w:pPr>
        <w:spacing w:line="360" w:lineRule="auto"/>
        <w:rPr>
          <w:rFonts w:ascii="Book Antiqua" w:hAnsi="Book Antiqua"/>
          <w:b/>
          <w:color w:val="365F91" w:themeColor="accent1" w:themeShade="BF"/>
        </w:rPr>
      </w:pPr>
      <w:r w:rsidRPr="00821ECB">
        <w:rPr>
          <w:rFonts w:ascii="Book Antiqua" w:hAnsi="Book Antiqua"/>
          <w:b/>
          <w:color w:val="365F91" w:themeColor="accent1" w:themeShade="BF"/>
        </w:rPr>
        <w:t xml:space="preserve">Research Organization Name:  </w:t>
      </w:r>
    </w:p>
    <w:p w:rsidR="00FA264A" w:rsidRPr="00677ED1"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sidRPr="00821ECB">
        <w:rPr>
          <w:rFonts w:ascii="Book Antiqua" w:hAnsi="Book Antiqua"/>
          <w:b/>
          <w:color w:val="365F91" w:themeColor="accent1" w:themeShade="BF"/>
          <w:sz w:val="22"/>
          <w:szCs w:val="22"/>
        </w:rPr>
        <w:t xml:space="preserve">F.   Supplies - </w:t>
      </w:r>
      <w:r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FA264A" w:rsidRPr="00821ECB" w:rsidTr="00A049A8">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821ECB" w:rsidTr="00A049A8">
        <w:trPr>
          <w:cantSplit/>
          <w:trHeight w:hRule="exact" w:val="568"/>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13"/>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13"/>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single" w:sz="12" w:space="0" w:color="auto"/>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821ECB" w:rsidTr="00A049A8">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Pr="00A00EAA" w:rsidRDefault="00FA264A" w:rsidP="00FA264A">
      <w:pPr>
        <w:rPr>
          <w:rFonts w:ascii="Book Antiqua" w:hAnsi="Book Antiqua"/>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821ECB" w:rsidRDefault="00FA264A" w:rsidP="00FA264A">
      <w:pPr>
        <w:rPr>
          <w:rFonts w:ascii="Book Antiqua" w:hAnsi="Book Antiqua"/>
          <w:color w:val="365F91" w:themeColor="accent1" w:themeShade="BF"/>
          <w:sz w:val="22"/>
          <w:szCs w:val="22"/>
        </w:rPr>
      </w:pPr>
      <w:r w:rsidRPr="00821ECB">
        <w:rPr>
          <w:rFonts w:ascii="Book Antiqua" w:hAnsi="Book Antiqua"/>
          <w:b/>
          <w:color w:val="365F91" w:themeColor="accent1" w:themeShade="BF"/>
        </w:rPr>
        <w:lastRenderedPageBreak/>
        <w:t>Applicant Name:</w:t>
      </w:r>
      <w:r w:rsidRPr="00821ECB">
        <w:rPr>
          <w:rFonts w:ascii="Book Antiqua" w:hAnsi="Book Antiqua"/>
          <w:b/>
          <w:color w:val="365F91" w:themeColor="accent1" w:themeShade="BF"/>
        </w:rPr>
        <w:tab/>
      </w:r>
      <w:r w:rsidRPr="00821ECB">
        <w:rPr>
          <w:rFonts w:ascii="Book Antiqua" w:hAnsi="Book Antiqua"/>
          <w:b/>
          <w:color w:val="365F91" w:themeColor="accent1" w:themeShade="BF"/>
        </w:rPr>
        <w:tab/>
      </w:r>
    </w:p>
    <w:p w:rsidR="00FA264A" w:rsidRPr="00821ECB" w:rsidRDefault="00FA264A" w:rsidP="00FA264A">
      <w:pPr>
        <w:spacing w:line="360" w:lineRule="auto"/>
        <w:rPr>
          <w:rFonts w:ascii="Book Antiqua" w:hAnsi="Book Antiqua"/>
          <w:b/>
          <w:color w:val="365F91" w:themeColor="accent1" w:themeShade="BF"/>
        </w:rPr>
      </w:pPr>
      <w:r w:rsidRPr="00821ECB">
        <w:rPr>
          <w:rFonts w:ascii="Book Antiqua" w:hAnsi="Book Antiqua"/>
          <w:b/>
          <w:color w:val="365F91" w:themeColor="accent1" w:themeShade="BF"/>
        </w:rPr>
        <w:t xml:space="preserve">Research Organization Name:  </w:t>
      </w:r>
    </w:p>
    <w:p w:rsidR="00FA264A" w:rsidRDefault="00FA264A" w:rsidP="00FA264A">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821ECB">
        <w:rPr>
          <w:rFonts w:ascii="Book Antiqua" w:hAnsi="Book Antiqua"/>
          <w:b/>
          <w:color w:val="365F91" w:themeColor="accent1" w:themeShade="BF"/>
          <w:sz w:val="22"/>
          <w:szCs w:val="22"/>
        </w:rPr>
        <w:t>G.</w:t>
      </w:r>
      <w:r w:rsidRPr="00821ECB">
        <w:rPr>
          <w:rFonts w:ascii="Book Antiqua" w:hAnsi="Book Antiqua"/>
          <w:b/>
          <w:color w:val="365F91" w:themeColor="accent1" w:themeShade="BF"/>
          <w:sz w:val="22"/>
          <w:szCs w:val="22"/>
        </w:rPr>
        <w:tab/>
        <w:t xml:space="preserve">Other Expenses – </w:t>
      </w:r>
      <w:r w:rsidRPr="00821ECB">
        <w:rPr>
          <w:rFonts w:ascii="Book Antiqua" w:hAnsi="Book Antiqua"/>
          <w:color w:val="365F91" w:themeColor="accent1" w:themeShade="BF"/>
          <w:sz w:val="22"/>
          <w:szCs w:val="22"/>
        </w:rPr>
        <w:t xml:space="preserve">Any other costs not listed in previous budget categories.  Expenses listed in this category may include additional direct costs relevant to proposed program such as rent, phone, accounting/human resource services and utilities.  </w:t>
      </w:r>
    </w:p>
    <w:p w:rsidR="00FA264A" w:rsidRDefault="00FA264A" w:rsidP="00FA264A">
      <w:pPr>
        <w:rPr>
          <w:rFonts w:ascii="Book Antiqua" w:hAnsi="Book Antiqua"/>
          <w:color w:val="365F91" w:themeColor="accent1" w:themeShade="BF"/>
          <w:sz w:val="22"/>
          <w:szCs w:val="22"/>
        </w:rPr>
      </w:pPr>
      <w:r w:rsidRPr="00821ECB">
        <w:rPr>
          <w:rFonts w:ascii="Book Antiqua" w:hAnsi="Book Antiqua"/>
          <w:color w:val="365F91" w:themeColor="accent1" w:themeShade="BF"/>
          <w:sz w:val="22"/>
          <w:szCs w:val="22"/>
        </w:rPr>
        <w:t>Direct and/or support service costs relevant to the proposed project that cannot be listed within the personnel, fringe, consultants/contracts, travel and/or supplies cost category can be included in the “Other” cost category.   Direct and/or support service costs may not exceed a rate of 27.5%. Please be sure to itemize each cost type and detail as to how the amount budgeted was calculated. </w:t>
      </w:r>
    </w:p>
    <w:p w:rsidR="00FA264A" w:rsidRPr="005B0F85" w:rsidRDefault="00FA264A" w:rsidP="00FA264A">
      <w:pPr>
        <w:rPr>
          <w:rFonts w:ascii="Book Antiqua" w:hAnsi="Book Antiqua"/>
          <w:color w:val="365F91" w:themeColor="accent1" w:themeShade="BF"/>
          <w:sz w:val="22"/>
          <w:szCs w:val="22"/>
        </w:rPr>
      </w:pPr>
    </w:p>
    <w:p w:rsidR="00FA264A" w:rsidRPr="00821ECB" w:rsidRDefault="00FA264A" w:rsidP="00FA264A">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r w:rsidRPr="00821ECB">
        <w:rPr>
          <w:rFonts w:ascii="Book Antiqua" w:hAnsi="Book Antiqua"/>
          <w:b/>
          <w:bCs/>
          <w:color w:val="365F91" w:themeColor="accent1" w:themeShade="BF"/>
          <w:sz w:val="22"/>
          <w:szCs w:val="22"/>
        </w:rPr>
        <w:t>For Massachusetts state sponsored universities</w:t>
      </w:r>
      <w:r w:rsidRPr="00821ECB">
        <w:rPr>
          <w:rFonts w:ascii="Book Antiqua" w:hAnsi="Book Antiqua"/>
          <w:color w:val="365F91" w:themeColor="accent1" w:themeShade="BF"/>
          <w:sz w:val="22"/>
          <w:szCs w:val="22"/>
        </w:rPr>
        <w:t xml:space="preserve"> (e.g. University of Massachusetts</w:t>
      </w:r>
      <w:proofErr w:type="gramStart"/>
      <w:r w:rsidRPr="00821ECB">
        <w:rPr>
          <w:rFonts w:ascii="Book Antiqua" w:hAnsi="Book Antiqua"/>
          <w:color w:val="365F91" w:themeColor="accent1" w:themeShade="BF"/>
          <w:sz w:val="22"/>
          <w:szCs w:val="22"/>
        </w:rPr>
        <w:t>)-</w:t>
      </w:r>
      <w:proofErr w:type="gramEnd"/>
      <w:r w:rsidRPr="00821ECB">
        <w:rPr>
          <w:rFonts w:ascii="Book Antiqua" w:hAnsi="Book Antiqua"/>
          <w:color w:val="365F91" w:themeColor="accent1" w:themeShade="BF"/>
          <w:sz w:val="22"/>
          <w:szCs w:val="22"/>
        </w:rPr>
        <w:t xml:space="preserve">  any fringe related costs  may be listed in the “Other Category” as </w:t>
      </w:r>
      <w:r w:rsidRPr="00821ECB">
        <w:rPr>
          <w:rFonts w:ascii="Book Antiqua" w:hAnsi="Book Antiqua"/>
          <w:i/>
          <w:iCs/>
          <w:color w:val="365F91" w:themeColor="accent1" w:themeShade="BF"/>
          <w:sz w:val="22"/>
          <w:szCs w:val="22"/>
        </w:rPr>
        <w:t>other personnel costs</w:t>
      </w:r>
      <w:r w:rsidRPr="00821ECB">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FA264A" w:rsidRPr="004A60BD" w:rsidTr="00A049A8">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B23088"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5220" w:type="dxa"/>
            <w:tcBorders>
              <w:top w:val="single" w:sz="12" w:space="0" w:color="auto"/>
              <w:left w:val="single" w:sz="4" w:space="0" w:color="auto"/>
              <w:bottom w:val="single" w:sz="12" w:space="0" w:color="auto"/>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580" w:type="dxa"/>
            <w:gridSpan w:val="2"/>
            <w:tcBorders>
              <w:top w:val="single" w:sz="12" w:space="0" w:color="auto"/>
              <w:left w:val="nil"/>
              <w:bottom w:val="single" w:sz="12"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r w:rsidR="00FA264A" w:rsidRPr="004A60BD" w:rsidTr="00A049A8">
        <w:trPr>
          <w:trHeight w:val="2085"/>
        </w:trPr>
        <w:tc>
          <w:tcPr>
            <w:tcW w:w="10800" w:type="dxa"/>
            <w:gridSpan w:val="3"/>
            <w:tcBorders>
              <w:top w:val="single" w:sz="12" w:space="0" w:color="auto"/>
              <w:left w:val="single" w:sz="4" w:space="0" w:color="auto"/>
              <w:bottom w:val="nil"/>
              <w:right w:val="single" w:sz="4" w:space="0" w:color="auto"/>
            </w:tcBorders>
            <w:shd w:val="clear" w:color="auto" w:fill="auto"/>
          </w:tcPr>
          <w:p w:rsidR="00FA264A" w:rsidRPr="00B23088"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bl>
    <w:p w:rsidR="00FA264A" w:rsidRPr="004A60BD" w:rsidRDefault="00FA264A" w:rsidP="00FA264A">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FA264A" w:rsidRPr="004A60BD" w:rsidTr="00A049A8">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FA264A" w:rsidRPr="004A60BD" w:rsidRDefault="00FA264A" w:rsidP="00A049A8">
            <w:pPr>
              <w:pStyle w:val="BodyText"/>
              <w:tabs>
                <w:tab w:val="left" w:pos="360"/>
                <w:tab w:val="left" w:pos="1440"/>
                <w:tab w:val="left" w:pos="2160"/>
                <w:tab w:val="left" w:pos="5040"/>
                <w:tab w:val="left" w:pos="5760"/>
              </w:tabs>
              <w:spacing w:line="0" w:lineRule="atLeast"/>
              <w:jc w:val="right"/>
              <w:rPr>
                <w:rFonts w:ascii="Book Antiqua" w:hAnsi="Book Antiqua"/>
                <w:b/>
                <w:sz w:val="22"/>
                <w:szCs w:val="22"/>
              </w:rPr>
            </w:pPr>
            <w:r w:rsidRPr="00821ECB">
              <w:rPr>
                <w:rFonts w:ascii="Book Antiqua" w:hAnsi="Book Antiqua"/>
                <w:b/>
                <w:color w:val="FFFFFF" w:themeColor="background1"/>
                <w:sz w:val="22"/>
                <w:szCs w:val="22"/>
              </w:rPr>
              <w:t>Total</w:t>
            </w:r>
            <w:r>
              <w:rPr>
                <w:rFonts w:ascii="Book Antiqua" w:hAnsi="Book Antiqua"/>
                <w:b/>
                <w:color w:val="FFFFFF" w:themeColor="background1"/>
                <w:sz w:val="22"/>
                <w:szCs w:val="22"/>
              </w:rPr>
              <w:t xml:space="preserve"> Award</w:t>
            </w:r>
            <w:r w:rsidRPr="00821ECB">
              <w:rPr>
                <w:rFonts w:ascii="Book Antiqua" w:hAnsi="Book Antiqua"/>
                <w:b/>
                <w:color w:val="FFFFFF" w:themeColor="background1"/>
                <w:sz w:val="22"/>
                <w:szCs w:val="22"/>
              </w:rPr>
              <w:t xml:space="preserve"> Request</w:t>
            </w:r>
            <w:r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FA264A" w:rsidRPr="004A60BD" w:rsidRDefault="00FA264A" w:rsidP="00A049A8">
            <w:pPr>
              <w:pStyle w:val="BodyText"/>
              <w:tabs>
                <w:tab w:val="left" w:pos="360"/>
                <w:tab w:val="left" w:pos="1440"/>
                <w:tab w:val="left" w:pos="2160"/>
                <w:tab w:val="left" w:pos="5040"/>
                <w:tab w:val="left" w:pos="5760"/>
              </w:tabs>
              <w:spacing w:line="0" w:lineRule="atLeast"/>
              <w:rPr>
                <w:rFonts w:ascii="Book Antiqua" w:hAnsi="Book Antiqua"/>
                <w:b/>
                <w:sz w:val="22"/>
                <w:szCs w:val="22"/>
              </w:rPr>
            </w:pPr>
          </w:p>
        </w:tc>
      </w:tr>
    </w:tbl>
    <w:p w:rsidR="00FA264A" w:rsidRPr="004A60BD" w:rsidRDefault="00FA264A" w:rsidP="00FA264A">
      <w:pPr>
        <w:pStyle w:val="BodyText"/>
        <w:tabs>
          <w:tab w:val="left" w:pos="1440"/>
          <w:tab w:val="left" w:pos="2160"/>
          <w:tab w:val="left" w:pos="5040"/>
          <w:tab w:val="left" w:pos="5760"/>
        </w:tabs>
        <w:spacing w:line="0" w:lineRule="atLeast"/>
        <w:rPr>
          <w:rFonts w:ascii="Book Antiqua" w:hAnsi="Book Antiqua"/>
          <w:b/>
          <w:sz w:val="22"/>
          <w:szCs w:val="22"/>
        </w:rPr>
      </w:pPr>
    </w:p>
    <w:p w:rsidR="00D87F18" w:rsidRDefault="00D87F18"/>
    <w:sectPr w:rsidR="00D87F18" w:rsidSect="00FA264A">
      <w:headerReference w:type="default" r:id="rId7"/>
      <w:footerReference w:type="default" r:id="rId8"/>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D00">
      <w:r>
        <w:separator/>
      </w:r>
    </w:p>
  </w:endnote>
  <w:endnote w:type="continuationSeparator" w:id="0">
    <w:p w:rsidR="00000000" w:rsidRDefault="00B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7735"/>
      <w:docPartObj>
        <w:docPartGallery w:val="Page Numbers (Bottom of Page)"/>
        <w:docPartUnique/>
      </w:docPartObj>
    </w:sdtPr>
    <w:sdtEndPr>
      <w:rPr>
        <w:noProof/>
      </w:rPr>
    </w:sdtEndPr>
    <w:sdtContent>
      <w:p w:rsidR="006750F1" w:rsidRDefault="00FA264A">
        <w:pPr>
          <w:pStyle w:val="Footer"/>
          <w:jc w:val="center"/>
        </w:pPr>
        <w:r>
          <w:fldChar w:fldCharType="begin"/>
        </w:r>
        <w:r>
          <w:instrText xml:space="preserve"> PAGE   \* MERGEFORMAT </w:instrText>
        </w:r>
        <w:r>
          <w:fldChar w:fldCharType="separate"/>
        </w:r>
        <w:r w:rsidR="00B06D00">
          <w:rPr>
            <w:noProof/>
          </w:rPr>
          <w:t>7</w:t>
        </w:r>
        <w:r>
          <w:rPr>
            <w:noProof/>
          </w:rPr>
          <w:fldChar w:fldCharType="end"/>
        </w:r>
      </w:p>
    </w:sdtContent>
  </w:sdt>
  <w:p w:rsidR="006750F1" w:rsidRDefault="00B0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D00">
      <w:r>
        <w:separator/>
      </w:r>
    </w:p>
  </w:footnote>
  <w:footnote w:type="continuationSeparator" w:id="0">
    <w:p w:rsidR="00000000" w:rsidRDefault="00B0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B" w:rsidRDefault="00B06D00" w:rsidP="00C74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A"/>
    <w:rsid w:val="00B06D00"/>
    <w:rsid w:val="00D87F18"/>
    <w:rsid w:val="00FA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3855"/>
  <w15:chartTrackingRefBased/>
  <w15:docId w15:val="{554C0594-2B66-453D-9749-7F21720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64A"/>
    <w:pPr>
      <w:tabs>
        <w:tab w:val="center" w:pos="4320"/>
        <w:tab w:val="right" w:pos="8640"/>
      </w:tabs>
    </w:pPr>
  </w:style>
  <w:style w:type="character" w:customStyle="1" w:styleId="HeaderChar">
    <w:name w:val="Header Char"/>
    <w:basedOn w:val="DefaultParagraphFont"/>
    <w:link w:val="Header"/>
    <w:rsid w:val="00FA264A"/>
    <w:rPr>
      <w:rFonts w:ascii="Times New Roman" w:eastAsia="Times New Roman" w:hAnsi="Times New Roman" w:cs="Times New Roman"/>
      <w:sz w:val="20"/>
      <w:szCs w:val="20"/>
    </w:rPr>
  </w:style>
  <w:style w:type="paragraph" w:styleId="Footer">
    <w:name w:val="footer"/>
    <w:basedOn w:val="Normal"/>
    <w:link w:val="FooterChar"/>
    <w:uiPriority w:val="99"/>
    <w:rsid w:val="00FA264A"/>
    <w:pPr>
      <w:tabs>
        <w:tab w:val="center" w:pos="4320"/>
        <w:tab w:val="right" w:pos="8640"/>
      </w:tabs>
    </w:pPr>
  </w:style>
  <w:style w:type="character" w:customStyle="1" w:styleId="FooterChar">
    <w:name w:val="Footer Char"/>
    <w:basedOn w:val="DefaultParagraphFont"/>
    <w:link w:val="Footer"/>
    <w:uiPriority w:val="99"/>
    <w:rsid w:val="00FA264A"/>
    <w:rPr>
      <w:rFonts w:ascii="Times New Roman" w:eastAsia="Times New Roman" w:hAnsi="Times New Roman" w:cs="Times New Roman"/>
      <w:sz w:val="20"/>
      <w:szCs w:val="20"/>
    </w:rPr>
  </w:style>
  <w:style w:type="paragraph" w:styleId="ListParagraph">
    <w:name w:val="List Paragraph"/>
    <w:basedOn w:val="Normal"/>
    <w:uiPriority w:val="34"/>
    <w:qFormat/>
    <w:rsid w:val="00FA264A"/>
    <w:pPr>
      <w:ind w:left="720"/>
    </w:pPr>
    <w:rPr>
      <w:rFonts w:ascii="Calibri" w:eastAsia="Calibri" w:hAnsi="Calibri"/>
      <w:sz w:val="22"/>
      <w:szCs w:val="22"/>
    </w:rPr>
  </w:style>
  <w:style w:type="paragraph" w:styleId="BodyText">
    <w:name w:val="Body Text"/>
    <w:basedOn w:val="Normal"/>
    <w:link w:val="BodyTextChar"/>
    <w:rsid w:val="00FA264A"/>
    <w:pPr>
      <w:spacing w:after="120"/>
    </w:pPr>
  </w:style>
  <w:style w:type="character" w:customStyle="1" w:styleId="BodyTextChar">
    <w:name w:val="Body Text Char"/>
    <w:basedOn w:val="DefaultParagraphFont"/>
    <w:link w:val="BodyText"/>
    <w:rsid w:val="00FA26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Jenny (OGR)</dc:creator>
  <cp:keywords/>
  <dc:description/>
  <cp:lastModifiedBy>Bishop, Michael (OGR)</cp:lastModifiedBy>
  <cp:revision>2</cp:revision>
  <dcterms:created xsi:type="dcterms:W3CDTF">2018-08-22T14:36:00Z</dcterms:created>
  <dcterms:modified xsi:type="dcterms:W3CDTF">2018-09-21T13:37:00Z</dcterms:modified>
</cp:coreProperties>
</file>