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4"/>
        <w:gridCol w:w="7760"/>
      </w:tblGrid>
      <w:tr w:rsidR="00027CF8">
        <w:trPr>
          <w:trHeight w:val="652"/>
        </w:trPr>
        <w:tc>
          <w:tcPr>
            <w:tcW w:w="2544" w:type="dxa"/>
            <w:vMerge w:val="restart"/>
          </w:tcPr>
          <w:p w:rsidR="00027CF8" w:rsidRDefault="00027CF8">
            <w:pPr>
              <w:pStyle w:val="TableParagraph"/>
              <w:spacing w:before="6"/>
              <w:ind w:left="0"/>
              <w:rPr>
                <w:sz w:val="16"/>
              </w:rPr>
            </w:pPr>
            <w:bookmarkStart w:id="0" w:name="_GoBack"/>
            <w:bookmarkEnd w:id="0"/>
          </w:p>
          <w:p w:rsidR="00027CF8" w:rsidRDefault="00DA0FB6">
            <w:pPr>
              <w:pStyle w:val="TableParagraph"/>
              <w:ind w:left="118"/>
              <w:rPr>
                <w:sz w:val="20"/>
              </w:rPr>
            </w:pPr>
            <w:r>
              <w:rPr>
                <w:noProof/>
                <w:sz w:val="20"/>
              </w:rPr>
              <w:drawing>
                <wp:inline distT="0" distB="0" distL="0" distR="0">
                  <wp:extent cx="1243583" cy="124358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43583" cy="1243583"/>
                          </a:xfrm>
                          <a:prstGeom prst="rect">
                            <a:avLst/>
                          </a:prstGeom>
                        </pic:spPr>
                      </pic:pic>
                    </a:graphicData>
                  </a:graphic>
                </wp:inline>
              </w:drawing>
            </w:r>
          </w:p>
        </w:tc>
        <w:tc>
          <w:tcPr>
            <w:tcW w:w="7760" w:type="dxa"/>
          </w:tcPr>
          <w:p w:rsidR="00027CF8" w:rsidRDefault="00DA0FB6">
            <w:pPr>
              <w:pStyle w:val="TableParagraph"/>
              <w:spacing w:before="1" w:line="630" w:lineRule="exact"/>
              <w:ind w:right="1264"/>
              <w:jc w:val="center"/>
              <w:rPr>
                <w:rFonts w:ascii="Edwardian Script ITC"/>
                <w:b/>
                <w:i/>
                <w:sz w:val="56"/>
              </w:rPr>
            </w:pPr>
            <w:r>
              <w:rPr>
                <w:rFonts w:ascii="Edwardian Script ITC"/>
                <w:b/>
                <w:i/>
                <w:color w:val="000080"/>
                <w:spacing w:val="3"/>
                <w:sz w:val="56"/>
              </w:rPr>
              <w:t xml:space="preserve">Commonwealth </w:t>
            </w:r>
            <w:r>
              <w:rPr>
                <w:rFonts w:ascii="Edwardian Script ITC"/>
                <w:b/>
                <w:i/>
                <w:color w:val="000080"/>
                <w:spacing w:val="6"/>
                <w:sz w:val="56"/>
              </w:rPr>
              <w:t>of</w:t>
            </w:r>
            <w:r>
              <w:rPr>
                <w:rFonts w:ascii="Edwardian Script ITC"/>
                <w:b/>
                <w:i/>
                <w:color w:val="000080"/>
                <w:spacing w:val="-51"/>
                <w:sz w:val="56"/>
              </w:rPr>
              <w:t xml:space="preserve"> </w:t>
            </w:r>
            <w:r>
              <w:rPr>
                <w:rFonts w:ascii="Edwardian Script ITC"/>
                <w:b/>
                <w:i/>
                <w:color w:val="000080"/>
                <w:spacing w:val="2"/>
                <w:sz w:val="56"/>
              </w:rPr>
              <w:t>Massachusetts</w:t>
            </w:r>
          </w:p>
        </w:tc>
      </w:tr>
      <w:tr w:rsidR="00027CF8">
        <w:trPr>
          <w:trHeight w:val="267"/>
        </w:trPr>
        <w:tc>
          <w:tcPr>
            <w:tcW w:w="2544" w:type="dxa"/>
            <w:vMerge/>
            <w:tcBorders>
              <w:top w:val="nil"/>
            </w:tcBorders>
          </w:tcPr>
          <w:p w:rsidR="00027CF8" w:rsidRDefault="00027CF8">
            <w:pPr>
              <w:rPr>
                <w:sz w:val="2"/>
                <w:szCs w:val="2"/>
              </w:rPr>
            </w:pPr>
          </w:p>
        </w:tc>
        <w:tc>
          <w:tcPr>
            <w:tcW w:w="7760" w:type="dxa"/>
          </w:tcPr>
          <w:p w:rsidR="00027CF8" w:rsidRDefault="00DA0FB6">
            <w:pPr>
              <w:pStyle w:val="TableParagraph"/>
              <w:spacing w:line="248" w:lineRule="exact"/>
              <w:ind w:right="1260"/>
              <w:jc w:val="center"/>
              <w:rPr>
                <w:b/>
                <w:i/>
                <w:sz w:val="24"/>
              </w:rPr>
            </w:pPr>
            <w:r>
              <w:rPr>
                <w:b/>
                <w:i/>
                <w:color w:val="000080"/>
                <w:sz w:val="24"/>
              </w:rPr>
              <w:t>Executive Office of Health and Human Services</w:t>
            </w:r>
          </w:p>
        </w:tc>
      </w:tr>
      <w:tr w:rsidR="00027CF8">
        <w:trPr>
          <w:trHeight w:val="348"/>
        </w:trPr>
        <w:tc>
          <w:tcPr>
            <w:tcW w:w="2544" w:type="dxa"/>
            <w:vMerge/>
            <w:tcBorders>
              <w:top w:val="nil"/>
            </w:tcBorders>
          </w:tcPr>
          <w:p w:rsidR="00027CF8" w:rsidRDefault="00027CF8">
            <w:pPr>
              <w:rPr>
                <w:sz w:val="2"/>
                <w:szCs w:val="2"/>
              </w:rPr>
            </w:pPr>
          </w:p>
        </w:tc>
        <w:tc>
          <w:tcPr>
            <w:tcW w:w="7760" w:type="dxa"/>
          </w:tcPr>
          <w:p w:rsidR="00027CF8" w:rsidRDefault="00DA0FB6">
            <w:pPr>
              <w:pStyle w:val="TableParagraph"/>
              <w:spacing w:line="328" w:lineRule="exact"/>
              <w:ind w:left="1263" w:right="1264"/>
              <w:jc w:val="center"/>
              <w:rPr>
                <w:b/>
                <w:sz w:val="32"/>
              </w:rPr>
            </w:pPr>
            <w:r>
              <w:rPr>
                <w:b/>
                <w:color w:val="000080"/>
                <w:sz w:val="32"/>
              </w:rPr>
              <w:t>Department of Youth Services</w:t>
            </w:r>
          </w:p>
        </w:tc>
      </w:tr>
      <w:tr w:rsidR="00027CF8">
        <w:trPr>
          <w:trHeight w:val="1003"/>
        </w:trPr>
        <w:tc>
          <w:tcPr>
            <w:tcW w:w="2544" w:type="dxa"/>
            <w:vMerge/>
            <w:tcBorders>
              <w:top w:val="nil"/>
            </w:tcBorders>
          </w:tcPr>
          <w:p w:rsidR="00027CF8" w:rsidRDefault="00027CF8">
            <w:pPr>
              <w:rPr>
                <w:sz w:val="2"/>
                <w:szCs w:val="2"/>
              </w:rPr>
            </w:pPr>
          </w:p>
        </w:tc>
        <w:tc>
          <w:tcPr>
            <w:tcW w:w="7760" w:type="dxa"/>
          </w:tcPr>
          <w:p w:rsidR="00027CF8" w:rsidRDefault="00486F43">
            <w:pPr>
              <w:pStyle w:val="TableParagraph"/>
              <w:spacing w:before="273" w:line="370" w:lineRule="atLeast"/>
              <w:ind w:left="1302" w:firstLine="288"/>
              <w:rPr>
                <w:b/>
                <w:sz w:val="32"/>
              </w:rPr>
            </w:pPr>
            <w:r>
              <w:rPr>
                <w:b/>
                <w:color w:val="000080"/>
                <w:sz w:val="32"/>
              </w:rPr>
              <w:t xml:space="preserve">EMERGENCY GUIDANCE RE: </w:t>
            </w:r>
            <w:r w:rsidR="004C14E7" w:rsidRPr="00486F43">
              <w:rPr>
                <w:b/>
                <w:color w:val="000080"/>
                <w:sz w:val="24"/>
                <w:szCs w:val="24"/>
              </w:rPr>
              <w:t>IMPLEMENTATION OF TELEHEALTH TO DELIVER MEDICALLY NECESSARY HEALTH SERVICES TO YOUTH IN DYS CARE AND CUSTIDY</w:t>
            </w:r>
            <w:r w:rsidR="004C14E7">
              <w:rPr>
                <w:b/>
                <w:color w:val="000080"/>
                <w:sz w:val="32"/>
              </w:rPr>
              <w:t xml:space="preserve"> </w:t>
            </w:r>
          </w:p>
        </w:tc>
      </w:tr>
    </w:tbl>
    <w:p w:rsidR="004568D2" w:rsidRDefault="004568D2">
      <w:pPr>
        <w:pStyle w:val="BodyText"/>
        <w:rPr>
          <w:sz w:val="20"/>
        </w:rPr>
      </w:pPr>
    </w:p>
    <w:p w:rsidR="004568D2" w:rsidRPr="00695A3D" w:rsidRDefault="004568D2" w:rsidP="00E43B9F">
      <w:pPr>
        <w:pStyle w:val="Heading1"/>
        <w:spacing w:before="92" w:line="237" w:lineRule="auto"/>
        <w:ind w:left="0" w:right="679"/>
        <w:rPr>
          <w:color w:val="161616"/>
          <w:w w:val="105"/>
        </w:rPr>
      </w:pPr>
      <w:r w:rsidRPr="00695A3D">
        <w:rPr>
          <w:color w:val="181818"/>
        </w:rPr>
        <w:t>On</w:t>
      </w:r>
      <w:r w:rsidRPr="00695A3D">
        <w:rPr>
          <w:color w:val="181818"/>
          <w:spacing w:val="-2"/>
        </w:rPr>
        <w:t xml:space="preserve"> </w:t>
      </w:r>
      <w:r w:rsidRPr="00695A3D">
        <w:rPr>
          <w:color w:val="181818"/>
        </w:rPr>
        <w:t>March 15,</w:t>
      </w:r>
      <w:r w:rsidRPr="00695A3D">
        <w:rPr>
          <w:color w:val="181818"/>
          <w:spacing w:val="-15"/>
        </w:rPr>
        <w:t xml:space="preserve"> </w:t>
      </w:r>
      <w:r w:rsidRPr="00695A3D">
        <w:rPr>
          <w:color w:val="181818"/>
        </w:rPr>
        <w:t>2020,</w:t>
      </w:r>
      <w:r w:rsidRPr="00695A3D">
        <w:rPr>
          <w:color w:val="181818"/>
          <w:spacing w:val="-11"/>
        </w:rPr>
        <w:t xml:space="preserve"> </w:t>
      </w:r>
      <w:r w:rsidRPr="00695A3D">
        <w:rPr>
          <w:color w:val="181818"/>
        </w:rPr>
        <w:t>Governor</w:t>
      </w:r>
      <w:r w:rsidRPr="00695A3D">
        <w:rPr>
          <w:color w:val="181818"/>
          <w:spacing w:val="-5"/>
        </w:rPr>
        <w:t xml:space="preserve"> </w:t>
      </w:r>
      <w:r w:rsidRPr="00695A3D">
        <w:rPr>
          <w:color w:val="181818"/>
        </w:rPr>
        <w:t>Baker</w:t>
      </w:r>
      <w:r w:rsidRPr="00695A3D">
        <w:rPr>
          <w:color w:val="181818"/>
          <w:spacing w:val="-10"/>
        </w:rPr>
        <w:t xml:space="preserve"> </w:t>
      </w:r>
      <w:r w:rsidRPr="00695A3D">
        <w:rPr>
          <w:color w:val="181818"/>
        </w:rPr>
        <w:t>issued</w:t>
      </w:r>
      <w:r w:rsidRPr="00695A3D">
        <w:rPr>
          <w:color w:val="181818"/>
          <w:spacing w:val="-4"/>
        </w:rPr>
        <w:t xml:space="preserve"> </w:t>
      </w:r>
      <w:r w:rsidRPr="00695A3D">
        <w:rPr>
          <w:color w:val="181818"/>
        </w:rPr>
        <w:t>an</w:t>
      </w:r>
      <w:r w:rsidRPr="00695A3D">
        <w:rPr>
          <w:color w:val="181818"/>
          <w:spacing w:val="-22"/>
        </w:rPr>
        <w:t xml:space="preserve"> </w:t>
      </w:r>
      <w:r w:rsidRPr="00695A3D">
        <w:rPr>
          <w:color w:val="181818"/>
        </w:rPr>
        <w:t>"Order</w:t>
      </w:r>
      <w:r w:rsidRPr="00695A3D">
        <w:rPr>
          <w:color w:val="181818"/>
          <w:spacing w:val="-8"/>
        </w:rPr>
        <w:t xml:space="preserve"> </w:t>
      </w:r>
      <w:r w:rsidRPr="00695A3D">
        <w:rPr>
          <w:color w:val="181818"/>
        </w:rPr>
        <w:t>Expanding Access</w:t>
      </w:r>
      <w:r w:rsidRPr="00695A3D">
        <w:rPr>
          <w:color w:val="181818"/>
          <w:spacing w:val="-10"/>
        </w:rPr>
        <w:t xml:space="preserve"> </w:t>
      </w:r>
      <w:r w:rsidRPr="00695A3D">
        <w:rPr>
          <w:color w:val="181818"/>
        </w:rPr>
        <w:t>to</w:t>
      </w:r>
      <w:r w:rsidRPr="00695A3D">
        <w:rPr>
          <w:color w:val="181818"/>
          <w:spacing w:val="-17"/>
        </w:rPr>
        <w:t xml:space="preserve"> </w:t>
      </w:r>
      <w:r w:rsidRPr="00695A3D">
        <w:rPr>
          <w:color w:val="181818"/>
        </w:rPr>
        <w:t>Telehealth</w:t>
      </w:r>
      <w:r w:rsidRPr="00695A3D">
        <w:rPr>
          <w:color w:val="181818"/>
          <w:spacing w:val="-2"/>
        </w:rPr>
        <w:t xml:space="preserve"> </w:t>
      </w:r>
      <w:r w:rsidRPr="00695A3D">
        <w:rPr>
          <w:color w:val="181818"/>
        </w:rPr>
        <w:t>Services</w:t>
      </w:r>
      <w:r w:rsidRPr="00695A3D">
        <w:rPr>
          <w:color w:val="181818"/>
          <w:spacing w:val="-13"/>
        </w:rPr>
        <w:t xml:space="preserve"> </w:t>
      </w:r>
      <w:r w:rsidRPr="00695A3D">
        <w:rPr>
          <w:color w:val="181818"/>
        </w:rPr>
        <w:t>and to Protect Health Care Providers" ("Emergency Order") that is effec</w:t>
      </w:r>
      <w:r w:rsidR="00E43B9F" w:rsidRPr="00695A3D">
        <w:rPr>
          <w:color w:val="181818"/>
        </w:rPr>
        <w:t xml:space="preserve">tive as of March 16, 2020. The intent of this Guidance is to support </w:t>
      </w:r>
      <w:r w:rsidR="00144F68" w:rsidRPr="00695A3D">
        <w:rPr>
          <w:color w:val="181818"/>
        </w:rPr>
        <w:t xml:space="preserve">the </w:t>
      </w:r>
      <w:r w:rsidRPr="00695A3D">
        <w:rPr>
          <w:color w:val="181818"/>
        </w:rPr>
        <w:t xml:space="preserve">implementation of </w:t>
      </w:r>
      <w:r w:rsidR="00E43B9F" w:rsidRPr="00695A3D">
        <w:rPr>
          <w:color w:val="181818"/>
        </w:rPr>
        <w:t>telehealth</w:t>
      </w:r>
      <w:r w:rsidRPr="00695A3D">
        <w:rPr>
          <w:color w:val="181818"/>
        </w:rPr>
        <w:t xml:space="preserve"> in </w:t>
      </w:r>
      <w:r w:rsidR="00144F68" w:rsidRPr="00695A3D">
        <w:rPr>
          <w:color w:val="181818"/>
        </w:rPr>
        <w:t xml:space="preserve">the </w:t>
      </w:r>
      <w:r w:rsidRPr="00695A3D">
        <w:rPr>
          <w:color w:val="181818"/>
        </w:rPr>
        <w:t>D</w:t>
      </w:r>
      <w:r w:rsidR="00144F68" w:rsidRPr="00695A3D">
        <w:rPr>
          <w:color w:val="181818"/>
        </w:rPr>
        <w:t>epartment of Youth Services (DYS)</w:t>
      </w:r>
      <w:r w:rsidRPr="00695A3D">
        <w:rPr>
          <w:color w:val="181818"/>
        </w:rPr>
        <w:t xml:space="preserve"> state and provider operated programs </w:t>
      </w:r>
      <w:r w:rsidRPr="00695A3D">
        <w:rPr>
          <w:color w:val="161616"/>
          <w:w w:val="105"/>
        </w:rPr>
        <w:t>during the duration of Governor Baker's Emergency</w:t>
      </w:r>
      <w:r w:rsidRPr="00695A3D">
        <w:rPr>
          <w:color w:val="161616"/>
          <w:spacing w:val="38"/>
          <w:w w:val="105"/>
        </w:rPr>
        <w:t xml:space="preserve"> </w:t>
      </w:r>
      <w:r w:rsidRPr="00695A3D">
        <w:rPr>
          <w:color w:val="161616"/>
          <w:w w:val="105"/>
        </w:rPr>
        <w:t>Order.</w:t>
      </w:r>
    </w:p>
    <w:p w:rsidR="00E43B9F" w:rsidRPr="00695A3D" w:rsidRDefault="00E43B9F" w:rsidP="00E43B9F">
      <w:pPr>
        <w:pStyle w:val="Heading1"/>
        <w:spacing w:before="92" w:line="237" w:lineRule="auto"/>
        <w:ind w:left="0" w:right="679"/>
      </w:pPr>
    </w:p>
    <w:p w:rsidR="001A3F46" w:rsidRPr="00695A3D" w:rsidRDefault="005B068A" w:rsidP="005B068A">
      <w:pPr>
        <w:pStyle w:val="BodyText"/>
        <w:spacing w:before="5" w:line="252" w:lineRule="auto"/>
        <w:ind w:right="552"/>
        <w:rPr>
          <w:color w:val="161616"/>
          <w:w w:val="105"/>
        </w:rPr>
      </w:pPr>
      <w:r w:rsidRPr="00695A3D">
        <w:rPr>
          <w:color w:val="161616"/>
          <w:w w:val="105"/>
        </w:rPr>
        <w:t>F</w:t>
      </w:r>
      <w:r w:rsidR="001A3F46" w:rsidRPr="00695A3D">
        <w:rPr>
          <w:color w:val="161616"/>
          <w:w w:val="105"/>
        </w:rPr>
        <w:t xml:space="preserve">or the duration of Governor Baker's Emergency Order, </w:t>
      </w:r>
      <w:r w:rsidR="00144F68" w:rsidRPr="00695A3D">
        <w:rPr>
          <w:color w:val="161616"/>
          <w:w w:val="105"/>
        </w:rPr>
        <w:t>DYS</w:t>
      </w:r>
      <w:r w:rsidRPr="00695A3D">
        <w:rPr>
          <w:color w:val="161616"/>
          <w:w w:val="105"/>
        </w:rPr>
        <w:t xml:space="preserve"> </w:t>
      </w:r>
      <w:r w:rsidR="001A3F46" w:rsidRPr="00695A3D">
        <w:rPr>
          <w:color w:val="161616"/>
          <w:w w:val="105"/>
        </w:rPr>
        <w:t>will permit</w:t>
      </w:r>
      <w:r w:rsidRPr="00695A3D">
        <w:rPr>
          <w:color w:val="161616"/>
          <w:w w:val="105"/>
        </w:rPr>
        <w:t xml:space="preserve"> the DYS-contracted healthcare providers t</w:t>
      </w:r>
      <w:r w:rsidR="001A3F46" w:rsidRPr="00695A3D">
        <w:rPr>
          <w:color w:val="161616"/>
          <w:w w:val="105"/>
        </w:rPr>
        <w:t>o deliver clinically appropria</w:t>
      </w:r>
      <w:r w:rsidRPr="00695A3D">
        <w:rPr>
          <w:color w:val="161616"/>
          <w:w w:val="105"/>
        </w:rPr>
        <w:t xml:space="preserve">te, medically necessary </w:t>
      </w:r>
      <w:r w:rsidR="001A3F46" w:rsidRPr="00695A3D">
        <w:rPr>
          <w:color w:val="161616"/>
          <w:w w:val="105"/>
        </w:rPr>
        <w:t xml:space="preserve">services to </w:t>
      </w:r>
      <w:r w:rsidRPr="00695A3D">
        <w:rPr>
          <w:color w:val="161616"/>
          <w:w w:val="105"/>
        </w:rPr>
        <w:t xml:space="preserve">youth in DYS care and custody </w:t>
      </w:r>
      <w:r w:rsidR="001A3F46" w:rsidRPr="00695A3D">
        <w:rPr>
          <w:color w:val="161616"/>
          <w:w w:val="105"/>
        </w:rPr>
        <w:t>via telehealth (including telephone and live</w:t>
      </w:r>
      <w:r w:rsidR="001A3F46" w:rsidRPr="00695A3D">
        <w:rPr>
          <w:color w:val="161616"/>
          <w:spacing w:val="2"/>
          <w:w w:val="105"/>
        </w:rPr>
        <w:t xml:space="preserve"> </w:t>
      </w:r>
      <w:r w:rsidR="001A3F46" w:rsidRPr="00695A3D">
        <w:rPr>
          <w:color w:val="161616"/>
          <w:w w:val="105"/>
        </w:rPr>
        <w:t>video).</w:t>
      </w:r>
      <w:r w:rsidRPr="00695A3D">
        <w:rPr>
          <w:color w:val="161616"/>
          <w:w w:val="105"/>
        </w:rPr>
        <w:t xml:space="preserve"> </w:t>
      </w:r>
    </w:p>
    <w:p w:rsidR="00144F68" w:rsidRPr="00695A3D" w:rsidRDefault="00144F68" w:rsidP="00144F68">
      <w:pPr>
        <w:pStyle w:val="BodyText"/>
        <w:spacing w:before="7"/>
      </w:pPr>
    </w:p>
    <w:p w:rsidR="00144F68" w:rsidRPr="00695A3D" w:rsidRDefault="00144F68" w:rsidP="00E43B9F">
      <w:pPr>
        <w:pStyle w:val="Heading2"/>
        <w:spacing w:before="90" w:line="242" w:lineRule="auto"/>
        <w:ind w:right="538"/>
        <w:jc w:val="both"/>
        <w:rPr>
          <w:rFonts w:ascii="Times New Roman" w:hAnsi="Times New Roman" w:cs="Times New Roman"/>
          <w:sz w:val="24"/>
          <w:szCs w:val="24"/>
        </w:rPr>
      </w:pPr>
      <w:r w:rsidRPr="00695A3D">
        <w:rPr>
          <w:rFonts w:ascii="Times New Roman" w:hAnsi="Times New Roman" w:cs="Times New Roman"/>
          <w:color w:val="151515"/>
          <w:sz w:val="24"/>
          <w:szCs w:val="24"/>
        </w:rPr>
        <w:t>Providers must be willing to certify that they comply with all applicable state and federal statutes and regulations governing medication management and prescribing services when delivering these services via telehealth. If they are prescribing services via telehealth, providers must (I) maintain policies for providing patients with timely and accurate prescriptions by use of mail, phone, e­ prescribing, and/or fax and (2) document prescriptions in the patient's medical record consistent with in-person</w:t>
      </w:r>
      <w:r w:rsidRPr="00695A3D">
        <w:rPr>
          <w:rFonts w:ascii="Times New Roman" w:hAnsi="Times New Roman" w:cs="Times New Roman"/>
          <w:color w:val="151515"/>
          <w:spacing w:val="30"/>
          <w:sz w:val="24"/>
          <w:szCs w:val="24"/>
        </w:rPr>
        <w:t xml:space="preserve"> </w:t>
      </w:r>
      <w:r w:rsidRPr="00695A3D">
        <w:rPr>
          <w:rFonts w:ascii="Times New Roman" w:hAnsi="Times New Roman" w:cs="Times New Roman"/>
          <w:color w:val="151515"/>
          <w:sz w:val="24"/>
          <w:szCs w:val="24"/>
        </w:rPr>
        <w:t>care.</w:t>
      </w:r>
    </w:p>
    <w:p w:rsidR="00144F68" w:rsidRPr="00695A3D" w:rsidRDefault="00144F68" w:rsidP="00144F68">
      <w:pPr>
        <w:pStyle w:val="BodyText"/>
        <w:spacing w:before="11"/>
      </w:pPr>
    </w:p>
    <w:p w:rsidR="00144F68" w:rsidRPr="00695A3D" w:rsidRDefault="00144F68" w:rsidP="00E43B9F">
      <w:pPr>
        <w:ind w:right="556"/>
        <w:jc w:val="both"/>
        <w:rPr>
          <w:sz w:val="24"/>
          <w:szCs w:val="24"/>
        </w:rPr>
      </w:pPr>
      <w:r w:rsidRPr="00695A3D">
        <w:rPr>
          <w:color w:val="151515"/>
          <w:sz w:val="24"/>
          <w:szCs w:val="24"/>
        </w:rPr>
        <w:t xml:space="preserve">In accordance with the information within MassHealth All-Provider Bulletin 289, </w:t>
      </w:r>
      <w:r w:rsidR="00E43B9F" w:rsidRPr="00695A3D">
        <w:rPr>
          <w:color w:val="151515"/>
          <w:sz w:val="24"/>
          <w:szCs w:val="24"/>
        </w:rPr>
        <w:t>the DYS-contracted health care providers should</w:t>
      </w:r>
      <w:r w:rsidRPr="00695A3D">
        <w:rPr>
          <w:color w:val="151515"/>
          <w:sz w:val="24"/>
          <w:szCs w:val="24"/>
        </w:rPr>
        <w:t xml:space="preserve"> follow the following standards </w:t>
      </w:r>
      <w:proofErr w:type="gramStart"/>
      <w:r w:rsidRPr="00695A3D">
        <w:rPr>
          <w:color w:val="151515"/>
          <w:sz w:val="24"/>
          <w:szCs w:val="24"/>
        </w:rPr>
        <w:t>in order to</w:t>
      </w:r>
      <w:proofErr w:type="gramEnd"/>
      <w:r w:rsidRPr="00695A3D">
        <w:rPr>
          <w:color w:val="151515"/>
          <w:sz w:val="24"/>
          <w:szCs w:val="24"/>
        </w:rPr>
        <w:t xml:space="preserve"> deliver medically necessary care via telehealth:</w:t>
      </w:r>
    </w:p>
    <w:p w:rsidR="00144F68" w:rsidRPr="00695A3D" w:rsidRDefault="00144F68" w:rsidP="00144F68">
      <w:pPr>
        <w:pStyle w:val="BodyText"/>
      </w:pPr>
    </w:p>
    <w:p w:rsidR="00144F68" w:rsidRPr="00695A3D" w:rsidRDefault="00144F68" w:rsidP="00144F68">
      <w:pPr>
        <w:pStyle w:val="ListParagraph"/>
        <w:numPr>
          <w:ilvl w:val="0"/>
          <w:numId w:val="7"/>
        </w:numPr>
        <w:tabs>
          <w:tab w:val="left" w:pos="1426"/>
        </w:tabs>
        <w:spacing w:line="237" w:lineRule="auto"/>
        <w:ind w:left="1416" w:right="540" w:hanging="362"/>
        <w:jc w:val="both"/>
        <w:rPr>
          <w:color w:val="151515"/>
          <w:sz w:val="24"/>
          <w:szCs w:val="24"/>
        </w:rPr>
      </w:pPr>
      <w:r w:rsidRPr="00695A3D">
        <w:rPr>
          <w:color w:val="151515"/>
          <w:sz w:val="24"/>
          <w:szCs w:val="24"/>
        </w:rPr>
        <w:t>For</w:t>
      </w:r>
      <w:r w:rsidRPr="00695A3D">
        <w:rPr>
          <w:color w:val="151515"/>
          <w:spacing w:val="-12"/>
          <w:sz w:val="24"/>
          <w:szCs w:val="24"/>
        </w:rPr>
        <w:t xml:space="preserve"> </w:t>
      </w:r>
      <w:r w:rsidRPr="00695A3D">
        <w:rPr>
          <w:color w:val="151515"/>
          <w:sz w:val="24"/>
          <w:szCs w:val="24"/>
        </w:rPr>
        <w:t>an</w:t>
      </w:r>
      <w:r w:rsidRPr="00695A3D">
        <w:rPr>
          <w:color w:val="151515"/>
          <w:spacing w:val="-16"/>
          <w:sz w:val="24"/>
          <w:szCs w:val="24"/>
        </w:rPr>
        <w:t xml:space="preserve"> </w:t>
      </w:r>
      <w:r w:rsidRPr="00695A3D">
        <w:rPr>
          <w:color w:val="151515"/>
          <w:sz w:val="24"/>
          <w:szCs w:val="24"/>
        </w:rPr>
        <w:t>initial</w:t>
      </w:r>
      <w:r w:rsidRPr="00695A3D">
        <w:rPr>
          <w:color w:val="151515"/>
          <w:spacing w:val="-10"/>
          <w:sz w:val="24"/>
          <w:szCs w:val="24"/>
        </w:rPr>
        <w:t xml:space="preserve"> </w:t>
      </w:r>
      <w:r w:rsidRPr="00695A3D">
        <w:rPr>
          <w:color w:val="151515"/>
          <w:sz w:val="24"/>
          <w:szCs w:val="24"/>
        </w:rPr>
        <w:t>appointment</w:t>
      </w:r>
      <w:r w:rsidRPr="00695A3D">
        <w:rPr>
          <w:color w:val="151515"/>
          <w:spacing w:val="6"/>
          <w:sz w:val="24"/>
          <w:szCs w:val="24"/>
        </w:rPr>
        <w:t xml:space="preserve"> </w:t>
      </w:r>
      <w:r w:rsidRPr="00695A3D">
        <w:rPr>
          <w:color w:val="151515"/>
          <w:sz w:val="24"/>
          <w:szCs w:val="24"/>
        </w:rPr>
        <w:t>with</w:t>
      </w:r>
      <w:r w:rsidRPr="00695A3D">
        <w:rPr>
          <w:color w:val="151515"/>
          <w:spacing w:val="-15"/>
          <w:sz w:val="24"/>
          <w:szCs w:val="24"/>
        </w:rPr>
        <w:t xml:space="preserve"> </w:t>
      </w:r>
      <w:r w:rsidRPr="00695A3D">
        <w:rPr>
          <w:color w:val="151515"/>
          <w:sz w:val="24"/>
          <w:szCs w:val="24"/>
        </w:rPr>
        <w:t>a</w:t>
      </w:r>
      <w:r w:rsidRPr="00695A3D">
        <w:rPr>
          <w:color w:val="151515"/>
          <w:spacing w:val="-21"/>
          <w:sz w:val="24"/>
          <w:szCs w:val="24"/>
        </w:rPr>
        <w:t xml:space="preserve"> </w:t>
      </w:r>
      <w:r w:rsidRPr="00695A3D">
        <w:rPr>
          <w:color w:val="151515"/>
          <w:sz w:val="24"/>
          <w:szCs w:val="24"/>
        </w:rPr>
        <w:t>new</w:t>
      </w:r>
      <w:r w:rsidRPr="00695A3D">
        <w:rPr>
          <w:color w:val="151515"/>
          <w:spacing w:val="-9"/>
          <w:sz w:val="24"/>
          <w:szCs w:val="24"/>
        </w:rPr>
        <w:t xml:space="preserve"> </w:t>
      </w:r>
      <w:r w:rsidRPr="00695A3D">
        <w:rPr>
          <w:color w:val="151515"/>
          <w:sz w:val="24"/>
          <w:szCs w:val="24"/>
        </w:rPr>
        <w:t>patient,</w:t>
      </w:r>
      <w:r w:rsidRPr="00695A3D">
        <w:rPr>
          <w:color w:val="151515"/>
          <w:spacing w:val="-11"/>
          <w:sz w:val="24"/>
          <w:szCs w:val="24"/>
        </w:rPr>
        <w:t xml:space="preserve"> </w:t>
      </w:r>
      <w:r w:rsidRPr="00695A3D">
        <w:rPr>
          <w:color w:val="151515"/>
          <w:sz w:val="24"/>
          <w:szCs w:val="24"/>
        </w:rPr>
        <w:t>the</w:t>
      </w:r>
      <w:r w:rsidRPr="00695A3D">
        <w:rPr>
          <w:color w:val="151515"/>
          <w:spacing w:val="-14"/>
          <w:sz w:val="24"/>
          <w:szCs w:val="24"/>
        </w:rPr>
        <w:t xml:space="preserve"> </w:t>
      </w:r>
      <w:r w:rsidRPr="00695A3D">
        <w:rPr>
          <w:color w:val="151515"/>
          <w:sz w:val="24"/>
          <w:szCs w:val="24"/>
        </w:rPr>
        <w:t>provider</w:t>
      </w:r>
      <w:r w:rsidRPr="00695A3D">
        <w:rPr>
          <w:color w:val="151515"/>
          <w:spacing w:val="4"/>
          <w:sz w:val="24"/>
          <w:szCs w:val="24"/>
        </w:rPr>
        <w:t xml:space="preserve"> </w:t>
      </w:r>
      <w:r w:rsidRPr="00695A3D">
        <w:rPr>
          <w:color w:val="151515"/>
          <w:sz w:val="24"/>
          <w:szCs w:val="24"/>
        </w:rPr>
        <w:t>must</w:t>
      </w:r>
      <w:r w:rsidRPr="00695A3D">
        <w:rPr>
          <w:color w:val="151515"/>
          <w:spacing w:val="-8"/>
          <w:sz w:val="24"/>
          <w:szCs w:val="24"/>
        </w:rPr>
        <w:t xml:space="preserve"> </w:t>
      </w:r>
      <w:r w:rsidRPr="00695A3D">
        <w:rPr>
          <w:color w:val="151515"/>
          <w:sz w:val="24"/>
          <w:szCs w:val="24"/>
        </w:rPr>
        <w:t>review</w:t>
      </w:r>
      <w:r w:rsidRPr="00695A3D">
        <w:rPr>
          <w:color w:val="151515"/>
          <w:spacing w:val="-16"/>
          <w:sz w:val="24"/>
          <w:szCs w:val="24"/>
        </w:rPr>
        <w:t xml:space="preserve"> </w:t>
      </w:r>
      <w:r w:rsidRPr="00695A3D">
        <w:rPr>
          <w:color w:val="151515"/>
          <w:sz w:val="24"/>
          <w:szCs w:val="24"/>
        </w:rPr>
        <w:t>the</w:t>
      </w:r>
      <w:r w:rsidRPr="00695A3D">
        <w:rPr>
          <w:color w:val="151515"/>
          <w:spacing w:val="-13"/>
          <w:sz w:val="24"/>
          <w:szCs w:val="24"/>
        </w:rPr>
        <w:t xml:space="preserve"> </w:t>
      </w:r>
      <w:r w:rsidRPr="00695A3D">
        <w:rPr>
          <w:color w:val="151515"/>
          <w:sz w:val="24"/>
          <w:szCs w:val="24"/>
        </w:rPr>
        <w:t>patient's</w:t>
      </w:r>
      <w:r w:rsidRPr="00695A3D">
        <w:rPr>
          <w:color w:val="151515"/>
          <w:spacing w:val="-6"/>
          <w:sz w:val="24"/>
          <w:szCs w:val="24"/>
        </w:rPr>
        <w:t xml:space="preserve"> </w:t>
      </w:r>
      <w:r w:rsidRPr="00695A3D">
        <w:rPr>
          <w:color w:val="151515"/>
          <w:sz w:val="24"/>
          <w:szCs w:val="24"/>
        </w:rPr>
        <w:t>relevant medical history and any relevant medical records with the patient before initiating the delivery of any</w:t>
      </w:r>
      <w:r w:rsidRPr="00695A3D">
        <w:rPr>
          <w:color w:val="151515"/>
          <w:spacing w:val="13"/>
          <w:sz w:val="24"/>
          <w:szCs w:val="24"/>
        </w:rPr>
        <w:t xml:space="preserve"> </w:t>
      </w:r>
      <w:r w:rsidRPr="00695A3D">
        <w:rPr>
          <w:color w:val="151515"/>
          <w:sz w:val="24"/>
          <w:szCs w:val="24"/>
        </w:rPr>
        <w:t>service;</w:t>
      </w:r>
    </w:p>
    <w:p w:rsidR="00144F68" w:rsidRPr="00695A3D" w:rsidRDefault="00144F68" w:rsidP="00144F68">
      <w:pPr>
        <w:pStyle w:val="ListParagraph"/>
        <w:numPr>
          <w:ilvl w:val="0"/>
          <w:numId w:val="7"/>
        </w:numPr>
        <w:tabs>
          <w:tab w:val="left" w:pos="1431"/>
        </w:tabs>
        <w:spacing w:before="20"/>
        <w:ind w:left="1422" w:right="561" w:hanging="363"/>
        <w:jc w:val="both"/>
        <w:rPr>
          <w:color w:val="151515"/>
          <w:sz w:val="24"/>
          <w:szCs w:val="24"/>
        </w:rPr>
      </w:pPr>
      <w:r w:rsidRPr="00695A3D">
        <w:rPr>
          <w:color w:val="151515"/>
          <w:sz w:val="24"/>
          <w:szCs w:val="24"/>
        </w:rPr>
        <w:t>For existing provider-patient relationships, the provider must review the patient's medical history and any available medical records with the patient during the</w:t>
      </w:r>
      <w:r w:rsidRPr="00695A3D">
        <w:rPr>
          <w:color w:val="151515"/>
          <w:spacing w:val="45"/>
          <w:sz w:val="24"/>
          <w:szCs w:val="24"/>
        </w:rPr>
        <w:t xml:space="preserve"> </w:t>
      </w:r>
      <w:r w:rsidRPr="00695A3D">
        <w:rPr>
          <w:color w:val="151515"/>
          <w:sz w:val="24"/>
          <w:szCs w:val="24"/>
        </w:rPr>
        <w:t>service;</w:t>
      </w:r>
    </w:p>
    <w:p w:rsidR="00144F68" w:rsidRPr="00695A3D" w:rsidRDefault="00144F68" w:rsidP="00144F68">
      <w:pPr>
        <w:pStyle w:val="ListParagraph"/>
        <w:numPr>
          <w:ilvl w:val="0"/>
          <w:numId w:val="7"/>
        </w:numPr>
        <w:tabs>
          <w:tab w:val="left" w:pos="1431"/>
        </w:tabs>
        <w:spacing w:before="20"/>
        <w:ind w:left="1420" w:right="544" w:hanging="361"/>
        <w:jc w:val="both"/>
        <w:rPr>
          <w:color w:val="151515"/>
          <w:sz w:val="24"/>
          <w:szCs w:val="24"/>
        </w:rPr>
      </w:pPr>
      <w:r w:rsidRPr="00695A3D">
        <w:rPr>
          <w:color w:val="151515"/>
          <w:sz w:val="24"/>
          <w:szCs w:val="24"/>
        </w:rPr>
        <w:t>Prior to each patient appointment, the provider must ensure that the provider is able to deliver the services to the same standard as in-person care and in compliance with the provider's licensure regulations and requirements, programmatic regulations, and performance specifications related to the service (e.g., accessibility and communication access);</w:t>
      </w:r>
    </w:p>
    <w:p w:rsidR="00144F68" w:rsidRPr="00695A3D" w:rsidRDefault="00144F68" w:rsidP="00144F68">
      <w:pPr>
        <w:pStyle w:val="ListParagraph"/>
        <w:numPr>
          <w:ilvl w:val="0"/>
          <w:numId w:val="6"/>
        </w:numPr>
        <w:tabs>
          <w:tab w:val="left" w:pos="1412"/>
        </w:tabs>
        <w:spacing w:before="18"/>
        <w:ind w:right="538" w:hanging="351"/>
        <w:jc w:val="both"/>
        <w:rPr>
          <w:sz w:val="24"/>
          <w:szCs w:val="24"/>
        </w:rPr>
      </w:pPr>
      <w:r w:rsidRPr="00695A3D">
        <w:rPr>
          <w:color w:val="151515"/>
          <w:sz w:val="24"/>
          <w:szCs w:val="24"/>
        </w:rPr>
        <w:t>If the provider cannot meet appropriate standard of care or other requirements for providing requested care via telehealth, then the provider must make this determination prior to the delivery o</w:t>
      </w:r>
      <w:r w:rsidR="00E43B9F" w:rsidRPr="00695A3D">
        <w:rPr>
          <w:color w:val="151515"/>
          <w:sz w:val="24"/>
          <w:szCs w:val="24"/>
        </w:rPr>
        <w:t xml:space="preserve">f treatment, notify the DYS Regional Nurse-Manager </w:t>
      </w:r>
      <w:r w:rsidRPr="00695A3D">
        <w:rPr>
          <w:color w:val="151515"/>
          <w:sz w:val="24"/>
          <w:szCs w:val="24"/>
        </w:rPr>
        <w:t>of this, and advise the patient to instead seek appropriate in-person</w:t>
      </w:r>
      <w:r w:rsidRPr="00695A3D">
        <w:rPr>
          <w:color w:val="151515"/>
          <w:spacing w:val="30"/>
          <w:sz w:val="24"/>
          <w:szCs w:val="24"/>
        </w:rPr>
        <w:t xml:space="preserve"> </w:t>
      </w:r>
      <w:r w:rsidRPr="00695A3D">
        <w:rPr>
          <w:color w:val="151515"/>
          <w:sz w:val="24"/>
          <w:szCs w:val="24"/>
        </w:rPr>
        <w:t>care;</w:t>
      </w:r>
    </w:p>
    <w:p w:rsidR="00144F68" w:rsidRPr="00695A3D" w:rsidRDefault="00144F68" w:rsidP="00144F68">
      <w:pPr>
        <w:pStyle w:val="ListParagraph"/>
        <w:numPr>
          <w:ilvl w:val="0"/>
          <w:numId w:val="5"/>
        </w:numPr>
        <w:tabs>
          <w:tab w:val="left" w:pos="1422"/>
        </w:tabs>
        <w:spacing w:before="16"/>
        <w:ind w:right="553" w:hanging="372"/>
        <w:jc w:val="both"/>
        <w:rPr>
          <w:sz w:val="24"/>
          <w:szCs w:val="24"/>
        </w:rPr>
      </w:pPr>
      <w:r w:rsidRPr="00695A3D">
        <w:rPr>
          <w:color w:val="151515"/>
          <w:sz w:val="24"/>
          <w:szCs w:val="24"/>
        </w:rPr>
        <w:t>To the extent feasible, providers must ensure the same rights to confidentiality and security to a patient as provided in face-to-face services and must inform members of any relevant privacy considerations prior to providing services via</w:t>
      </w:r>
      <w:r w:rsidRPr="00695A3D">
        <w:rPr>
          <w:color w:val="151515"/>
          <w:spacing w:val="31"/>
          <w:sz w:val="24"/>
          <w:szCs w:val="24"/>
        </w:rPr>
        <w:t xml:space="preserve"> </w:t>
      </w:r>
      <w:r w:rsidRPr="00695A3D">
        <w:rPr>
          <w:color w:val="151515"/>
          <w:sz w:val="24"/>
          <w:szCs w:val="24"/>
        </w:rPr>
        <w:t>telehealth;</w:t>
      </w:r>
    </w:p>
    <w:p w:rsidR="00144F68" w:rsidRPr="00695A3D" w:rsidRDefault="00144F68" w:rsidP="00144F68">
      <w:pPr>
        <w:pStyle w:val="ListParagraph"/>
        <w:numPr>
          <w:ilvl w:val="0"/>
          <w:numId w:val="5"/>
        </w:numPr>
        <w:tabs>
          <w:tab w:val="left" w:pos="1434"/>
          <w:tab w:val="left" w:pos="1435"/>
        </w:tabs>
        <w:spacing w:before="18"/>
        <w:ind w:left="1429" w:right="556" w:hanging="365"/>
        <w:rPr>
          <w:sz w:val="24"/>
          <w:szCs w:val="24"/>
        </w:rPr>
      </w:pPr>
      <w:r w:rsidRPr="00695A3D">
        <w:rPr>
          <w:color w:val="151515"/>
          <w:sz w:val="24"/>
          <w:szCs w:val="24"/>
        </w:rPr>
        <w:t>Providers must follow consent and patient information protocols consistent with those followed during in-person</w:t>
      </w:r>
      <w:r w:rsidRPr="00695A3D">
        <w:rPr>
          <w:color w:val="151515"/>
          <w:spacing w:val="43"/>
          <w:sz w:val="24"/>
          <w:szCs w:val="24"/>
        </w:rPr>
        <w:t xml:space="preserve"> </w:t>
      </w:r>
      <w:r w:rsidRPr="00695A3D">
        <w:rPr>
          <w:color w:val="151515"/>
          <w:sz w:val="24"/>
          <w:szCs w:val="24"/>
        </w:rPr>
        <w:t>visits;</w:t>
      </w:r>
    </w:p>
    <w:p w:rsidR="00144F68" w:rsidRPr="00695A3D" w:rsidRDefault="00144F68" w:rsidP="00144F68">
      <w:pPr>
        <w:pStyle w:val="ListParagraph"/>
        <w:numPr>
          <w:ilvl w:val="0"/>
          <w:numId w:val="5"/>
        </w:numPr>
        <w:tabs>
          <w:tab w:val="left" w:pos="1434"/>
          <w:tab w:val="left" w:pos="1435"/>
        </w:tabs>
        <w:spacing w:before="15"/>
        <w:ind w:left="1436" w:right="537" w:hanging="367"/>
        <w:rPr>
          <w:sz w:val="24"/>
          <w:szCs w:val="24"/>
        </w:rPr>
      </w:pPr>
      <w:r w:rsidRPr="00695A3D">
        <w:rPr>
          <w:color w:val="151515"/>
          <w:sz w:val="24"/>
          <w:szCs w:val="24"/>
        </w:rPr>
        <w:t xml:space="preserve">Providers must inform patients of the location of the provider rendering services via </w:t>
      </w:r>
      <w:r w:rsidRPr="00695A3D">
        <w:rPr>
          <w:color w:val="151515"/>
          <w:sz w:val="24"/>
          <w:szCs w:val="24"/>
        </w:rPr>
        <w:lastRenderedPageBreak/>
        <w:t>telehealth (i.e., distant site) and obtain the location of the patient (i.e., originating</w:t>
      </w:r>
      <w:r w:rsidRPr="00695A3D">
        <w:rPr>
          <w:color w:val="151515"/>
          <w:spacing w:val="25"/>
          <w:sz w:val="24"/>
          <w:szCs w:val="24"/>
        </w:rPr>
        <w:t xml:space="preserve"> </w:t>
      </w:r>
      <w:r w:rsidRPr="00695A3D">
        <w:rPr>
          <w:color w:val="151515"/>
          <w:sz w:val="24"/>
          <w:szCs w:val="24"/>
        </w:rPr>
        <w:t>site);</w:t>
      </w:r>
    </w:p>
    <w:p w:rsidR="00144F68" w:rsidRPr="00695A3D" w:rsidRDefault="00144F68" w:rsidP="00144F68">
      <w:pPr>
        <w:pStyle w:val="ListParagraph"/>
        <w:numPr>
          <w:ilvl w:val="0"/>
          <w:numId w:val="5"/>
        </w:numPr>
        <w:tabs>
          <w:tab w:val="left" w:pos="1434"/>
          <w:tab w:val="left" w:pos="1435"/>
        </w:tabs>
        <w:spacing w:before="21"/>
        <w:ind w:left="1429" w:right="544" w:hanging="361"/>
        <w:rPr>
          <w:sz w:val="24"/>
          <w:szCs w:val="24"/>
        </w:rPr>
      </w:pPr>
      <w:r w:rsidRPr="00695A3D">
        <w:rPr>
          <w:color w:val="151515"/>
          <w:sz w:val="24"/>
          <w:szCs w:val="24"/>
        </w:rPr>
        <w:t>Providers must inform the patient of how</w:t>
      </w:r>
      <w:r w:rsidR="00E43B9F" w:rsidRPr="00695A3D">
        <w:rPr>
          <w:color w:val="151515"/>
          <w:sz w:val="24"/>
          <w:szCs w:val="24"/>
        </w:rPr>
        <w:t xml:space="preserve"> the patient can see a healthcare provider</w:t>
      </w:r>
      <w:r w:rsidRPr="00695A3D">
        <w:rPr>
          <w:color w:val="151515"/>
          <w:sz w:val="24"/>
          <w:szCs w:val="24"/>
        </w:rPr>
        <w:t xml:space="preserve"> in-person in the event of an emergency or</w:t>
      </w:r>
      <w:r w:rsidRPr="00695A3D">
        <w:rPr>
          <w:color w:val="151515"/>
          <w:spacing w:val="-39"/>
          <w:sz w:val="24"/>
          <w:szCs w:val="24"/>
        </w:rPr>
        <w:t xml:space="preserve"> </w:t>
      </w:r>
      <w:r w:rsidRPr="00695A3D">
        <w:rPr>
          <w:color w:val="151515"/>
          <w:sz w:val="24"/>
          <w:szCs w:val="24"/>
        </w:rPr>
        <w:t>otherwise.</w:t>
      </w:r>
    </w:p>
    <w:p w:rsidR="00144F68" w:rsidRPr="00695A3D" w:rsidRDefault="00144F68" w:rsidP="00144F68">
      <w:pPr>
        <w:pStyle w:val="BodyText"/>
        <w:spacing w:before="3"/>
      </w:pPr>
    </w:p>
    <w:p w:rsidR="00144F68" w:rsidRPr="00695A3D" w:rsidRDefault="00144F68" w:rsidP="00144F68">
      <w:pPr>
        <w:rPr>
          <w:sz w:val="24"/>
          <w:szCs w:val="24"/>
        </w:rPr>
      </w:pPr>
    </w:p>
    <w:p w:rsidR="00144F68" w:rsidRPr="00695A3D" w:rsidRDefault="00144F68" w:rsidP="00144F68">
      <w:pPr>
        <w:rPr>
          <w:sz w:val="24"/>
          <w:szCs w:val="24"/>
        </w:rPr>
      </w:pPr>
    </w:p>
    <w:p w:rsidR="00144F68" w:rsidRPr="00695A3D" w:rsidRDefault="00144F68" w:rsidP="00144F68">
      <w:pPr>
        <w:rPr>
          <w:sz w:val="24"/>
          <w:szCs w:val="24"/>
        </w:rPr>
      </w:pPr>
    </w:p>
    <w:p w:rsidR="00027CF8" w:rsidRPr="00695A3D" w:rsidRDefault="00027CF8">
      <w:pPr>
        <w:pStyle w:val="BodyText"/>
        <w:spacing w:line="237" w:lineRule="auto"/>
        <w:ind w:left="227" w:right="679"/>
      </w:pPr>
    </w:p>
    <w:p w:rsidR="00144F68" w:rsidRPr="00695A3D" w:rsidRDefault="00144F68">
      <w:pPr>
        <w:pStyle w:val="BodyText"/>
        <w:spacing w:line="237" w:lineRule="auto"/>
        <w:ind w:left="227" w:right="679"/>
      </w:pPr>
    </w:p>
    <w:p w:rsidR="00144F68" w:rsidRPr="00695A3D" w:rsidRDefault="00144F68">
      <w:pPr>
        <w:pStyle w:val="BodyText"/>
        <w:spacing w:line="237" w:lineRule="auto"/>
        <w:ind w:left="227" w:right="679"/>
      </w:pPr>
      <w:r w:rsidRPr="00695A3D">
        <w:t>March 23, 2020</w:t>
      </w:r>
    </w:p>
    <w:sectPr w:rsidR="00144F68" w:rsidRPr="00695A3D">
      <w:headerReference w:type="default" r:id="rId8"/>
      <w:pgSz w:w="12240" w:h="15840"/>
      <w:pgMar w:top="66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8A" w:rsidRDefault="005B068A" w:rsidP="005B068A">
      <w:r>
        <w:separator/>
      </w:r>
    </w:p>
  </w:endnote>
  <w:endnote w:type="continuationSeparator" w:id="0">
    <w:p w:rsidR="005B068A" w:rsidRDefault="005B068A" w:rsidP="005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8A" w:rsidRDefault="005B068A" w:rsidP="005B068A">
      <w:r>
        <w:separator/>
      </w:r>
    </w:p>
  </w:footnote>
  <w:footnote w:type="continuationSeparator" w:id="0">
    <w:p w:rsidR="005B068A" w:rsidRDefault="005B068A" w:rsidP="005B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44" w:rsidRDefault="00DA0FB6">
    <w:pPr>
      <w:pStyle w:val="BodyText"/>
      <w:spacing w:line="14" w:lineRule="auto"/>
      <w:rPr>
        <w:sz w:val="20"/>
      </w:rPr>
    </w:pPr>
    <w:r>
      <w:rPr>
        <w:noProof/>
        <w:sz w:val="23"/>
      </w:rPr>
      <mc:AlternateContent>
        <mc:Choice Requires="wps">
          <w:drawing>
            <wp:anchor distT="0" distB="0" distL="114300" distR="114300" simplePos="0" relativeHeight="251659264" behindDoc="1" locked="0" layoutInCell="1" allowOverlap="1">
              <wp:simplePos x="0" y="0"/>
              <wp:positionH relativeFrom="page">
                <wp:posOffset>903605</wp:posOffset>
              </wp:positionH>
              <wp:positionV relativeFrom="page">
                <wp:posOffset>370205</wp:posOffset>
              </wp:positionV>
              <wp:extent cx="1054100" cy="546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44" w:rsidRDefault="00CE07D5">
                          <w:pPr>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15pt;margin-top:29.15pt;width:83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4Z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UWh78FVAXdROJtfRyY5lyTT604q/Y6KFhkj&#10;xRI6b9HJ8U7p0XVyMcG4yFnT2O43/NkBYI4nEBuemjuThW3mj9iLt4vtInTCYLZ1Qi/LnHW+CZ1Z&#10;7s+j7DrbbDL/p4nrh0nNypJyE2YSlh/+WeNOEh8lcZaWEg0rDZxJScn9btNIdCQg7Nx+p4JcuLnP&#10;07D1Ai4vKPlB6N0GsZPPFnMnzMPIiefewvH8+DaeeWEcZvlzSneM03+nhPoUx1EQjWL6LTfPfq+5&#10;kaRlGkZHw9oUL85OJDES3PLStlYT1oz2RSlM+k+lgHZPjbaCNRod1aqH3QAoRsU7UT6CdKUAZYEI&#10;Yd6BUQv5HaMeZkeK1bcDkRSj5j0H+ZtBMxlyMnaTQXgBT1OsMRrNjR4H0qGTbF8D8viDcbGGX6Ri&#10;Vr1PWUDqZgPzwJI4zS4zcC731utpwq5+AQAA//8DAFBLAwQUAAYACAAAACEAYCgHRd0AAAAKAQAA&#10;DwAAAGRycy9kb3ducmV2LnhtbEyPQU/DMAyF70j8h8hI3FjKVqZRmk4TghMSoisHjmnjtdEapzTZ&#10;Vv497glO9tN7ev6cbyfXizOOwXpScL9IQCA13lhqFXxWr3cbECFqMrr3hAp+MMC2uL7KdWb8hUo8&#10;72MruIRCphV0MQ6ZlKHp0Omw8AMSewc/Oh1Zjq00o75wuevlMknW0mlLfKHTAz532Bz3J6dg90Xl&#10;i/1+rz/KQ2mr6jGht/VRqdubafcEIuIU/8Iw4zM6FMxU+xOZIHrW6XLFUQUPG54cWCXzUs9OmoIs&#10;cvn/heIXAAD//wMAUEsBAi0AFAAGAAgAAAAhALaDOJL+AAAA4QEAABMAAAAAAAAAAAAAAAAAAAAA&#10;AFtDb250ZW50X1R5cGVzXS54bWxQSwECLQAUAAYACAAAACEAOP0h/9YAAACUAQAACwAAAAAAAAAA&#10;AAAAAAAvAQAAX3JlbHMvLnJlbHNQSwECLQAUAAYACAAAACEACuq+GasCAACpBQAADgAAAAAAAAAA&#10;AAAAAAAuAgAAZHJzL2Uyb0RvYy54bWxQSwECLQAUAAYACAAAACEAYCgHRd0AAAAKAQAADwAAAAAA&#10;AAAAAAAAAAAFBQAAZHJzL2Rvd25yZXYueG1sUEsFBgAAAAAEAAQA8wAAAA8GAAAAAA==&#10;" filled="f" stroked="f">
              <v:textbox inset="0,0,0,0">
                <w:txbxContent>
                  <w:p w:rsidR="00C04144" w:rsidRDefault="00DA0FB6">
                    <w:pPr>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BF3"/>
    <w:multiLevelType w:val="hybridMultilevel"/>
    <w:tmpl w:val="4DD2F9E2"/>
    <w:lvl w:ilvl="0" w:tplc="E99CCE42">
      <w:numFmt w:val="bullet"/>
      <w:lvlText w:val="•"/>
      <w:lvlJc w:val="left"/>
      <w:pPr>
        <w:ind w:left="1420" w:hanging="342"/>
      </w:pPr>
      <w:rPr>
        <w:rFonts w:ascii="Arial" w:eastAsia="Arial" w:hAnsi="Arial" w:cs="Arial" w:hint="default"/>
        <w:color w:val="151515"/>
        <w:w w:val="100"/>
        <w:sz w:val="24"/>
        <w:szCs w:val="24"/>
      </w:rPr>
    </w:lvl>
    <w:lvl w:ilvl="1" w:tplc="5C465A60">
      <w:numFmt w:val="bullet"/>
      <w:lvlText w:val="•"/>
      <w:lvlJc w:val="left"/>
      <w:pPr>
        <w:ind w:left="2354" w:hanging="342"/>
      </w:pPr>
      <w:rPr>
        <w:rFonts w:hint="default"/>
      </w:rPr>
    </w:lvl>
    <w:lvl w:ilvl="2" w:tplc="6FCC51E4">
      <w:numFmt w:val="bullet"/>
      <w:lvlText w:val="•"/>
      <w:lvlJc w:val="left"/>
      <w:pPr>
        <w:ind w:left="3288" w:hanging="342"/>
      </w:pPr>
      <w:rPr>
        <w:rFonts w:hint="default"/>
      </w:rPr>
    </w:lvl>
    <w:lvl w:ilvl="3" w:tplc="1BF02204">
      <w:numFmt w:val="bullet"/>
      <w:lvlText w:val="•"/>
      <w:lvlJc w:val="left"/>
      <w:pPr>
        <w:ind w:left="4222" w:hanging="342"/>
      </w:pPr>
      <w:rPr>
        <w:rFonts w:hint="default"/>
      </w:rPr>
    </w:lvl>
    <w:lvl w:ilvl="4" w:tplc="5F525EB6">
      <w:numFmt w:val="bullet"/>
      <w:lvlText w:val="•"/>
      <w:lvlJc w:val="left"/>
      <w:pPr>
        <w:ind w:left="5156" w:hanging="342"/>
      </w:pPr>
      <w:rPr>
        <w:rFonts w:hint="default"/>
      </w:rPr>
    </w:lvl>
    <w:lvl w:ilvl="5" w:tplc="EEBC567C">
      <w:numFmt w:val="bullet"/>
      <w:lvlText w:val="•"/>
      <w:lvlJc w:val="left"/>
      <w:pPr>
        <w:ind w:left="6090" w:hanging="342"/>
      </w:pPr>
      <w:rPr>
        <w:rFonts w:hint="default"/>
      </w:rPr>
    </w:lvl>
    <w:lvl w:ilvl="6" w:tplc="4C8850FA">
      <w:numFmt w:val="bullet"/>
      <w:lvlText w:val="•"/>
      <w:lvlJc w:val="left"/>
      <w:pPr>
        <w:ind w:left="7024" w:hanging="342"/>
      </w:pPr>
      <w:rPr>
        <w:rFonts w:hint="default"/>
      </w:rPr>
    </w:lvl>
    <w:lvl w:ilvl="7" w:tplc="1C1245FA">
      <w:numFmt w:val="bullet"/>
      <w:lvlText w:val="•"/>
      <w:lvlJc w:val="left"/>
      <w:pPr>
        <w:ind w:left="7958" w:hanging="342"/>
      </w:pPr>
      <w:rPr>
        <w:rFonts w:hint="default"/>
      </w:rPr>
    </w:lvl>
    <w:lvl w:ilvl="8" w:tplc="D93A3F98">
      <w:numFmt w:val="bullet"/>
      <w:lvlText w:val="•"/>
      <w:lvlJc w:val="left"/>
      <w:pPr>
        <w:ind w:left="8892" w:hanging="342"/>
      </w:pPr>
      <w:rPr>
        <w:rFonts w:hint="default"/>
      </w:rPr>
    </w:lvl>
  </w:abstractNum>
  <w:abstractNum w:abstractNumId="1" w15:restartNumberingAfterBreak="0">
    <w:nsid w:val="0EF45AFF"/>
    <w:multiLevelType w:val="hybridMultilevel"/>
    <w:tmpl w:val="76DC4432"/>
    <w:lvl w:ilvl="0" w:tplc="C02E2F7E">
      <w:numFmt w:val="bullet"/>
      <w:lvlText w:val="•"/>
      <w:lvlJc w:val="left"/>
      <w:pPr>
        <w:ind w:left="1407" w:hanging="371"/>
      </w:pPr>
      <w:rPr>
        <w:rFonts w:hint="default"/>
        <w:w w:val="104"/>
      </w:rPr>
    </w:lvl>
    <w:lvl w:ilvl="1" w:tplc="5792E578">
      <w:numFmt w:val="bullet"/>
      <w:lvlText w:val="•"/>
      <w:lvlJc w:val="left"/>
      <w:pPr>
        <w:ind w:left="2336" w:hanging="371"/>
      </w:pPr>
      <w:rPr>
        <w:rFonts w:hint="default"/>
      </w:rPr>
    </w:lvl>
    <w:lvl w:ilvl="2" w:tplc="C592193E">
      <w:numFmt w:val="bullet"/>
      <w:lvlText w:val="•"/>
      <w:lvlJc w:val="left"/>
      <w:pPr>
        <w:ind w:left="3272" w:hanging="371"/>
      </w:pPr>
      <w:rPr>
        <w:rFonts w:hint="default"/>
      </w:rPr>
    </w:lvl>
    <w:lvl w:ilvl="3" w:tplc="D8862C2A">
      <w:numFmt w:val="bullet"/>
      <w:lvlText w:val="•"/>
      <w:lvlJc w:val="left"/>
      <w:pPr>
        <w:ind w:left="4208" w:hanging="371"/>
      </w:pPr>
      <w:rPr>
        <w:rFonts w:hint="default"/>
      </w:rPr>
    </w:lvl>
    <w:lvl w:ilvl="4" w:tplc="B0B45996">
      <w:numFmt w:val="bullet"/>
      <w:lvlText w:val="•"/>
      <w:lvlJc w:val="left"/>
      <w:pPr>
        <w:ind w:left="5144" w:hanging="371"/>
      </w:pPr>
      <w:rPr>
        <w:rFonts w:hint="default"/>
      </w:rPr>
    </w:lvl>
    <w:lvl w:ilvl="5" w:tplc="4418D5B8">
      <w:numFmt w:val="bullet"/>
      <w:lvlText w:val="•"/>
      <w:lvlJc w:val="left"/>
      <w:pPr>
        <w:ind w:left="6080" w:hanging="371"/>
      </w:pPr>
      <w:rPr>
        <w:rFonts w:hint="default"/>
      </w:rPr>
    </w:lvl>
    <w:lvl w:ilvl="6" w:tplc="8C8EA51E">
      <w:numFmt w:val="bullet"/>
      <w:lvlText w:val="•"/>
      <w:lvlJc w:val="left"/>
      <w:pPr>
        <w:ind w:left="7016" w:hanging="371"/>
      </w:pPr>
      <w:rPr>
        <w:rFonts w:hint="default"/>
      </w:rPr>
    </w:lvl>
    <w:lvl w:ilvl="7" w:tplc="D81EB34C">
      <w:numFmt w:val="bullet"/>
      <w:lvlText w:val="•"/>
      <w:lvlJc w:val="left"/>
      <w:pPr>
        <w:ind w:left="7952" w:hanging="371"/>
      </w:pPr>
      <w:rPr>
        <w:rFonts w:hint="default"/>
      </w:rPr>
    </w:lvl>
    <w:lvl w:ilvl="8" w:tplc="D6EEEDE0">
      <w:numFmt w:val="bullet"/>
      <w:lvlText w:val="•"/>
      <w:lvlJc w:val="left"/>
      <w:pPr>
        <w:ind w:left="8888" w:hanging="371"/>
      </w:pPr>
      <w:rPr>
        <w:rFonts w:hint="default"/>
      </w:rPr>
    </w:lvl>
  </w:abstractNum>
  <w:abstractNum w:abstractNumId="2" w15:restartNumberingAfterBreak="0">
    <w:nsid w:val="298D35D1"/>
    <w:multiLevelType w:val="hybridMultilevel"/>
    <w:tmpl w:val="B1348C2E"/>
    <w:lvl w:ilvl="0" w:tplc="6270F08C">
      <w:numFmt w:val="bullet"/>
      <w:lvlText w:val=""/>
      <w:lvlJc w:val="left"/>
      <w:pPr>
        <w:ind w:left="947" w:hanging="353"/>
      </w:pPr>
      <w:rPr>
        <w:rFonts w:ascii="Symbol" w:eastAsia="Symbol" w:hAnsi="Symbol" w:cs="Symbol" w:hint="default"/>
        <w:w w:val="100"/>
        <w:sz w:val="24"/>
        <w:szCs w:val="24"/>
        <w:lang w:val="en-US" w:eastAsia="en-US" w:bidi="en-US"/>
      </w:rPr>
    </w:lvl>
    <w:lvl w:ilvl="1" w:tplc="C6C610A2">
      <w:numFmt w:val="bullet"/>
      <w:lvlText w:val="•"/>
      <w:lvlJc w:val="left"/>
      <w:pPr>
        <w:ind w:left="1900" w:hanging="353"/>
      </w:pPr>
      <w:rPr>
        <w:rFonts w:hint="default"/>
        <w:lang w:val="en-US" w:eastAsia="en-US" w:bidi="en-US"/>
      </w:rPr>
    </w:lvl>
    <w:lvl w:ilvl="2" w:tplc="85A2342C">
      <w:numFmt w:val="bullet"/>
      <w:lvlText w:val="•"/>
      <w:lvlJc w:val="left"/>
      <w:pPr>
        <w:ind w:left="2860" w:hanging="353"/>
      </w:pPr>
      <w:rPr>
        <w:rFonts w:hint="default"/>
        <w:lang w:val="en-US" w:eastAsia="en-US" w:bidi="en-US"/>
      </w:rPr>
    </w:lvl>
    <w:lvl w:ilvl="3" w:tplc="05E222F6">
      <w:numFmt w:val="bullet"/>
      <w:lvlText w:val="•"/>
      <w:lvlJc w:val="left"/>
      <w:pPr>
        <w:ind w:left="3820" w:hanging="353"/>
      </w:pPr>
      <w:rPr>
        <w:rFonts w:hint="default"/>
        <w:lang w:val="en-US" w:eastAsia="en-US" w:bidi="en-US"/>
      </w:rPr>
    </w:lvl>
    <w:lvl w:ilvl="4" w:tplc="AC967578">
      <w:numFmt w:val="bullet"/>
      <w:lvlText w:val="•"/>
      <w:lvlJc w:val="left"/>
      <w:pPr>
        <w:ind w:left="4780" w:hanging="353"/>
      </w:pPr>
      <w:rPr>
        <w:rFonts w:hint="default"/>
        <w:lang w:val="en-US" w:eastAsia="en-US" w:bidi="en-US"/>
      </w:rPr>
    </w:lvl>
    <w:lvl w:ilvl="5" w:tplc="08C84DC2">
      <w:numFmt w:val="bullet"/>
      <w:lvlText w:val="•"/>
      <w:lvlJc w:val="left"/>
      <w:pPr>
        <w:ind w:left="5740" w:hanging="353"/>
      </w:pPr>
      <w:rPr>
        <w:rFonts w:hint="default"/>
        <w:lang w:val="en-US" w:eastAsia="en-US" w:bidi="en-US"/>
      </w:rPr>
    </w:lvl>
    <w:lvl w:ilvl="6" w:tplc="85546702">
      <w:numFmt w:val="bullet"/>
      <w:lvlText w:val="•"/>
      <w:lvlJc w:val="left"/>
      <w:pPr>
        <w:ind w:left="6700" w:hanging="353"/>
      </w:pPr>
      <w:rPr>
        <w:rFonts w:hint="default"/>
        <w:lang w:val="en-US" w:eastAsia="en-US" w:bidi="en-US"/>
      </w:rPr>
    </w:lvl>
    <w:lvl w:ilvl="7" w:tplc="448E47B2">
      <w:numFmt w:val="bullet"/>
      <w:lvlText w:val="•"/>
      <w:lvlJc w:val="left"/>
      <w:pPr>
        <w:ind w:left="7660" w:hanging="353"/>
      </w:pPr>
      <w:rPr>
        <w:rFonts w:hint="default"/>
        <w:lang w:val="en-US" w:eastAsia="en-US" w:bidi="en-US"/>
      </w:rPr>
    </w:lvl>
    <w:lvl w:ilvl="8" w:tplc="DB4E022E">
      <w:numFmt w:val="bullet"/>
      <w:lvlText w:val="•"/>
      <w:lvlJc w:val="left"/>
      <w:pPr>
        <w:ind w:left="8620" w:hanging="353"/>
      </w:pPr>
      <w:rPr>
        <w:rFonts w:hint="default"/>
        <w:lang w:val="en-US" w:eastAsia="en-US" w:bidi="en-US"/>
      </w:rPr>
    </w:lvl>
  </w:abstractNum>
  <w:abstractNum w:abstractNumId="3" w15:restartNumberingAfterBreak="0">
    <w:nsid w:val="2CB601EA"/>
    <w:multiLevelType w:val="hybridMultilevel"/>
    <w:tmpl w:val="4FF60C2E"/>
    <w:lvl w:ilvl="0" w:tplc="8F08A6EE">
      <w:numFmt w:val="bullet"/>
      <w:lvlText w:val="•"/>
      <w:lvlJc w:val="left"/>
      <w:pPr>
        <w:ind w:left="1431" w:hanging="362"/>
      </w:pPr>
      <w:rPr>
        <w:rFonts w:ascii="Times New Roman" w:eastAsia="Times New Roman" w:hAnsi="Times New Roman" w:cs="Times New Roman" w:hint="default"/>
        <w:color w:val="151515"/>
        <w:w w:val="103"/>
        <w:sz w:val="24"/>
        <w:szCs w:val="24"/>
      </w:rPr>
    </w:lvl>
    <w:lvl w:ilvl="1" w:tplc="78BC65BC">
      <w:numFmt w:val="bullet"/>
      <w:lvlText w:val="•"/>
      <w:lvlJc w:val="left"/>
      <w:pPr>
        <w:ind w:left="2372" w:hanging="362"/>
      </w:pPr>
      <w:rPr>
        <w:rFonts w:hint="default"/>
      </w:rPr>
    </w:lvl>
    <w:lvl w:ilvl="2" w:tplc="5E184038">
      <w:numFmt w:val="bullet"/>
      <w:lvlText w:val="•"/>
      <w:lvlJc w:val="left"/>
      <w:pPr>
        <w:ind w:left="3304" w:hanging="362"/>
      </w:pPr>
      <w:rPr>
        <w:rFonts w:hint="default"/>
      </w:rPr>
    </w:lvl>
    <w:lvl w:ilvl="3" w:tplc="17DA8164">
      <w:numFmt w:val="bullet"/>
      <w:lvlText w:val="•"/>
      <w:lvlJc w:val="left"/>
      <w:pPr>
        <w:ind w:left="4236" w:hanging="362"/>
      </w:pPr>
      <w:rPr>
        <w:rFonts w:hint="default"/>
      </w:rPr>
    </w:lvl>
    <w:lvl w:ilvl="4" w:tplc="3E409518">
      <w:numFmt w:val="bullet"/>
      <w:lvlText w:val="•"/>
      <w:lvlJc w:val="left"/>
      <w:pPr>
        <w:ind w:left="5168" w:hanging="362"/>
      </w:pPr>
      <w:rPr>
        <w:rFonts w:hint="default"/>
      </w:rPr>
    </w:lvl>
    <w:lvl w:ilvl="5" w:tplc="327C2424">
      <w:numFmt w:val="bullet"/>
      <w:lvlText w:val="•"/>
      <w:lvlJc w:val="left"/>
      <w:pPr>
        <w:ind w:left="6100" w:hanging="362"/>
      </w:pPr>
      <w:rPr>
        <w:rFonts w:hint="default"/>
      </w:rPr>
    </w:lvl>
    <w:lvl w:ilvl="6" w:tplc="FCDC2D5E">
      <w:numFmt w:val="bullet"/>
      <w:lvlText w:val="•"/>
      <w:lvlJc w:val="left"/>
      <w:pPr>
        <w:ind w:left="7032" w:hanging="362"/>
      </w:pPr>
      <w:rPr>
        <w:rFonts w:hint="default"/>
      </w:rPr>
    </w:lvl>
    <w:lvl w:ilvl="7" w:tplc="D11A6AE0">
      <w:numFmt w:val="bullet"/>
      <w:lvlText w:val="•"/>
      <w:lvlJc w:val="left"/>
      <w:pPr>
        <w:ind w:left="7964" w:hanging="362"/>
      </w:pPr>
      <w:rPr>
        <w:rFonts w:hint="default"/>
      </w:rPr>
    </w:lvl>
    <w:lvl w:ilvl="8" w:tplc="A0DECC38">
      <w:numFmt w:val="bullet"/>
      <w:lvlText w:val="•"/>
      <w:lvlJc w:val="left"/>
      <w:pPr>
        <w:ind w:left="8896" w:hanging="362"/>
      </w:pPr>
      <w:rPr>
        <w:rFonts w:hint="default"/>
      </w:rPr>
    </w:lvl>
  </w:abstractNum>
  <w:abstractNum w:abstractNumId="4" w15:restartNumberingAfterBreak="0">
    <w:nsid w:val="4B9B412F"/>
    <w:multiLevelType w:val="hybridMultilevel"/>
    <w:tmpl w:val="E4F41C18"/>
    <w:lvl w:ilvl="0" w:tplc="392CB568">
      <w:numFmt w:val="bullet"/>
      <w:lvlText w:val="•"/>
      <w:lvlJc w:val="left"/>
      <w:pPr>
        <w:ind w:left="1407" w:hanging="371"/>
      </w:pPr>
      <w:rPr>
        <w:rFonts w:hint="default"/>
        <w:w w:val="104"/>
      </w:rPr>
    </w:lvl>
    <w:lvl w:ilvl="1" w:tplc="04BABBFE">
      <w:numFmt w:val="bullet"/>
      <w:lvlText w:val="•"/>
      <w:lvlJc w:val="left"/>
      <w:pPr>
        <w:ind w:left="2336" w:hanging="371"/>
      </w:pPr>
      <w:rPr>
        <w:rFonts w:hint="default"/>
      </w:rPr>
    </w:lvl>
    <w:lvl w:ilvl="2" w:tplc="B8C27886">
      <w:numFmt w:val="bullet"/>
      <w:lvlText w:val="•"/>
      <w:lvlJc w:val="left"/>
      <w:pPr>
        <w:ind w:left="3272" w:hanging="371"/>
      </w:pPr>
      <w:rPr>
        <w:rFonts w:hint="default"/>
      </w:rPr>
    </w:lvl>
    <w:lvl w:ilvl="3" w:tplc="4F084DC0">
      <w:numFmt w:val="bullet"/>
      <w:lvlText w:val="•"/>
      <w:lvlJc w:val="left"/>
      <w:pPr>
        <w:ind w:left="4208" w:hanging="371"/>
      </w:pPr>
      <w:rPr>
        <w:rFonts w:hint="default"/>
      </w:rPr>
    </w:lvl>
    <w:lvl w:ilvl="4" w:tplc="2CAE7A9C">
      <w:numFmt w:val="bullet"/>
      <w:lvlText w:val="•"/>
      <w:lvlJc w:val="left"/>
      <w:pPr>
        <w:ind w:left="5144" w:hanging="371"/>
      </w:pPr>
      <w:rPr>
        <w:rFonts w:hint="default"/>
      </w:rPr>
    </w:lvl>
    <w:lvl w:ilvl="5" w:tplc="282A51FE">
      <w:numFmt w:val="bullet"/>
      <w:lvlText w:val="•"/>
      <w:lvlJc w:val="left"/>
      <w:pPr>
        <w:ind w:left="6080" w:hanging="371"/>
      </w:pPr>
      <w:rPr>
        <w:rFonts w:hint="default"/>
      </w:rPr>
    </w:lvl>
    <w:lvl w:ilvl="6" w:tplc="D05C0CC0">
      <w:numFmt w:val="bullet"/>
      <w:lvlText w:val="•"/>
      <w:lvlJc w:val="left"/>
      <w:pPr>
        <w:ind w:left="7016" w:hanging="371"/>
      </w:pPr>
      <w:rPr>
        <w:rFonts w:hint="default"/>
      </w:rPr>
    </w:lvl>
    <w:lvl w:ilvl="7" w:tplc="695A36F0">
      <w:numFmt w:val="bullet"/>
      <w:lvlText w:val="•"/>
      <w:lvlJc w:val="left"/>
      <w:pPr>
        <w:ind w:left="7952" w:hanging="371"/>
      </w:pPr>
      <w:rPr>
        <w:rFonts w:hint="default"/>
      </w:rPr>
    </w:lvl>
    <w:lvl w:ilvl="8" w:tplc="0DE2026E">
      <w:numFmt w:val="bullet"/>
      <w:lvlText w:val="•"/>
      <w:lvlJc w:val="left"/>
      <w:pPr>
        <w:ind w:left="8888" w:hanging="371"/>
      </w:pPr>
      <w:rPr>
        <w:rFonts w:hint="default"/>
      </w:rPr>
    </w:lvl>
  </w:abstractNum>
  <w:abstractNum w:abstractNumId="5" w15:restartNumberingAfterBreak="0">
    <w:nsid w:val="66FB0B0C"/>
    <w:multiLevelType w:val="hybridMultilevel"/>
    <w:tmpl w:val="EBF4AE36"/>
    <w:lvl w:ilvl="0" w:tplc="D64CE346">
      <w:numFmt w:val="bullet"/>
      <w:lvlText w:val="•"/>
      <w:lvlJc w:val="left"/>
      <w:pPr>
        <w:ind w:left="1420" w:hanging="342"/>
      </w:pPr>
      <w:rPr>
        <w:rFonts w:ascii="Arial" w:eastAsia="Arial" w:hAnsi="Arial" w:cs="Arial" w:hint="default"/>
        <w:color w:val="151515"/>
        <w:w w:val="100"/>
        <w:sz w:val="24"/>
        <w:szCs w:val="24"/>
      </w:rPr>
    </w:lvl>
    <w:lvl w:ilvl="1" w:tplc="73A02A1A">
      <w:numFmt w:val="bullet"/>
      <w:lvlText w:val="•"/>
      <w:lvlJc w:val="left"/>
      <w:pPr>
        <w:ind w:left="2354" w:hanging="342"/>
      </w:pPr>
      <w:rPr>
        <w:rFonts w:hint="default"/>
      </w:rPr>
    </w:lvl>
    <w:lvl w:ilvl="2" w:tplc="AE9661F8">
      <w:numFmt w:val="bullet"/>
      <w:lvlText w:val="•"/>
      <w:lvlJc w:val="left"/>
      <w:pPr>
        <w:ind w:left="3288" w:hanging="342"/>
      </w:pPr>
      <w:rPr>
        <w:rFonts w:hint="default"/>
      </w:rPr>
    </w:lvl>
    <w:lvl w:ilvl="3" w:tplc="FA3EE0AA">
      <w:numFmt w:val="bullet"/>
      <w:lvlText w:val="•"/>
      <w:lvlJc w:val="left"/>
      <w:pPr>
        <w:ind w:left="4222" w:hanging="342"/>
      </w:pPr>
      <w:rPr>
        <w:rFonts w:hint="default"/>
      </w:rPr>
    </w:lvl>
    <w:lvl w:ilvl="4" w:tplc="9160AFBE">
      <w:numFmt w:val="bullet"/>
      <w:lvlText w:val="•"/>
      <w:lvlJc w:val="left"/>
      <w:pPr>
        <w:ind w:left="5156" w:hanging="342"/>
      </w:pPr>
      <w:rPr>
        <w:rFonts w:hint="default"/>
      </w:rPr>
    </w:lvl>
    <w:lvl w:ilvl="5" w:tplc="9CEA4358">
      <w:numFmt w:val="bullet"/>
      <w:lvlText w:val="•"/>
      <w:lvlJc w:val="left"/>
      <w:pPr>
        <w:ind w:left="6090" w:hanging="342"/>
      </w:pPr>
      <w:rPr>
        <w:rFonts w:hint="default"/>
      </w:rPr>
    </w:lvl>
    <w:lvl w:ilvl="6" w:tplc="EE443F52">
      <w:numFmt w:val="bullet"/>
      <w:lvlText w:val="•"/>
      <w:lvlJc w:val="left"/>
      <w:pPr>
        <w:ind w:left="7024" w:hanging="342"/>
      </w:pPr>
      <w:rPr>
        <w:rFonts w:hint="default"/>
      </w:rPr>
    </w:lvl>
    <w:lvl w:ilvl="7" w:tplc="BD587110">
      <w:numFmt w:val="bullet"/>
      <w:lvlText w:val="•"/>
      <w:lvlJc w:val="left"/>
      <w:pPr>
        <w:ind w:left="7958" w:hanging="342"/>
      </w:pPr>
      <w:rPr>
        <w:rFonts w:hint="default"/>
      </w:rPr>
    </w:lvl>
    <w:lvl w:ilvl="8" w:tplc="E8F0F2F8">
      <w:numFmt w:val="bullet"/>
      <w:lvlText w:val="•"/>
      <w:lvlJc w:val="left"/>
      <w:pPr>
        <w:ind w:left="8892" w:hanging="342"/>
      </w:pPr>
      <w:rPr>
        <w:rFonts w:hint="default"/>
      </w:rPr>
    </w:lvl>
  </w:abstractNum>
  <w:abstractNum w:abstractNumId="6" w15:restartNumberingAfterBreak="0">
    <w:nsid w:val="68637AFA"/>
    <w:multiLevelType w:val="hybridMultilevel"/>
    <w:tmpl w:val="343C2C40"/>
    <w:lvl w:ilvl="0" w:tplc="20467542">
      <w:numFmt w:val="bullet"/>
      <w:lvlText w:val="•"/>
      <w:lvlJc w:val="left"/>
      <w:pPr>
        <w:ind w:left="1431" w:hanging="362"/>
      </w:pPr>
      <w:rPr>
        <w:rFonts w:ascii="Times New Roman" w:eastAsia="Times New Roman" w:hAnsi="Times New Roman" w:cs="Times New Roman" w:hint="default"/>
        <w:color w:val="151515"/>
        <w:w w:val="103"/>
        <w:sz w:val="24"/>
        <w:szCs w:val="24"/>
      </w:rPr>
    </w:lvl>
    <w:lvl w:ilvl="1" w:tplc="EC06453A">
      <w:numFmt w:val="bullet"/>
      <w:lvlText w:val="•"/>
      <w:lvlJc w:val="left"/>
      <w:pPr>
        <w:ind w:left="2372" w:hanging="362"/>
      </w:pPr>
      <w:rPr>
        <w:rFonts w:hint="default"/>
      </w:rPr>
    </w:lvl>
    <w:lvl w:ilvl="2" w:tplc="1E805D7E">
      <w:numFmt w:val="bullet"/>
      <w:lvlText w:val="•"/>
      <w:lvlJc w:val="left"/>
      <w:pPr>
        <w:ind w:left="3304" w:hanging="362"/>
      </w:pPr>
      <w:rPr>
        <w:rFonts w:hint="default"/>
      </w:rPr>
    </w:lvl>
    <w:lvl w:ilvl="3" w:tplc="03C4F8BA">
      <w:numFmt w:val="bullet"/>
      <w:lvlText w:val="•"/>
      <w:lvlJc w:val="left"/>
      <w:pPr>
        <w:ind w:left="4236" w:hanging="362"/>
      </w:pPr>
      <w:rPr>
        <w:rFonts w:hint="default"/>
      </w:rPr>
    </w:lvl>
    <w:lvl w:ilvl="4" w:tplc="95206D7A">
      <w:numFmt w:val="bullet"/>
      <w:lvlText w:val="•"/>
      <w:lvlJc w:val="left"/>
      <w:pPr>
        <w:ind w:left="5168" w:hanging="362"/>
      </w:pPr>
      <w:rPr>
        <w:rFonts w:hint="default"/>
      </w:rPr>
    </w:lvl>
    <w:lvl w:ilvl="5" w:tplc="5BCAB0F8">
      <w:numFmt w:val="bullet"/>
      <w:lvlText w:val="•"/>
      <w:lvlJc w:val="left"/>
      <w:pPr>
        <w:ind w:left="6100" w:hanging="362"/>
      </w:pPr>
      <w:rPr>
        <w:rFonts w:hint="default"/>
      </w:rPr>
    </w:lvl>
    <w:lvl w:ilvl="6" w:tplc="9814CCB4">
      <w:numFmt w:val="bullet"/>
      <w:lvlText w:val="•"/>
      <w:lvlJc w:val="left"/>
      <w:pPr>
        <w:ind w:left="7032" w:hanging="362"/>
      </w:pPr>
      <w:rPr>
        <w:rFonts w:hint="default"/>
      </w:rPr>
    </w:lvl>
    <w:lvl w:ilvl="7" w:tplc="CEB0E610">
      <w:numFmt w:val="bullet"/>
      <w:lvlText w:val="•"/>
      <w:lvlJc w:val="left"/>
      <w:pPr>
        <w:ind w:left="7964" w:hanging="362"/>
      </w:pPr>
      <w:rPr>
        <w:rFonts w:hint="default"/>
      </w:rPr>
    </w:lvl>
    <w:lvl w:ilvl="8" w:tplc="7E90FADE">
      <w:numFmt w:val="bullet"/>
      <w:lvlText w:val="•"/>
      <w:lvlJc w:val="left"/>
      <w:pPr>
        <w:ind w:left="8896" w:hanging="362"/>
      </w:pPr>
      <w:rPr>
        <w:rFont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F8"/>
    <w:rsid w:val="00027CF8"/>
    <w:rsid w:val="00144F68"/>
    <w:rsid w:val="001A3F46"/>
    <w:rsid w:val="004568D2"/>
    <w:rsid w:val="00486F43"/>
    <w:rsid w:val="004C14E7"/>
    <w:rsid w:val="00516A45"/>
    <w:rsid w:val="005B068A"/>
    <w:rsid w:val="00695A3D"/>
    <w:rsid w:val="008A63E7"/>
    <w:rsid w:val="00B4524D"/>
    <w:rsid w:val="00B93771"/>
    <w:rsid w:val="00C21D63"/>
    <w:rsid w:val="00CE07D5"/>
    <w:rsid w:val="00DA0FB6"/>
    <w:rsid w:val="00E3349A"/>
    <w:rsid w:val="00E4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03C426-D904-415E-81D5-B5E09B9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7"/>
      <w:outlineLvl w:val="0"/>
    </w:pPr>
    <w:rPr>
      <w:b/>
      <w:bCs/>
      <w:sz w:val="24"/>
      <w:szCs w:val="24"/>
    </w:rPr>
  </w:style>
  <w:style w:type="paragraph" w:styleId="Heading2">
    <w:name w:val="heading 2"/>
    <w:basedOn w:val="Normal"/>
    <w:next w:val="Normal"/>
    <w:link w:val="Heading2Char"/>
    <w:uiPriority w:val="9"/>
    <w:semiHidden/>
    <w:unhideWhenUsed/>
    <w:qFormat/>
    <w:rsid w:val="001A3F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53"/>
    </w:pPr>
  </w:style>
  <w:style w:type="paragraph" w:customStyle="1" w:styleId="TableParagraph">
    <w:name w:val="Table Paragraph"/>
    <w:basedOn w:val="Normal"/>
    <w:uiPriority w:val="1"/>
    <w:qFormat/>
    <w:pPr>
      <w:ind w:left="1264"/>
    </w:pPr>
  </w:style>
  <w:style w:type="character" w:customStyle="1" w:styleId="Heading2Char">
    <w:name w:val="Heading 2 Char"/>
    <w:basedOn w:val="DefaultParagraphFont"/>
    <w:link w:val="Heading2"/>
    <w:uiPriority w:val="9"/>
    <w:semiHidden/>
    <w:rsid w:val="001A3F46"/>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5B068A"/>
    <w:pPr>
      <w:tabs>
        <w:tab w:val="center" w:pos="4680"/>
        <w:tab w:val="right" w:pos="9360"/>
      </w:tabs>
    </w:pPr>
  </w:style>
  <w:style w:type="character" w:customStyle="1" w:styleId="HeaderChar">
    <w:name w:val="Header Char"/>
    <w:basedOn w:val="DefaultParagraphFont"/>
    <w:link w:val="Header"/>
    <w:uiPriority w:val="99"/>
    <w:rsid w:val="005B068A"/>
    <w:rPr>
      <w:rFonts w:ascii="Times New Roman" w:eastAsia="Times New Roman" w:hAnsi="Times New Roman" w:cs="Times New Roman"/>
      <w:lang w:bidi="en-US"/>
    </w:rPr>
  </w:style>
  <w:style w:type="paragraph" w:styleId="Footer">
    <w:name w:val="footer"/>
    <w:basedOn w:val="Normal"/>
    <w:link w:val="FooterChar"/>
    <w:uiPriority w:val="99"/>
    <w:unhideWhenUsed/>
    <w:rsid w:val="005B068A"/>
    <w:pPr>
      <w:tabs>
        <w:tab w:val="center" w:pos="4680"/>
        <w:tab w:val="right" w:pos="9360"/>
      </w:tabs>
    </w:pPr>
  </w:style>
  <w:style w:type="character" w:customStyle="1" w:styleId="FooterChar">
    <w:name w:val="Footer Char"/>
    <w:basedOn w:val="DefaultParagraphFont"/>
    <w:link w:val="Footer"/>
    <w:uiPriority w:val="99"/>
    <w:rsid w:val="005B068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cbirnbaum</dc:creator>
  <cp:lastModifiedBy>Chow-Menzer, Margaret (DYS)</cp:lastModifiedBy>
  <cp:revision>2</cp:revision>
  <dcterms:created xsi:type="dcterms:W3CDTF">2020-04-14T02:51:00Z</dcterms:created>
  <dcterms:modified xsi:type="dcterms:W3CDTF">2020-04-14T02:51:00Z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20 for Word</vt:lpwstr>
  </property>
  <property fmtid="{D5CDD505-2E9C-101B-9397-08002B2CF9AE}" pid="4" name="LastSaved">
    <vt:filetime>2020-03-23T00:00:00Z</vt:filetime>
  </property>
</Properties>
</file>